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29, 2026</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TWIN DISC, INCORPORATED</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3660" w:type="dxa"/>
            <w:vAlign w:val="bottom"/>
            <w:gridSpan w:val="3"/>
          </w:tcPr>
          <w:p>
            <w:pPr>
              <w:jc w:val="center"/>
              <w:ind w:right="253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7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001-7635</w:t>
            </w:r>
          </w:p>
        </w:tc>
        <w:tc>
          <w:tcPr>
            <w:tcW w:w="4100" w:type="dxa"/>
            <w:vAlign w:val="bottom"/>
            <w:gridSpan w:val="5"/>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39-0667110</w:t>
            </w:r>
          </w:p>
        </w:tc>
      </w:tr>
      <w:tr>
        <w:trPr>
          <w:trHeight w:val="20"/>
        </w:trPr>
        <w:tc>
          <w:tcPr>
            <w:tcW w:w="1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34"/>
        </w:trPr>
        <w:tc>
          <w:tcPr>
            <w:tcW w:w="5400" w:type="dxa"/>
            <w:vAlign w:val="bottom"/>
            <w:gridSpan w:val="4"/>
          </w:tcPr>
          <w:p>
            <w:pPr>
              <w:jc w:val="center"/>
              <w:ind w:right="8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7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(Commission</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5400" w:type="dxa"/>
            <w:vAlign w:val="bottom"/>
            <w:gridSpan w:val="4"/>
          </w:tcPr>
          <w:p>
            <w:pPr>
              <w:jc w:val="center"/>
              <w:ind w:right="8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7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File Number)</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07"/>
        </w:trPr>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222 East Erie Street, Suite 400</w:t>
            </w:r>
          </w:p>
        </w:tc>
        <w:tc>
          <w:tcPr>
            <w:tcW w:w="460" w:type="dxa"/>
            <w:vAlign w:val="bottom"/>
          </w:tcPr>
          <w:p>
            <w:pPr>
              <w:spacing w:after="0"/>
              <w:rPr>
                <w:sz w:val="24"/>
                <w:szCs w:val="24"/>
                <w:color w:val="auto"/>
              </w:rPr>
            </w:pPr>
          </w:p>
        </w:tc>
        <w:tc>
          <w:tcPr>
            <w:tcW w:w="5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Milwaukee, Wisconsin53202</w:t>
            </w:r>
          </w:p>
        </w:tc>
      </w:tr>
      <w:tr>
        <w:trPr>
          <w:trHeight w:val="20"/>
        </w:trPr>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53"/>
        </w:trPr>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gridSpan w:val="4"/>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1"/>
        </w:trPr>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6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(262)</w:t>
            </w:r>
            <w:r>
              <w:rPr>
                <w:rFonts w:ascii="Times New Roman" w:cs="Times New Roman" w:eastAsia="Times New Roman" w:hAnsi="Times New Roman"/>
                <w:sz w:val="18"/>
                <w:szCs w:val="18"/>
                <w:b w:val="1"/>
                <w:bCs w:val="1"/>
                <w:u w:val="single" w:color="auto"/>
                <w:color w:val="auto"/>
                <w:w w:val="98"/>
              </w:rPr>
              <w:t>638</w:t>
            </w:r>
            <w:r>
              <w:rPr>
                <w:rFonts w:ascii="Times New Roman" w:cs="Times New Roman" w:eastAsia="Times New Roman" w:hAnsi="Times New Roman"/>
                <w:sz w:val="18"/>
                <w:szCs w:val="18"/>
                <w:b w:val="1"/>
                <w:bCs w:val="1"/>
                <w:color w:val="auto"/>
                <w:w w:val="98"/>
              </w:rPr>
              <w:t>-4000</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1"/>
        </w:trPr>
        <w:tc>
          <w:tcPr>
            <w:tcW w:w="17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pacing w:after="0" w:line="25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11"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(No Par Value)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TWIN</w:t>
            </w:r>
          </w:p>
        </w:tc>
        <w:tc>
          <w:tcPr>
            <w:tcW w:w="4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1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ind w:left="66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Annual Meeting of Shareholders of Twin Disc, Incorporated (the “Company”) was held on October 29, 2026. Matters submitted to shareholders at the meeting and the voting results thereof were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Election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shareholders of the Company elected each of the Director nominees proposed by the Company’s Board of Directors. Mr. Michael Doar and Mr. Michael C. Smiley were elected to serve until the 2029 Annual Meeting of Shareholders or until their successor is duly elected and qualified. The following is a breakdown of the voting results: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900" w:type="dxa"/>
            <w:vAlign w:val="bottom"/>
            <w:tcBorders>
              <w:bottom w:val="single" w:sz="8" w:color="auto"/>
              <w:right w:val="single" w:sz="8" w:color="auto"/>
            </w:tcBorders>
          </w:tcPr>
          <w:p>
            <w:pPr>
              <w:spacing w:after="0"/>
              <w:rPr>
                <w:sz w:val="19"/>
                <w:szCs w:val="19"/>
                <w:color w:val="auto"/>
              </w:rPr>
            </w:pPr>
          </w:p>
        </w:tc>
        <w:tc>
          <w:tcPr>
            <w:tcW w:w="1860" w:type="dxa"/>
            <w:vAlign w:val="bottom"/>
            <w:tcBorders>
              <w:top w:val="single" w:sz="8" w:color="auto"/>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860" w:type="dxa"/>
            <w:vAlign w:val="bottom"/>
            <w:tcBorders>
              <w:top w:val="single" w:sz="8" w:color="auto"/>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Percent(1)</w:t>
            </w:r>
          </w:p>
        </w:tc>
        <w:tc>
          <w:tcPr>
            <w:tcW w:w="188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860" w:type="dxa"/>
            <w:vAlign w:val="bottom"/>
            <w:tcBorders>
              <w:top w:val="single" w:sz="8" w:color="auto"/>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Percent(1)</w:t>
            </w:r>
          </w:p>
        </w:tc>
        <w:tc>
          <w:tcPr>
            <w:tcW w:w="188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1900" w:type="dxa"/>
            <w:vAlign w:val="bottom"/>
            <w:tcBorders>
              <w:left w:val="single" w:sz="8" w:color="auto"/>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Doar</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10,627,265</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1,038,485</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1,214,075</w:t>
            </w:r>
          </w:p>
        </w:tc>
      </w:tr>
      <w:tr>
        <w:trPr>
          <w:trHeight w:val="209"/>
        </w:trPr>
        <w:tc>
          <w:tcPr>
            <w:tcW w:w="1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C. Smiley</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11,489,802</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166,948</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1,214,075</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No.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Advisory Vote on the Compensation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Named Executive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an advisory vote, the shareholders of the Company approved the compensation of the Company’s Named Executive Officers. The Company includes such an advisory vote on the Company’s Named Executive Officer compensation in its proxy materials every year, and intends to continue to provide such an advisory vote on an annual basis until the next required non-binding advisory vote on the frequency of such votes on executive compensation. The following is a breakdown of the voting results: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tcBorders>
              <w:top w:val="single" w:sz="8" w:color="auto"/>
              <w:bottom w:val="single" w:sz="8" w:color="auto"/>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20" w:type="dxa"/>
            <w:vAlign w:val="bottom"/>
            <w:tcBorders>
              <w:top w:val="single" w:sz="8" w:color="auto"/>
              <w:bottom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78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8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11,178,151</w:t>
            </w:r>
          </w:p>
        </w:tc>
        <w:tc>
          <w:tcPr>
            <w:tcW w:w="2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147,099</w:t>
            </w:r>
          </w:p>
        </w:tc>
        <w:tc>
          <w:tcPr>
            <w:tcW w:w="2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340,500</w:t>
            </w:r>
          </w:p>
        </w:tc>
        <w:tc>
          <w:tcPr>
            <w:tcW w:w="2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1,214,075</w:t>
            </w:r>
          </w:p>
        </w:tc>
      </w:tr>
      <w:tr>
        <w:trPr>
          <w:trHeight w:val="324"/>
        </w:trPr>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No.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Appointment of RSM US LLP as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shareholders of the Company ratified the appointment of RSM US LLP as the Company’s independent registered public accounting firm for the fiscal year ending June 30, 2027. Because brokers holding shares are permitted to vote on this proposal without specific instruction from the beneficial owners of such shares, there are no “broker non-votes” for this proposal. The following is a breakdown of the voting results: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auto"/>
              <w:left w:val="single" w:sz="8" w:color="auto"/>
              <w:bottom w:val="single" w:sz="8" w:color="auto"/>
              <w:right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740" w:type="dxa"/>
            <w:vAlign w:val="bottom"/>
            <w:tcBorders>
              <w:top w:val="single" w:sz="8" w:color="auto"/>
              <w:bottom w:val="single" w:sz="8" w:color="auto"/>
              <w:right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740" w:type="dxa"/>
            <w:vAlign w:val="bottom"/>
            <w:tcBorders>
              <w:top w:val="single" w:sz="8" w:color="auto"/>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09"/>
        </w:trPr>
        <w:tc>
          <w:tcPr>
            <w:tcW w:w="376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12,846,700</w:t>
            </w:r>
          </w:p>
        </w:tc>
        <w:tc>
          <w:tcPr>
            <w:tcW w:w="3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22,151</w:t>
            </w:r>
          </w:p>
        </w:tc>
        <w:tc>
          <w:tcPr>
            <w:tcW w:w="3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No.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Approval of the Twin Disc, Incorporated Amended and Restated 2021 Omnibus Incentive Plan.</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shareholders of the Company approved the Twin Disc, Incorporated Amended and Restated 2021 Omnibus Incentive Plan. The following is a breakdown of the voting results: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tcBorders>
              <w:top w:val="single" w:sz="8" w:color="auto"/>
              <w:bottom w:val="single" w:sz="8" w:color="auto"/>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20" w:type="dxa"/>
            <w:vAlign w:val="bottom"/>
            <w:tcBorders>
              <w:top w:val="single" w:sz="8" w:color="auto"/>
              <w:bottom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78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8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11,365,983</w:t>
            </w:r>
          </w:p>
        </w:tc>
        <w:tc>
          <w:tcPr>
            <w:tcW w:w="2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278,455</w:t>
            </w:r>
          </w:p>
        </w:tc>
        <w:tc>
          <w:tcPr>
            <w:tcW w:w="2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21,312</w:t>
            </w:r>
          </w:p>
        </w:tc>
        <w:tc>
          <w:tcPr>
            <w:tcW w:w="2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1,214,075</w:t>
            </w:r>
          </w:p>
        </w:tc>
      </w:tr>
    </w:tbl>
    <w:p>
      <w:pPr>
        <w:spacing w:after="0" w:line="198" w:lineRule="exact"/>
        <w:rPr>
          <w:sz w:val="20"/>
          <w:szCs w:val="20"/>
          <w:color w:val="auto"/>
        </w:rPr>
      </w:pPr>
    </w:p>
    <w:p>
      <w:pPr>
        <w:ind w:firstLine="8"/>
        <w:spacing w:after="0" w:line="282" w:lineRule="auto"/>
        <w:tabs>
          <w:tab w:leader="none" w:pos="63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shown for election of Directors (Proposal No. 1) are based on totals of votes cast for and votes withheld from each indicated Director. Broker non-votes were not considered as part of the totals on which percentages were based.</w:t>
      </w:r>
    </w:p>
    <w:p>
      <w:pPr>
        <w:spacing w:after="0" w:line="158"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29, 2026, each of the non-employee Directors of the Company who continued to serve on the Board of Directors after the Company’s Annual Meeting of Shareholders received 3,831 shares of Restricted Stock under the Twin Disc, Incorporated Amended and Restated 2021 Omnibus Incentive Plan (the “Omnibus Plan”), representing approximately 57% of their annual Board retainer (exclusive of Committee chair fees). In conjunction with the issuance of Restricted Stock under the Omnibus Plan, the Company entered into a Restricted Stock Agreement with each of its non-employee Directors covering awards of restricted stock under the Plan. A form of the Restricted Stock Agreement is attached hereto as Exhibit 10.1 and incorporated herein by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disclosures in this report on Form 8-K and in the documents incorporated herein by reference contain or may contain “forward-looking statements” within the meaning of the Private Securities Litigation Reform Act of 1995. The words “believes,” “expects,” “intends,” “plans,” “anticipates,” “hopes,” “likely,” “will,” and similar expressions identify such forward-looking statements. Such forward-looking statements involve known and unknown risks, uncertainties and other important factors that could cause the actual results, performance or achievements of the Company (or entities in which the Company has interests), or industry results, to differ materially from future results, performance or achievements expressed or implied by such forward-looking statements. Certain factors that could cause the Company’s actual future results to differ materially from those discussed are noted in connection with such statements, but other unanticipated factors could arise. Readers are cautioned not to place undue reliance on these forward-looking statements which reflect management’s view only as of the date of this Form 8-K. The Company undertakes no obligation to publicly release any revisions to these forward-looking statements to reflect events or circumstances after the date hereof or to reflect the occurrence of unanticipated events, conditions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607"/>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2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r:id="rId11">
              <w:r>
                <w:rPr>
                  <w:rFonts w:ascii="Times New Roman" w:cs="Times New Roman" w:eastAsia="Times New Roman" w:hAnsi="Times New Roman"/>
                  <w:sz w:val="18"/>
                  <w:szCs w:val="18"/>
                  <w:color w:val="0000EE"/>
                </w:rPr>
                <w:t>Form of Twin Disc, Incorporated Non-Employee Director Restricted Stock Agreement (Incorporated by reference to Exhibit</w:t>
              </w:r>
            </w:hyperlink>
          </w:p>
        </w:tc>
      </w:tr>
      <w:tr>
        <w:trPr>
          <w:trHeight w:val="196"/>
        </w:trPr>
        <w:tc>
          <w:tcPr>
            <w:tcW w:w="1960" w:type="dxa"/>
            <w:vAlign w:val="bottom"/>
          </w:tcPr>
          <w:p>
            <w:pPr>
              <w:spacing w:after="0"/>
              <w:rPr>
                <w:sz w:val="17"/>
                <w:szCs w:val="17"/>
                <w:color w:val="auto"/>
              </w:rPr>
            </w:pPr>
          </w:p>
        </w:tc>
        <w:tc>
          <w:tcPr>
            <w:tcW w:w="5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1">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of the Company’s Form 8-K dated November 6, 2024). File No. 001-07635</w:t>
              </w:r>
            </w:hyperlink>
          </w:p>
        </w:tc>
        <w:tc>
          <w:tcPr>
            <w:tcW w:w="3480" w:type="dxa"/>
            <w:vAlign w:val="bottom"/>
          </w:tcPr>
          <w:p>
            <w:pPr>
              <w:spacing w:after="0"/>
              <w:rPr>
                <w:sz w:val="17"/>
                <w:szCs w:val="17"/>
                <w:color w:val="auto"/>
              </w:rPr>
            </w:pPr>
          </w:p>
        </w:tc>
      </w:tr>
      <w:tr>
        <w:trPr>
          <w:trHeight w:val="237"/>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180"/>
        <w:spacing w:after="0"/>
        <w:tabs>
          <w:tab w:leader="none" w:pos="506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7"/>
          <w:szCs w:val="17"/>
          <w:color w:val="auto"/>
        </w:rPr>
        <w:t>Twin Disc, Incorporated</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/s/ JEFFREY S. KNUTSON</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Jeffrey S. Knutson</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Vice President-Finance, Chief Financial</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Officer, Treasurer &amp; Secretary</w:t>
      </w:r>
    </w:p>
    <w:sectPr>
      <w:pgSz w:w="11900" w:h="16838" w:orient="portrait"/>
      <w:cols w:equalWidth="0" w:num="1">
        <w:col w:w="11220"/>
      </w:cols>
      <w:pgMar w:left="320" w:top="33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11" Type="http://schemas.openxmlformats.org/officeDocument/2006/relationships/hyperlink" Target="http://www.sec.gov/Archives/edgar/data/100378/000143774924033458/ex_741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2026-11-02T15:39:12Z</dcterms:created>
  <dcterms:modified xsi:type="dcterms:W3CDTF">2026-11-02T15:39:12Z</dcterms:modified>
</cp:coreProperties>
</file>