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2"/>
          <w:szCs w:val="22"/>
          <w:b w:val="1"/>
          <w:bCs w:val="1"/>
          <w:color w:val="auto"/>
        </w:rPr>
        <w:t>SCHEDULE 14A INFORMATION</w:t>
      </w:r>
    </w:p>
    <w:p>
      <w:pPr>
        <w:spacing w:after="0" w:line="219" w:lineRule="exact"/>
        <w:rPr>
          <w:sz w:val="24"/>
          <w:szCs w:val="24"/>
          <w:color w:val="auto"/>
        </w:rPr>
      </w:pPr>
    </w:p>
    <w:p>
      <w:pPr>
        <w:jc w:val="right"/>
        <w:ind w:right="153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18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4059" w:firstLine="8"/>
        <w:spacing w:after="0" w:line="216" w:lineRule="exact"/>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Section 240.14a-2.</w:t>
      </w:r>
    </w:p>
    <w:p>
      <w:pPr>
        <w:spacing w:after="0" w:line="200" w:lineRule="exact"/>
        <w:rPr>
          <w:sz w:val="24"/>
          <w:szCs w:val="24"/>
          <w:color w:val="auto"/>
        </w:rPr>
      </w:pP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Twin Disc, Incorporated</w:t>
      </w:r>
    </w:p>
    <w:p>
      <w:pPr>
        <w:spacing w:after="0" w:line="1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ind w:left="30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3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147955</wp:posOffset>
            </wp:positionV>
            <wp:extent cx="1714500" cy="771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222 East Erie Street, Suite 400, Milwaukee, Wisconsin 53202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NOTICE OF ANNUAL MEETING OF SHAREHOLDERS </w:t>
      </w:r>
      <w:r>
        <w:rPr>
          <w:rFonts w:ascii="Arial" w:cs="Arial" w:eastAsia="Arial" w:hAnsi="Arial"/>
          <w:sz w:val="18"/>
          <w:szCs w:val="18"/>
          <w:color w:val="auto"/>
        </w:rPr>
        <w:t>–</w:t>
      </w:r>
      <w:r>
        <w:rPr>
          <w:rFonts w:ascii="Arial" w:cs="Arial" w:eastAsia="Arial" w:hAnsi="Arial"/>
          <w:sz w:val="18"/>
          <w:szCs w:val="18"/>
          <w:b w:val="1"/>
          <w:bCs w:val="1"/>
          <w:color w:val="auto"/>
        </w:rPr>
        <w:t xml:space="preserve"> OCTOBER 26,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IS HEREBY GIVEN TO THE SHAREHOLDERS OF TWIN DISC, INCORPORATED</w:t>
      </w:r>
    </w:p>
    <w:p>
      <w:pPr>
        <w:spacing w:after="0" w:line="200" w:lineRule="exact"/>
        <w:rPr>
          <w:sz w:val="20"/>
          <w:szCs w:val="20"/>
          <w:color w:val="auto"/>
        </w:rPr>
      </w:pPr>
    </w:p>
    <w:p>
      <w:pPr>
        <w:spacing w:after="0" w:line="24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Annual Meeting of Shareholders (the “Annual Meeting”) of Twin Disc, Incorporated, a Wisconsin corporation (the “Corporation”), will be held at 2:00 P.M. (Central Time) on Thursday, October 26, 2023, at the offices of von Briesen &amp; Roper, s.c., 411 East Wisconsin Avenue, Suite 1000, Milwaukee, Wisconsin 53202 for the following purposes:</w:t>
      </w:r>
    </w:p>
    <w:p>
      <w:pPr>
        <w:spacing w:after="0" w:line="184" w:lineRule="exact"/>
        <w:rPr>
          <w:sz w:val="20"/>
          <w:szCs w:val="20"/>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Directors to serve until the Annual Meeting of Shareholders in 2026.</w:t>
      </w:r>
    </w:p>
    <w:p>
      <w:pPr>
        <w:spacing w:after="0" w:line="252"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 advisory vote to approve the compensation of the Corporation’s Named Executive Officers.</w:t>
      </w:r>
    </w:p>
    <w:p>
      <w:pPr>
        <w:spacing w:after="0" w:line="252"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 advisory vote on the frequency of the vote on compensation of the Corporation’s Named Executive Officers.</w:t>
      </w:r>
    </w:p>
    <w:p>
      <w:pPr>
        <w:spacing w:after="0" w:line="252" w:lineRule="exact"/>
        <w:rPr>
          <w:rFonts w:ascii="Arial" w:cs="Arial" w:eastAsia="Arial" w:hAnsi="Arial"/>
          <w:sz w:val="18"/>
          <w:szCs w:val="18"/>
          <w:color w:val="auto"/>
        </w:rPr>
      </w:pPr>
    </w:p>
    <w:p>
      <w:pPr>
        <w:ind w:left="640" w:right="500" w:hanging="32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RSM US LLP, an independent registered public accounting firm, as our independent auditors for the fiscal year ending June 30, 2024.</w:t>
      </w:r>
    </w:p>
    <w:p>
      <w:pPr>
        <w:spacing w:after="0" w:line="17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Only holders of record of shares of common stock of the Corporation at the close of business on August 17, 2023, shall be entitled to vote at the Annual Meeting.</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spacing w:after="0" w:line="18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Jeffrey S. Knutson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October 26, 2023</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Our proxy materials, including the Proxy Statement and 2023 Annual Report on Form 10-K, are available over the internet at </w:t>
      </w:r>
      <w:r>
        <w:rPr>
          <w:rFonts w:ascii="Arial" w:cs="Arial" w:eastAsia="Arial" w:hAnsi="Arial"/>
          <w:sz w:val="18"/>
          <w:szCs w:val="18"/>
          <w:b w:val="1"/>
          <w:bCs w:val="1"/>
          <w:color w:val="auto"/>
        </w:rPr>
        <w:t>http://ir.twindisc.com/proxy</w:t>
      </w:r>
      <w:r>
        <w:rPr>
          <w:rFonts w:ascii="Arial" w:cs="Arial" w:eastAsia="Arial" w:hAnsi="Arial"/>
          <w:sz w:val="18"/>
          <w:szCs w:val="18"/>
          <w:color w:val="auto"/>
        </w:rPr>
        <w:t>, and most of our stockholders will receive only a notice (“Notice”) containing instructions on how to access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over the internet and vote online. If you receive this Notice but would still like to receive paper copies of the proxy materials, please follow the instructions on the Notice or on the website referred to on the Notice.</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TWIN DISC, INCORPORATED 2023 ANNUAL REPORT | PROXY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14" w:right="33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SHAREHOLDERS IN PERSON, WE ASK YOU TO PLEASE TAKE ADVANTAGE OF ONE OF THE OPTIONS YOU HAVE FOR VOTING YOUR SHARES IN ADVANCE OF THE ANNUAL MEETING. MOST SHAREHOLDERS HAVE THREE OPTIONS FOR SUBMITTING THEIR VOTE: (1) VIA THE INTERNET; (2) BY TELEPHONE; OR (3) IF YOU RECEIVED PAPER COPIES OF THE PROXY MATERIALS, BY SIGNING AND RETURNING YOUR PROXY APPOINTMENT IN THE ENCLOSED ENVELOPE.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TWIN DISC, INCORPORATED 2023 ANNUAL REPORT | PROXY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40" w:top="580" w:right="439" w:bottom="1440" w:gutter="0" w:footer="0" w:header="0"/>
        </w:sectPr>
      </w:pPr>
    </w:p>
    <w:bookmarkStart w:id="3" w:name="page4"/>
    <w:bookmarkEnd w:id="3"/>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2023 Proxy Statement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TWIN DISC, INCORPORATED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8, 2023</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 TIME AND PLACE OF MEETING</w:t>
      </w:r>
    </w:p>
    <w:p>
      <w:pPr>
        <w:spacing w:after="0" w:line="229" w:lineRule="exact"/>
        <w:rPr>
          <w:sz w:val="20"/>
          <w:szCs w:val="20"/>
          <w:color w:val="auto"/>
        </w:rPr>
      </w:pPr>
    </w:p>
    <w:p>
      <w:pPr>
        <w:ind w:left="20" w:right="20"/>
        <w:spacing w:after="0" w:line="293"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the Corporation of proxies for use at the Annual Meeting of Shareholders to be held at 2:00 P.M. (Central Time), at the offices of von Briesen &amp; Roper, s.c., 411 East Wisconsin Avenue, Suite 1000, Milwaukee, Wisconsin, 53202 on Thursday, October 26, 2023, or any adjournment thereof. Holders of common stock of record at the close of business on August 17, 2023 (the “Record Date”),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w:t>
      </w:r>
    </w:p>
    <w:p>
      <w:pPr>
        <w:spacing w:after="0" w:line="164" w:lineRule="exact"/>
        <w:rPr>
          <w:sz w:val="20"/>
          <w:szCs w:val="20"/>
          <w:color w:val="auto"/>
        </w:rPr>
      </w:pPr>
    </w:p>
    <w:p>
      <w:pPr>
        <w:ind w:left="20" w:right="360"/>
        <w:spacing w:after="0" w:line="277" w:lineRule="auto"/>
        <w:rPr>
          <w:sz w:val="20"/>
          <w:szCs w:val="20"/>
          <w:color w:val="auto"/>
        </w:rPr>
      </w:pPr>
      <w:r>
        <w:rPr>
          <w:rFonts w:ascii="Arial" w:cs="Arial" w:eastAsia="Arial" w:hAnsi="Arial"/>
          <w:sz w:val="18"/>
          <w:szCs w:val="18"/>
          <w:color w:val="auto"/>
        </w:rPr>
        <w:t>The Corporation intends to commence distribution of this proxy statement and accompanying form of proxy to shareholders on or about September 8, 2023.</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TO VOTE YOUR SHARES</w:t>
      </w:r>
    </w:p>
    <w:p>
      <w:pPr>
        <w:spacing w:after="0" w:line="229"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Shareholders may vote their shares by properly appointing a proxy, voting in advance of the Annual Meeting via the Internet or by phone, or attending and voting during the Annual Meeting.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Registered Shareholders</w:t>
      </w:r>
    </w:p>
    <w:p>
      <w:pPr>
        <w:spacing w:after="0" w:line="225" w:lineRule="exact"/>
        <w:rPr>
          <w:sz w:val="20"/>
          <w:szCs w:val="20"/>
          <w:color w:val="auto"/>
        </w:rPr>
      </w:pPr>
    </w:p>
    <w:p>
      <w:pPr>
        <w:ind w:left="20" w:right="60"/>
        <w:spacing w:after="0" w:line="272" w:lineRule="auto"/>
        <w:rPr>
          <w:sz w:val="20"/>
          <w:szCs w:val="20"/>
          <w:color w:val="auto"/>
        </w:rPr>
      </w:pPr>
      <w:r>
        <w:rPr>
          <w:rFonts w:ascii="Arial" w:cs="Arial" w:eastAsia="Arial" w:hAnsi="Arial"/>
          <w:sz w:val="17"/>
          <w:szCs w:val="17"/>
          <w:color w:val="auto"/>
        </w:rPr>
        <w:t>Registered shareholders of the Corporation (shareholders who hold shares through the Corporation’s transfer agent, Computershare) may appoint a proxy by delivering, either in person, by mail or by messenger, the enclosed proxy appointment form. Appointment forms must be received by the Secretary of the Corporation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73" w:lineRule="exact"/>
        <w:rPr>
          <w:sz w:val="20"/>
          <w:szCs w:val="20"/>
          <w:color w:val="auto"/>
        </w:rPr>
      </w:pPr>
    </w:p>
    <w:p>
      <w:pPr>
        <w:ind w:left="20"/>
        <w:spacing w:after="0" w:line="277" w:lineRule="auto"/>
        <w:rPr>
          <w:sz w:val="20"/>
          <w:szCs w:val="20"/>
          <w:color w:val="auto"/>
        </w:rPr>
      </w:pPr>
      <w:r>
        <w:rPr>
          <w:rFonts w:ascii="Arial" w:cs="Arial" w:eastAsia="Arial" w:hAnsi="Arial"/>
          <w:sz w:val="17"/>
          <w:szCs w:val="17"/>
          <w:color w:val="auto"/>
        </w:rPr>
        <w:t xml:space="preserve">Registered shareholders may also vote via the Internet by accessing </w:t>
      </w:r>
      <w:r>
        <w:rPr>
          <w:rFonts w:ascii="Arial" w:cs="Arial" w:eastAsia="Arial" w:hAnsi="Arial"/>
          <w:sz w:val="17"/>
          <w:szCs w:val="17"/>
          <w:b w:val="1"/>
          <w:bCs w:val="1"/>
          <w:color w:val="auto"/>
        </w:rPr>
        <w:t>www.investorvote.com/twin</w:t>
      </w:r>
      <w:r>
        <w:rPr>
          <w:rFonts w:ascii="Arial" w:cs="Arial" w:eastAsia="Arial" w:hAnsi="Arial"/>
          <w:sz w:val="17"/>
          <w:szCs w:val="17"/>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Registered shareholders may vote via the Internet or by telephone up to 11:59 PM Eastern Time on October 25, 2023. Shareholders that vote via the Internet should understand that there might be costs associated with electronic access that they must bear, such as usage charges from Internet access providers and telecommunications companies.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Street Name Shareholders</w:t>
      </w:r>
    </w:p>
    <w:p>
      <w:pPr>
        <w:spacing w:after="0" w:line="225" w:lineRule="exact"/>
        <w:rPr>
          <w:sz w:val="20"/>
          <w:szCs w:val="20"/>
          <w:color w:val="auto"/>
        </w:rPr>
      </w:pPr>
    </w:p>
    <w:p>
      <w:pPr>
        <w:ind w:left="20" w:right="180"/>
        <w:spacing w:after="0" w:line="259" w:lineRule="auto"/>
        <w:rPr>
          <w:sz w:val="20"/>
          <w:szCs w:val="20"/>
          <w:color w:val="auto"/>
        </w:rPr>
      </w:pPr>
      <w:r>
        <w:rPr>
          <w:rFonts w:ascii="Arial" w:cs="Arial" w:eastAsia="Arial" w:hAnsi="Arial"/>
          <w:sz w:val="18"/>
          <w:szCs w:val="18"/>
          <w:color w:val="auto"/>
        </w:rPr>
        <w:t>Street name shareholders (shareholders whose shares are registered in the name of a bank or brokerage firm) will receive instructions from the bank or broker that they must follow to have their shares voted. Street name shareholders may be eligible to vote their shares electronically via the Internet or by telephone. If the bank or brokerage firm is participating in the Broadridge Investor Communication Services’ program, the voting form will provide instructions about how to vote shares electronically.</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TWIN DISC, INCORPORATED 2023 ANNUAL REPORT | PROXY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HOW TO REVOKE YOUR PROXY</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attending the Annual Meeting and voting the shares, or by delivering a signed written statement revoking the proxy to the Secretary prior to the date of the Annual Meeting. ANY ATTEMPTED REVOCATIONS NOT MEETING THE ABOVE REQUIREMENTS WILL BE RULED INVALID.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 REQUIREMENTS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record date with respect to this solicitation is August 17, 2023. On that date, there were outstanding 13,960,861 shares of common stock of the Corporation entitled to vote at the Annual Meeting. There also are 200,000 shares of no-par preferred stock authorized, of which 150,000 shares have been designated Series A Junior Preferred Stock, but none are outstanding. The presence of a majority of the outstanding shares of common stock of the Corporation, either represented by a signed proxy appointment or electronic proxy vote or present in person, will constitute a quorum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2024</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shareholder wishes to present a proposal for consideration for inclusion in the Notice of the Meeting and Proxy Statement for the 2024 Annual Meeting of Shareholders, the proposal must be received at the Corporation’s principal executive offices no later than May 11, 2024. Shareholder proposals received later than July 10, 2024 will be considered untimely, and will not be considered at the Corporation’s 2024 Annual Meeting. Any such proposal must comply with the requirements of Section (14)(a) of the Corporation’s Restated Bylaws.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a shareholder wishes to nominate a person for election to the Board of Directors of the Corporation, such nomination shall be made pursuant to timely notice in writing to the Secretary of the Corporation. To be timely for the 2024 Annual Meeting, such notice must be delivered to or mailed and received at the principal executive offices of the Corporation no later than July 10, 2024. Any such notice must comply with the requirements of Section (14)(b) of the Corporation’s Restated Bylaws.</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addition to satisfying the foregoing requirements under the Corporation’s Restated Bylaws, to comply with the universal proxy rules for the 2024 Annual Meeting of Shareholders, shareholders who intend to solicit proxies in support of director nominees other than the Corporation’s nominees must provide notice that complies with Rule 14a-19 under the Exchange Act by August 27,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MAKING THE SOLICITATION</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 w:name="page6"/>
    <w:bookmarkEnd w:id="5"/>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VOTES REQUIRED FOR PROPOSALS AND HOW VOTES WILL BE COUNTED</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Human Capital Committee of the Board of Directors will take the results of the vote into consideration in addressing future compensation policies and practices.</w:t>
      </w:r>
    </w:p>
    <w:p>
      <w:pPr>
        <w:spacing w:after="0" w:line="1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With respect to the advisory vote on the frequency of future votes on the compensation of the Corporation’s Named Executive Officers (Proposal No. 3), votes may be cast for “Every Year” “Every 2 Years” or “Every 3 Years.” Whichever choice receives the most votes will be considered the frequency approved by the shareholders. This vote is not binding on the Corporation. The Board of Directors will take the results of the vote into consideration in making decisions about the frequency of future votes on the compensation of the Corporation’s Named Executive Officers.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ratification of the appointment of independent auditors (Proposal No. 4),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 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Brokers and other nominees may vote on the ratification of the appointment of RSM US LLP as our independent auditors for the fiscal year ending June 30, 2024 (Proposal No. 4) without specific instructions from beneficial owners. Therefore, no broker non-votes are expected to exist in connection with this proposal. However,</w:t>
      </w:r>
    </w:p>
    <w:p>
      <w:pPr>
        <w:spacing w:after="0" w:line="3"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brokers or other nominees may not vote on the election of Directors (Proposal No. 1), the advisory vote on Named Executive Officer compensation (Proposal No. 2) or the advisory vote on the frequency of the vote on Named Executive Officer compensation (Proposal No. 3) without specific instructions from the beneficial owners of the shares. Therefore, an undetermined number of broker non-votes may occur on Proposals No. 1, 2 and 3.</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TWIN DISC, INCORPORATED 2023 ANNUAL REPORT | PROXY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6" w:name="page7"/>
    <w:bookmarkEnd w:id="6"/>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PRINCIPAL SHAREHOLDERS, DIRECTORS AND EXECUTIVE OFFICERS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20" w:right="260"/>
        <w:spacing w:after="0" w:line="263"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11, 2023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8"/>
                <w:szCs w:val="18"/>
                <w:b w:val="1"/>
                <w:bCs w:val="1"/>
                <w:color w:val="auto"/>
              </w:rPr>
              <w:t>Nature of</w:t>
            </w:r>
          </w:p>
        </w:tc>
        <w:tc>
          <w:tcPr>
            <w:tcW w:w="2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8"/>
                <w:szCs w:val="18"/>
                <w:b w:val="1"/>
                <w:bCs w:val="1"/>
                <w:color w:val="auto"/>
              </w:rPr>
              <w:t>Beneficial</w:t>
            </w:r>
          </w:p>
        </w:tc>
        <w:tc>
          <w:tcPr>
            <w:tcW w:w="2460" w:type="dxa"/>
            <w:vAlign w:val="bottom"/>
          </w:tcPr>
          <w:p>
            <w:pPr>
              <w:ind w:left="540"/>
              <w:spacing w:after="0"/>
              <w:rPr>
                <w:sz w:val="20"/>
                <w:szCs w:val="20"/>
                <w:color w:val="auto"/>
              </w:rPr>
            </w:pPr>
            <w:r>
              <w:rPr>
                <w:rFonts w:ascii="Arial" w:cs="Arial" w:eastAsia="Arial" w:hAnsi="Arial"/>
                <w:sz w:val="18"/>
                <w:szCs w:val="18"/>
                <w:b w:val="1"/>
                <w:bCs w:val="1"/>
                <w:color w:val="auto"/>
              </w:rPr>
              <w:t>Amount</w:t>
            </w:r>
          </w:p>
        </w:tc>
        <w:tc>
          <w:tcPr>
            <w:tcW w:w="2560" w:type="dxa"/>
            <w:vAlign w:val="bottom"/>
          </w:tcPr>
          <w:p>
            <w:pPr>
              <w:ind w:left="32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Address</w:t>
            </w:r>
          </w:p>
        </w:tc>
        <w:tc>
          <w:tcPr>
            <w:tcW w:w="2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Ownership</w:t>
            </w:r>
          </w:p>
        </w:tc>
        <w:tc>
          <w:tcPr>
            <w:tcW w:w="24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Owned</w:t>
            </w:r>
          </w:p>
        </w:tc>
        <w:tc>
          <w:tcPr>
            <w:tcW w:w="25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of Class</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John H. Batten</w:t>
            </w:r>
          </w:p>
        </w:tc>
        <w:tc>
          <w:tcPr>
            <w:tcW w:w="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704 Waters Edge Rd.</w:t>
            </w:r>
          </w:p>
        </w:tc>
        <w:tc>
          <w:tcPr>
            <w:tcW w:w="2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Power to vote</w:t>
            </w:r>
          </w:p>
        </w:tc>
        <w:tc>
          <w:tcPr>
            <w:tcW w:w="2460" w:type="dxa"/>
            <w:vAlign w:val="bottom"/>
            <w:shd w:val="clear" w:color="auto" w:fill="CCEEFF"/>
          </w:tcPr>
          <w:p>
            <w:pPr>
              <w:jc w:val="center"/>
              <w:ind w:left="753"/>
              <w:spacing w:after="0" w:line="216" w:lineRule="exact"/>
              <w:rPr>
                <w:sz w:val="20"/>
                <w:szCs w:val="20"/>
                <w:color w:val="auto"/>
              </w:rPr>
            </w:pPr>
            <w:r>
              <w:rPr>
                <w:rFonts w:ascii="Arial" w:cs="Arial" w:eastAsia="Arial" w:hAnsi="Arial"/>
                <w:sz w:val="16"/>
                <w:szCs w:val="16"/>
                <w:color w:val="auto"/>
                <w:w w:val="97"/>
              </w:rPr>
              <w:t xml:space="preserve">2,163,953 </w:t>
            </w:r>
            <w:r>
              <w:rPr>
                <w:rFonts w:ascii="Arial" w:cs="Arial" w:eastAsia="Arial" w:hAnsi="Arial"/>
                <w:sz w:val="25"/>
                <w:szCs w:val="25"/>
                <w:color w:val="auto"/>
                <w:w w:val="97"/>
                <w:vertAlign w:val="superscript"/>
              </w:rPr>
              <w:t>(1)</w:t>
            </w:r>
          </w:p>
        </w:tc>
        <w:tc>
          <w:tcPr>
            <w:tcW w:w="256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15.5%</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Racine, WI</w:t>
            </w:r>
          </w:p>
        </w:tc>
        <w:tc>
          <w:tcPr>
            <w:tcW w:w="2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Beneficial</w:t>
            </w:r>
          </w:p>
        </w:tc>
        <w:tc>
          <w:tcPr>
            <w:tcW w:w="246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2"/>
              </w:rPr>
              <w:t>386,050</w:t>
            </w:r>
          </w:p>
        </w:tc>
        <w:tc>
          <w:tcPr>
            <w:tcW w:w="256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GAMCO Investors, Inc.</w:t>
            </w:r>
          </w:p>
        </w:tc>
        <w:tc>
          <w:tcPr>
            <w:tcW w:w="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One Corporate Center</w:t>
            </w:r>
          </w:p>
        </w:tc>
        <w:tc>
          <w:tcPr>
            <w:tcW w:w="2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Power to vote &amp;</w:t>
            </w:r>
          </w:p>
        </w:tc>
        <w:tc>
          <w:tcPr>
            <w:tcW w:w="2460" w:type="dxa"/>
            <w:vAlign w:val="bottom"/>
            <w:shd w:val="clear" w:color="auto" w:fill="CCEEFF"/>
          </w:tcPr>
          <w:p>
            <w:pPr>
              <w:jc w:val="center"/>
              <w:ind w:left="753"/>
              <w:spacing w:after="0" w:line="216" w:lineRule="exact"/>
              <w:rPr>
                <w:sz w:val="20"/>
                <w:szCs w:val="20"/>
                <w:color w:val="auto"/>
              </w:rPr>
            </w:pPr>
            <w:r>
              <w:rPr>
                <w:rFonts w:ascii="Arial" w:cs="Arial" w:eastAsia="Arial" w:hAnsi="Arial"/>
                <w:sz w:val="16"/>
                <w:szCs w:val="16"/>
                <w:color w:val="auto"/>
                <w:w w:val="97"/>
              </w:rPr>
              <w:t xml:space="preserve">2,175,856 </w:t>
            </w:r>
            <w:r>
              <w:rPr>
                <w:rFonts w:ascii="Arial" w:cs="Arial" w:eastAsia="Arial" w:hAnsi="Arial"/>
                <w:sz w:val="25"/>
                <w:szCs w:val="25"/>
                <w:color w:val="auto"/>
                <w:w w:val="97"/>
                <w:vertAlign w:val="superscript"/>
              </w:rPr>
              <w:t>(2)</w:t>
            </w:r>
          </w:p>
        </w:tc>
        <w:tc>
          <w:tcPr>
            <w:tcW w:w="256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15.6%</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Rye, NY</w:t>
            </w:r>
          </w:p>
        </w:tc>
        <w:tc>
          <w:tcPr>
            <w:tcW w:w="2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dispose of stock</w:t>
            </w:r>
          </w:p>
        </w:tc>
        <w:tc>
          <w:tcPr>
            <w:tcW w:w="24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Juniper Investment Company,</w:t>
            </w:r>
          </w:p>
        </w:tc>
        <w:tc>
          <w:tcPr>
            <w:tcW w:w="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555 Madison Avenue</w:t>
            </w:r>
          </w:p>
        </w:tc>
        <w:tc>
          <w:tcPr>
            <w:tcW w:w="20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Power to vote &amp;</w:t>
            </w:r>
          </w:p>
        </w:tc>
        <w:tc>
          <w:tcPr>
            <w:tcW w:w="2460" w:type="dxa"/>
            <w:vAlign w:val="bottom"/>
            <w:shd w:val="clear" w:color="auto" w:fill="CCEEFF"/>
          </w:tcPr>
          <w:p>
            <w:pPr>
              <w:jc w:val="center"/>
              <w:ind w:left="773"/>
              <w:spacing w:after="0" w:line="201" w:lineRule="exact"/>
              <w:rPr>
                <w:sz w:val="20"/>
                <w:szCs w:val="20"/>
                <w:color w:val="auto"/>
              </w:rPr>
            </w:pPr>
            <w:r>
              <w:rPr>
                <w:rFonts w:ascii="Arial" w:cs="Arial" w:eastAsia="Arial" w:hAnsi="Arial"/>
                <w:sz w:val="18"/>
                <w:szCs w:val="18"/>
                <w:color w:val="auto"/>
                <w:w w:val="89"/>
              </w:rPr>
              <w:t>1,035,073</w:t>
            </w:r>
          </w:p>
        </w:tc>
        <w:tc>
          <w:tcPr>
            <w:tcW w:w="256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87"/>
              </w:rPr>
              <w:t>7.4%</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40" w:type="dxa"/>
            <w:vAlign w:val="bottom"/>
            <w:shd w:val="clear" w:color="auto" w:fill="CCEEFF"/>
          </w:tcPr>
          <w:p>
            <w:pPr>
              <w:spacing w:after="0"/>
              <w:rPr>
                <w:sz w:val="20"/>
                <w:szCs w:val="20"/>
                <w:color w:val="auto"/>
              </w:rPr>
            </w:pPr>
          </w:p>
        </w:tc>
        <w:tc>
          <w:tcPr>
            <w:tcW w:w="1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New York, NY</w:t>
            </w:r>
          </w:p>
        </w:tc>
        <w:tc>
          <w:tcPr>
            <w:tcW w:w="200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dispose of stock</w:t>
            </w:r>
          </w:p>
        </w:tc>
        <w:tc>
          <w:tcPr>
            <w:tcW w:w="246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AMH Equity, Ltd.</w:t>
            </w:r>
          </w:p>
        </w:tc>
        <w:tc>
          <w:tcPr>
            <w:tcW w:w="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370 Lexington Avenue</w:t>
            </w:r>
          </w:p>
        </w:tc>
        <w:tc>
          <w:tcPr>
            <w:tcW w:w="2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Power to vote &amp;</w:t>
            </w:r>
          </w:p>
        </w:tc>
        <w:tc>
          <w:tcPr>
            <w:tcW w:w="246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2"/>
              </w:rPr>
              <w:t>825,500</w:t>
            </w:r>
          </w:p>
        </w:tc>
        <w:tc>
          <w:tcPr>
            <w:tcW w:w="256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New York, NY</w:t>
            </w:r>
          </w:p>
        </w:tc>
        <w:tc>
          <w:tcPr>
            <w:tcW w:w="2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dispose of stock</w:t>
            </w:r>
          </w:p>
        </w:tc>
        <w:tc>
          <w:tcPr>
            <w:tcW w:w="24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Held as trustee under various trusts and as guardian for a non-immediate family member.</w:t>
      </w:r>
    </w:p>
    <w:p>
      <w:pPr>
        <w:spacing w:after="0" w:line="36" w:lineRule="exact"/>
        <w:rPr>
          <w:rFonts w:ascii="Arial" w:cs="Arial" w:eastAsia="Arial" w:hAnsi="Arial"/>
          <w:sz w:val="18"/>
          <w:szCs w:val="18"/>
          <w:color w:val="auto"/>
        </w:rPr>
      </w:pPr>
    </w:p>
    <w:p>
      <w:pPr>
        <w:ind w:left="500" w:right="240" w:hanging="330"/>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shares held by various entities which are directly or indirectly controlled by Mario J. Gabelli and for which he acts as chief investment officer.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left="12"/>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12" w:right="120"/>
        <w:spacing w:after="0" w:line="259"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11, 2023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83"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140" w:type="dxa"/>
            <w:vAlign w:val="bottom"/>
          </w:tcPr>
          <w:p>
            <w:pPr>
              <w:ind w:left="420"/>
              <w:spacing w:after="0"/>
              <w:rPr>
                <w:sz w:val="20"/>
                <w:szCs w:val="20"/>
                <w:color w:val="auto"/>
              </w:rPr>
            </w:pPr>
            <w:r>
              <w:rPr>
                <w:rFonts w:ascii="Arial" w:cs="Arial" w:eastAsia="Arial" w:hAnsi="Arial"/>
                <w:sz w:val="18"/>
                <w:szCs w:val="18"/>
                <w:b w:val="1"/>
                <w:bCs w:val="1"/>
                <w:color w:val="auto"/>
              </w:rPr>
              <w:t>Amount and Nature</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Name of</w:t>
            </w:r>
          </w:p>
        </w:tc>
        <w:tc>
          <w:tcPr>
            <w:tcW w:w="2140" w:type="dxa"/>
            <w:vAlign w:val="bottom"/>
          </w:tcPr>
          <w:p>
            <w:pPr>
              <w:ind w:left="420"/>
              <w:spacing w:after="0"/>
              <w:rPr>
                <w:sz w:val="20"/>
                <w:szCs w:val="20"/>
                <w:color w:val="auto"/>
              </w:rPr>
            </w:pPr>
            <w:r>
              <w:rPr>
                <w:rFonts w:ascii="Arial" w:cs="Arial" w:eastAsia="Arial" w:hAnsi="Arial"/>
                <w:sz w:val="18"/>
                <w:szCs w:val="18"/>
                <w:b w:val="1"/>
                <w:bCs w:val="1"/>
                <w:color w:val="auto"/>
              </w:rPr>
              <w:t>of Beneficial</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Beneficial Owner</w:t>
            </w:r>
          </w:p>
        </w:tc>
        <w:tc>
          <w:tcPr>
            <w:tcW w:w="2140" w:type="dxa"/>
            <w:vAlign w:val="bottom"/>
            <w:tcBorders>
              <w:bottom w:val="single" w:sz="8" w:color="auto"/>
            </w:tcBorders>
          </w:tcPr>
          <w:p>
            <w:pPr>
              <w:ind w:left="420"/>
              <w:spacing w:after="0" w:line="235" w:lineRule="exact"/>
              <w:rPr>
                <w:sz w:val="20"/>
                <w:szCs w:val="20"/>
                <w:color w:val="auto"/>
              </w:rPr>
            </w:pPr>
            <w:r>
              <w:rPr>
                <w:rFonts w:ascii="Arial" w:cs="Arial" w:eastAsia="Arial" w:hAnsi="Arial"/>
                <w:sz w:val="17"/>
                <w:szCs w:val="17"/>
                <w:b w:val="1"/>
                <w:bCs w:val="1"/>
                <w:color w:val="auto"/>
              </w:rPr>
              <w:t xml:space="preserve">Ownership </w:t>
            </w:r>
            <w:r>
              <w:rPr>
                <w:rFonts w:ascii="Arial" w:cs="Arial" w:eastAsia="Arial" w:hAnsi="Arial"/>
                <w:sz w:val="27"/>
                <w:szCs w:val="27"/>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Percent of Class</w:t>
            </w:r>
          </w:p>
        </w:tc>
      </w:tr>
      <w:tr>
        <w:trPr>
          <w:trHeight w:val="209"/>
        </w:trPr>
        <w:tc>
          <w:tcPr>
            <w:tcW w:w="4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John H. Batten</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Jeffrey S. Knutson</w:t>
            </w:r>
          </w:p>
        </w:tc>
        <w:tc>
          <w:tcPr>
            <w:tcW w:w="2140" w:type="dxa"/>
            <w:vAlign w:val="bottom"/>
          </w:tcPr>
          <w:p>
            <w:pPr>
              <w:jc w:val="right"/>
              <w:spacing w:after="0"/>
              <w:rPr>
                <w:sz w:val="20"/>
                <w:szCs w:val="20"/>
                <w:color w:val="auto"/>
              </w:rPr>
            </w:pPr>
            <w:r>
              <w:rPr>
                <w:rFonts w:ascii="Arial" w:cs="Arial" w:eastAsia="Arial" w:hAnsi="Arial"/>
                <w:sz w:val="18"/>
                <w:szCs w:val="18"/>
                <w:color w:val="auto"/>
              </w:rPr>
              <w:t>129,097</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(3)</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Michael Doar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w:t>
            </w:r>
          </w:p>
        </w:tc>
        <w:tc>
          <w:tcPr>
            <w:tcW w:w="1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Janet P. Giesselman</w:t>
            </w:r>
          </w:p>
        </w:tc>
        <w:tc>
          <w:tcPr>
            <w:tcW w:w="2140" w:type="dxa"/>
            <w:vAlign w:val="bottom"/>
          </w:tcPr>
          <w:p>
            <w:pPr>
              <w:jc w:val="right"/>
              <w:spacing w:after="0"/>
              <w:rPr>
                <w:sz w:val="20"/>
                <w:szCs w:val="20"/>
                <w:color w:val="auto"/>
              </w:rPr>
            </w:pPr>
            <w:r>
              <w:rPr>
                <w:rFonts w:ascii="Arial" w:cs="Arial" w:eastAsia="Arial" w:hAnsi="Arial"/>
                <w:sz w:val="18"/>
                <w:szCs w:val="18"/>
                <w:color w:val="auto"/>
              </w:rPr>
              <w:t>45,089</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David W. Johnson</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52,961</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w:t>
            </w:r>
          </w:p>
        </w:tc>
        <w:tc>
          <w:tcPr>
            <w:tcW w:w="1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Michael C. Smiley</w:t>
            </w:r>
          </w:p>
        </w:tc>
        <w:tc>
          <w:tcPr>
            <w:tcW w:w="2140" w:type="dxa"/>
            <w:vAlign w:val="bottom"/>
          </w:tcPr>
          <w:p>
            <w:pPr>
              <w:jc w:val="right"/>
              <w:spacing w:after="0"/>
              <w:rPr>
                <w:sz w:val="20"/>
                <w:szCs w:val="20"/>
                <w:color w:val="auto"/>
              </w:rPr>
            </w:pPr>
            <w:r>
              <w:rPr>
                <w:rFonts w:ascii="Arial" w:cs="Arial" w:eastAsia="Arial" w:hAnsi="Arial"/>
                <w:sz w:val="18"/>
                <w:szCs w:val="18"/>
                <w:color w:val="auto"/>
              </w:rPr>
              <w:t>57,224</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Juliann Larimer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w:t>
            </w:r>
          </w:p>
        </w:tc>
        <w:tc>
          <w:tcPr>
            <w:tcW w:w="1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Kevin M. Olsen</w:t>
            </w:r>
          </w:p>
        </w:tc>
        <w:tc>
          <w:tcPr>
            <w:tcW w:w="2140" w:type="dxa"/>
            <w:vAlign w:val="bottom"/>
          </w:tcPr>
          <w:p>
            <w:pPr>
              <w:jc w:val="right"/>
              <w:spacing w:after="0"/>
              <w:rPr>
                <w:sz w:val="20"/>
                <w:szCs w:val="20"/>
                <w:color w:val="auto"/>
              </w:rPr>
            </w:pPr>
            <w:r>
              <w:rPr>
                <w:rFonts w:ascii="Arial" w:cs="Arial" w:eastAsia="Arial" w:hAnsi="Arial"/>
                <w:sz w:val="18"/>
                <w:szCs w:val="18"/>
                <w:color w:val="auto"/>
              </w:rPr>
              <w:t>8,544</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w w:val="99"/>
              </w:rPr>
              <w:t>All Directors and Executive Officers as a group (8 persons)</w:t>
            </w:r>
          </w:p>
        </w:tc>
        <w:tc>
          <w:tcPr>
            <w:tcW w:w="2140" w:type="dxa"/>
            <w:vAlign w:val="bottom"/>
          </w:tcPr>
          <w:p>
            <w:pPr>
              <w:jc w:val="right"/>
              <w:spacing w:after="0"/>
              <w:rPr>
                <w:sz w:val="20"/>
                <w:szCs w:val="20"/>
                <w:color w:val="auto"/>
              </w:rPr>
            </w:pPr>
            <w:r>
              <w:rPr>
                <w:rFonts w:ascii="Arial" w:cs="Arial" w:eastAsia="Arial" w:hAnsi="Arial"/>
                <w:sz w:val="18"/>
                <w:szCs w:val="18"/>
                <w:color w:val="auto"/>
              </w:rPr>
              <w:t>2,952,763</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188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18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Denotes ownership of less than one percent of shares outstanding.</w:t>
      </w:r>
    </w:p>
    <w:p>
      <w:pPr>
        <w:spacing w:after="0" w:line="252" w:lineRule="exact"/>
        <w:rPr>
          <w:sz w:val="20"/>
          <w:szCs w:val="20"/>
          <w:color w:val="auto"/>
        </w:rPr>
      </w:pPr>
    </w:p>
    <w:p>
      <w:pPr>
        <w:ind w:left="332" w:right="240" w:hanging="332"/>
        <w:spacing w:after="0" w:line="258"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1" w:lineRule="exact"/>
        <w:rPr>
          <w:rFonts w:ascii="Arial" w:cs="Arial" w:eastAsia="Arial" w:hAnsi="Arial"/>
          <w:sz w:val="18"/>
          <w:szCs w:val="18"/>
          <w:color w:val="auto"/>
        </w:rPr>
      </w:pPr>
    </w:p>
    <w:p>
      <w:pPr>
        <w:ind w:left="332" w:right="20" w:hanging="332"/>
        <w:spacing w:after="0" w:line="250"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2,163,953 shares held by Mr. Batten as trustee under various family trusts and as guardian for non- immediate family member. Also includes restricted stock grants of 48,251 shares that vest in fiscal 2026 and 32,933 shares that vest in fiscal 2027.</w:t>
      </w:r>
    </w:p>
    <w:p>
      <w:pPr>
        <w:ind w:left="332" w:hanging="332"/>
        <w:spacing w:after="0"/>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grants of 23,691 shares that vest in fiscal 2026 and 16,170 shares that vest in fiscal 2027.</w:t>
      </w:r>
    </w:p>
    <w:p>
      <w:pPr>
        <w:spacing w:after="0" w:line="9" w:lineRule="exact"/>
        <w:rPr>
          <w:rFonts w:ascii="Arial" w:cs="Arial" w:eastAsia="Arial" w:hAnsi="Arial"/>
          <w:sz w:val="18"/>
          <w:szCs w:val="18"/>
          <w:color w:val="auto"/>
        </w:rPr>
      </w:pPr>
    </w:p>
    <w:p>
      <w:pPr>
        <w:ind w:left="332" w:hanging="332"/>
        <w:spacing w:after="0" w:line="260"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above are unvested restricted shares as follows: Mr. Doar 12,217, Ms. Giesselman 6,443, Mr. Johnson 9,330, Mr. Smiley 6,443, Ms. Larimer 6,443 and Mr. Olsen 6,443.</w:t>
      </w:r>
    </w:p>
    <w:p>
      <w:pPr>
        <w:spacing w:after="0" w:line="177" w:lineRule="exact"/>
        <w:rPr>
          <w:sz w:val="20"/>
          <w:szCs w:val="20"/>
          <w:color w:val="auto"/>
        </w:rPr>
      </w:pPr>
    </w:p>
    <w:p>
      <w:pPr>
        <w:jc w:val="center"/>
        <w:ind w:right="-111"/>
        <w:spacing w:after="0"/>
        <w:rPr>
          <w:sz w:val="20"/>
          <w:szCs w:val="20"/>
          <w:color w:val="auto"/>
        </w:rPr>
      </w:pPr>
      <w:r>
        <w:rPr>
          <w:rFonts w:ascii="Arial" w:cs="Arial" w:eastAsia="Arial" w:hAnsi="Arial"/>
          <w:sz w:val="14"/>
          <w:szCs w:val="14"/>
          <w:b w:val="1"/>
          <w:bCs w:val="1"/>
          <w:color w:val="auto"/>
        </w:rPr>
        <w:t>TWIN DISC, INCORPORATED 2023 ANNUAL REPORT | PROXY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1440" w:right="439" w:bottom="1440" w:gutter="0" w:footer="0" w:header="0"/>
        </w:sectPr>
      </w:pPr>
    </w:p>
    <w:bookmarkStart w:id="8" w:name="page9"/>
    <w:bookmarkEnd w:id="8"/>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left="20" w:right="180"/>
        <w:spacing w:after="0" w:line="263" w:lineRule="auto"/>
        <w:rPr>
          <w:sz w:val="20"/>
          <w:szCs w:val="20"/>
          <w:color w:val="auto"/>
        </w:rPr>
      </w:pPr>
      <w:r>
        <w:rPr>
          <w:rFonts w:ascii="Arial" w:cs="Arial" w:eastAsia="Arial" w:hAnsi="Arial"/>
          <w:sz w:val="18"/>
          <w:szCs w:val="18"/>
          <w:color w:val="auto"/>
        </w:rPr>
        <w:t>The Board of Directors has nominated the following persons to serve as Directors for the Corporation, each for a term to expire at the Annual Meeting of Shareholders following the fiscal year ending June 30, 2026, as indicated below. Shares of common stock represented by properly executed proxy appointments will be voted for the two nominees listed unless authority to do so is withheld.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Principal Occupation and Other</w:t>
            </w: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Name and</w:t>
            </w:r>
          </w:p>
        </w:tc>
        <w:tc>
          <w:tcPr>
            <w:tcW w:w="3200" w:type="dxa"/>
            <w:vAlign w:val="bottom"/>
          </w:tcPr>
          <w:p>
            <w:pPr>
              <w:ind w:left="420"/>
              <w:spacing w:after="0"/>
              <w:rPr>
                <w:sz w:val="20"/>
                <w:szCs w:val="20"/>
                <w:color w:val="auto"/>
              </w:rPr>
            </w:pPr>
            <w:r>
              <w:rPr>
                <w:rFonts w:ascii="Arial" w:cs="Arial" w:eastAsia="Arial" w:hAnsi="Arial"/>
                <w:sz w:val="18"/>
                <w:szCs w:val="18"/>
                <w:color w:val="auto"/>
              </w:rPr>
              <w:t>Public Company Directorships</w:t>
            </w:r>
          </w:p>
        </w:tc>
        <w:tc>
          <w:tcPr>
            <w:tcW w:w="294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Served as Director</w:t>
            </w:r>
          </w:p>
        </w:tc>
      </w:tr>
      <w:tr>
        <w:trPr>
          <w:trHeight w:val="230"/>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Age</w:t>
            </w:r>
          </w:p>
        </w:tc>
        <w:tc>
          <w:tcPr>
            <w:tcW w:w="32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Held Within Past Five Years</w:t>
            </w:r>
          </w:p>
        </w:tc>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Skills and Qualifications</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Continuously Since</w:t>
            </w:r>
          </w:p>
        </w:tc>
      </w:tr>
      <w:tr>
        <w:trPr>
          <w:trHeight w:val="210"/>
        </w:trPr>
        <w:tc>
          <w:tcPr>
            <w:tcW w:w="2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TERMS EXPIRE IN 2023:</w:t>
            </w:r>
          </w:p>
        </w:tc>
        <w:tc>
          <w:tcPr>
            <w:tcW w:w="32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Doar</w:t>
            </w:r>
          </w:p>
        </w:tc>
        <w:tc>
          <w:tcPr>
            <w:tcW w:w="32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Executive Chairman and former</w:t>
            </w: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Mr. Doar is Executive Chairman and</w:t>
            </w:r>
          </w:p>
        </w:tc>
        <w:tc>
          <w:tcPr>
            <w:tcW w:w="2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October 2008</w:t>
            </w: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68</w:t>
            </w: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Chairman and Chief Executive</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former CEO of a public company.</w:t>
            </w:r>
          </w:p>
        </w:tc>
        <w:tc>
          <w:tcPr>
            <w:tcW w:w="27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Officer, Hurco Companies, Inc.,</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His experience includes strategic</w:t>
            </w:r>
          </w:p>
        </w:tc>
        <w:tc>
          <w:tcPr>
            <w:tcW w:w="27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Indianapolis, Indiana (A global</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planning, financial oversight,</w:t>
            </w:r>
          </w:p>
        </w:tc>
        <w:tc>
          <w:tcPr>
            <w:tcW w:w="27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manufacturer of machine tools)</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and organizational</w:t>
            </w:r>
          </w:p>
        </w:tc>
        <w:tc>
          <w:tcPr>
            <w:tcW w:w="270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competencies.</w:t>
            </w:r>
          </w:p>
        </w:tc>
        <w:tc>
          <w:tcPr>
            <w:tcW w:w="270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C. Smiley</w:t>
            </w:r>
          </w:p>
        </w:tc>
        <w:tc>
          <w:tcPr>
            <w:tcW w:w="32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Former Chief Financial Officer,</w:t>
            </w: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Mr. Smiley is a former CFO of a</w:t>
            </w:r>
          </w:p>
        </w:tc>
        <w:tc>
          <w:tcPr>
            <w:tcW w:w="2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August 2019</w:t>
            </w: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64</w:t>
            </w: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Zebra Technologies Corp.,</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public company. His competencies</w:t>
            </w:r>
          </w:p>
        </w:tc>
        <w:tc>
          <w:tcPr>
            <w:tcW w:w="27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Lincolnshire, Illinois (A global</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include strategic planning, financial</w:t>
            </w:r>
          </w:p>
        </w:tc>
        <w:tc>
          <w:tcPr>
            <w:tcW w:w="27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provider of enterprise asset</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oversight, mergers and acquisitions,</w:t>
            </w:r>
          </w:p>
        </w:tc>
        <w:tc>
          <w:tcPr>
            <w:tcW w:w="27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intelligence solutions to identify,</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extensive domestic and international</w:t>
            </w:r>
          </w:p>
        </w:tc>
        <w:tc>
          <w:tcPr>
            <w:tcW w:w="27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track and manage the deployment of</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experience in complex</w:t>
            </w:r>
          </w:p>
        </w:tc>
        <w:tc>
          <w:tcPr>
            <w:tcW w:w="27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critical assets for improved business</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manufacturing and engineered and</w:t>
            </w:r>
          </w:p>
        </w:tc>
        <w:tc>
          <w:tcPr>
            <w:tcW w:w="27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efficiency). Mr. Smiley was</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 products.</w:t>
            </w:r>
          </w:p>
        </w:tc>
        <w:tc>
          <w:tcPr>
            <w:tcW w:w="27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previously a Director of the</w:t>
            </w:r>
          </w:p>
        </w:tc>
        <w:tc>
          <w:tcPr>
            <w:tcW w:w="29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spacing w:after="0"/>
              <w:rPr>
                <w:sz w:val="20"/>
                <w:szCs w:val="20"/>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Corporation from 2010-2018.</w:t>
            </w:r>
          </w:p>
        </w:tc>
        <w:tc>
          <w:tcPr>
            <w:tcW w:w="29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20" w:right="8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YOU VOTE IN FAVOR OF ELECTING THE NOMINEES LISTED ABOVE AS DIRECTORS. UNLESS YOU INDICATE OTHERWISE ON YOUR PROXY, YOUR SHARES WILL BE VOTED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ELECTION OF EACH OF THESE NOMINEES AS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left="20" w:right="20"/>
        <w:spacing w:after="0" w:line="277" w:lineRule="auto"/>
        <w:rPr>
          <w:sz w:val="20"/>
          <w:szCs w:val="20"/>
          <w:color w:val="auto"/>
        </w:rPr>
      </w:pPr>
      <w:r>
        <w:rPr>
          <w:rFonts w:ascii="Arial" w:cs="Arial" w:eastAsia="Arial" w:hAnsi="Arial"/>
          <w:sz w:val="18"/>
          <w:szCs w:val="18"/>
          <w:color w:val="auto"/>
        </w:rPr>
        <w:t>The Directors whose terms are continuing, and the classes to which they have been elected, are set forth below. Each Director whose term is continuing was elected to his or her present term of office by a vote of shareholders at a meeting for which proxies were solicited.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Principal Occupation and Other</w:t>
            </w: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Name and</w:t>
            </w:r>
          </w:p>
        </w:tc>
        <w:tc>
          <w:tcPr>
            <w:tcW w:w="3220" w:type="dxa"/>
            <w:vAlign w:val="bottom"/>
          </w:tcPr>
          <w:p>
            <w:pPr>
              <w:ind w:left="420"/>
              <w:spacing w:after="0"/>
              <w:rPr>
                <w:sz w:val="20"/>
                <w:szCs w:val="20"/>
                <w:color w:val="auto"/>
              </w:rPr>
            </w:pPr>
            <w:r>
              <w:rPr>
                <w:rFonts w:ascii="Arial" w:cs="Arial" w:eastAsia="Arial" w:hAnsi="Arial"/>
                <w:sz w:val="18"/>
                <w:szCs w:val="18"/>
                <w:color w:val="auto"/>
              </w:rPr>
              <w:t>Public Company Directorships</w:t>
            </w:r>
          </w:p>
        </w:tc>
        <w:tc>
          <w:tcPr>
            <w:tcW w:w="294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Served as Director</w:t>
            </w:r>
          </w:p>
        </w:tc>
      </w:tr>
      <w:tr>
        <w:trPr>
          <w:trHeight w:val="230"/>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Age</w:t>
            </w:r>
          </w:p>
        </w:tc>
        <w:tc>
          <w:tcPr>
            <w:tcW w:w="3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Held Within Past Five Years</w:t>
            </w:r>
          </w:p>
        </w:tc>
        <w:tc>
          <w:tcPr>
            <w:tcW w:w="2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Skills and Qualifications</w:t>
            </w:r>
          </w:p>
        </w:tc>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Continuously Since</w:t>
            </w:r>
          </w:p>
        </w:tc>
      </w:tr>
      <w:tr>
        <w:trPr>
          <w:trHeight w:val="209"/>
        </w:trPr>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DIRECTORS WHOSE TERMS EXPIRE IN 2024:</w:t>
            </w:r>
          </w:p>
        </w:tc>
        <w:tc>
          <w:tcPr>
            <w:tcW w:w="29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Janet P. Giesselman</w:t>
            </w:r>
          </w:p>
        </w:tc>
        <w:tc>
          <w:tcPr>
            <w:tcW w:w="32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6"/>
              </w:rPr>
              <w:t>Retired President of Dow Oil &amp; Gas,</w:t>
            </w:r>
          </w:p>
        </w:tc>
        <w:tc>
          <w:tcPr>
            <w:tcW w:w="29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Ms. Giesselman is a retired senior</w:t>
            </w:r>
          </w:p>
        </w:tc>
        <w:tc>
          <w:tcPr>
            <w:tcW w:w="26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June 2015</w:t>
            </w: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69</w:t>
            </w: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 business unit of The Dow</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of a global public</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Chemical Company, Midland,</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company. Her background includes</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Michigan. Also Director, Ag Growth</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strategic planning, financial</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(A global provider of</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oversight, sales, marketing, start-ups,</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grain handling and storage</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mergers and acquisitions and global</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Director, Corteva</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regulatory expertise. Ms. Giesselman</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Agriscience (The only major</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has extensive international</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agriscience company dedicated to</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experience and a broad background</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agriculture), Former Director,</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in the oil and gas and the agricultural</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Avicanna, Inc. (A biopharmaceutical</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sectors.</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company), Former Director, GCP (A</w:t>
            </w:r>
          </w:p>
        </w:tc>
        <w:tc>
          <w:tcPr>
            <w:tcW w:w="29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construction company) and Former</w:t>
            </w:r>
          </w:p>
        </w:tc>
        <w:tc>
          <w:tcPr>
            <w:tcW w:w="29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 Omnova Solutions (A</w:t>
            </w:r>
          </w:p>
        </w:tc>
        <w:tc>
          <w:tcPr>
            <w:tcW w:w="29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 provider of emulsion</w:t>
            </w:r>
          </w:p>
        </w:tc>
        <w:tc>
          <w:tcPr>
            <w:tcW w:w="29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spacing w:after="0"/>
              <w:rPr>
                <w:sz w:val="20"/>
                <w:szCs w:val="20"/>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polymers and specialty chemicals).</w:t>
            </w:r>
          </w:p>
        </w:tc>
        <w:tc>
          <w:tcPr>
            <w:tcW w:w="29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W. Johnson</w:t>
            </w:r>
          </w:p>
        </w:tc>
        <w:tc>
          <w:tcPr>
            <w:tcW w:w="32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Vice President and Chief Financial</w:t>
            </w:r>
          </w:p>
        </w:tc>
        <w:tc>
          <w:tcPr>
            <w:tcW w:w="29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Mr. Johnson is a sitting CFO of a</w:t>
            </w:r>
          </w:p>
        </w:tc>
        <w:tc>
          <w:tcPr>
            <w:tcW w:w="26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July 2016</w:t>
            </w: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60</w:t>
            </w: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Officer, Johnson Outdoors, Inc.,</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company. His strengths</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Racine, Wisconsin (A global</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include financial leadership, new</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provider of outdoor recreation</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business development, operational</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products).</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 savings and</w:t>
            </w:r>
          </w:p>
        </w:tc>
        <w:tc>
          <w:tcPr>
            <w:tcW w:w="268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strategic analysis.</w:t>
            </w:r>
          </w:p>
        </w:tc>
        <w:tc>
          <w:tcPr>
            <w:tcW w:w="268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TERMS EXPIRE IN 2025:</w:t>
            </w:r>
          </w:p>
        </w:tc>
        <w:tc>
          <w:tcPr>
            <w:tcW w:w="32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H. Batten</w:t>
            </w:r>
          </w:p>
        </w:tc>
        <w:tc>
          <w:tcPr>
            <w:tcW w:w="32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Chief Executive Officer, Twin Disc,</w:t>
            </w:r>
          </w:p>
        </w:tc>
        <w:tc>
          <w:tcPr>
            <w:tcW w:w="29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Mr. Batten is a sitting CEO of a</w:t>
            </w:r>
          </w:p>
        </w:tc>
        <w:tc>
          <w:tcPr>
            <w:tcW w:w="26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December 2002</w:t>
            </w: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58</w:t>
            </w: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Incorporated since May 2019;</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company. His skill sets</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formerly President and CEO since</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include strategic and operational</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July 2013; formerly President and</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planning, financial oversight, and</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Chief Operating Officer since July</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organizational development as well</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2008, and Executive Vice President</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extensive domestic and</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since October 2004.</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experience in</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engineered products and a complex</w:t>
            </w:r>
          </w:p>
        </w:tc>
        <w:tc>
          <w:tcPr>
            <w:tcW w:w="268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manufacturing environment.</w:t>
            </w:r>
          </w:p>
        </w:tc>
        <w:tc>
          <w:tcPr>
            <w:tcW w:w="268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Juliann Larimer</w:t>
            </w:r>
          </w:p>
        </w:tc>
        <w:tc>
          <w:tcPr>
            <w:tcW w:w="32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Chair of the Board and retired</w:t>
            </w:r>
          </w:p>
        </w:tc>
        <w:tc>
          <w:tcPr>
            <w:tcW w:w="29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Ms. Larimer is Board Chair and</w:t>
            </w:r>
          </w:p>
        </w:tc>
        <w:tc>
          <w:tcPr>
            <w:tcW w:w="26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February 2022</w:t>
            </w: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57</w:t>
            </w: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President and Chief Executive</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former CEO of a technology</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Officer, Peak Technologies,</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company and former Vice President</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Milwaukee, Wisconsin (A provider</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of Sales for a global public company,</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end-to-end mobility and digital</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Zebra Technologies. She is skilled in</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supply chain solutions for</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strategic planning, global sales</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performance-driven organizations).</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strategy and management of diverse</w:t>
            </w:r>
          </w:p>
        </w:tc>
        <w:tc>
          <w:tcPr>
            <w:tcW w:w="268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teams.</w:t>
            </w:r>
          </w:p>
        </w:tc>
        <w:tc>
          <w:tcPr>
            <w:tcW w:w="268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Kevin M. Olsen</w:t>
            </w:r>
          </w:p>
        </w:tc>
        <w:tc>
          <w:tcPr>
            <w:tcW w:w="32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President and Chief Executive</w:t>
            </w:r>
          </w:p>
        </w:tc>
        <w:tc>
          <w:tcPr>
            <w:tcW w:w="29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Mr. Olsen is a sitting CEO of a</w:t>
            </w:r>
          </w:p>
        </w:tc>
        <w:tc>
          <w:tcPr>
            <w:tcW w:w="26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August 2022</w:t>
            </w: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52</w:t>
            </w: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Officer, Dorman Products, Colmar</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company, and former</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Pennsylvania (A supplier of</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CFO.His skills include executive</w:t>
            </w:r>
          </w:p>
        </w:tc>
        <w:tc>
          <w:tcPr>
            <w:tcW w:w="268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replacement parts for the global</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leadership, financial management</w:t>
            </w:r>
          </w:p>
        </w:tc>
        <w:tc>
          <w:tcPr>
            <w:tcW w:w="268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spacing w:after="0"/>
              <w:rPr>
                <w:sz w:val="20"/>
                <w:szCs w:val="20"/>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automotive aftermarket industry).</w:t>
            </w: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strategic planning.</w:t>
            </w:r>
          </w:p>
        </w:tc>
        <w:tc>
          <w:tcPr>
            <w:tcW w:w="2680" w:type="dxa"/>
            <w:vAlign w:val="bottom"/>
            <w:shd w:val="clear" w:color="auto" w:fill="CCEEFF"/>
          </w:tcPr>
          <w:p>
            <w:pPr>
              <w:spacing w:after="0"/>
              <w:rPr>
                <w:sz w:val="20"/>
                <w:szCs w:val="20"/>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PROPOSAL 2: ADVISORY VOTE ON THE COMPENSATION OF THE CORPORATION</w:t>
      </w:r>
      <w:r>
        <w:rPr>
          <w:rFonts w:ascii="Arial" w:cs="Arial" w:eastAsia="Arial" w:hAnsi="Arial"/>
          <w:sz w:val="18"/>
          <w:szCs w:val="18"/>
          <w:color w:val="auto"/>
        </w:rPr>
        <w:t>’</w:t>
      </w:r>
      <w:r>
        <w:rPr>
          <w:rFonts w:ascii="Arial" w:cs="Arial" w:eastAsia="Arial" w:hAnsi="Arial"/>
          <w:sz w:val="18"/>
          <w:szCs w:val="18"/>
          <w:b w:val="1"/>
          <w:bCs w:val="1"/>
          <w:color w:val="auto"/>
        </w:rPr>
        <w:t>S NAMED EXECUTIVE OFFICERS</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2023 compensation practices and programs for the Named Executive Officers by voting on the following resolution:</w:t>
      </w:r>
    </w:p>
    <w:p>
      <w:pPr>
        <w:spacing w:after="0" w:line="153" w:lineRule="exact"/>
        <w:rPr>
          <w:sz w:val="20"/>
          <w:szCs w:val="20"/>
          <w:color w:val="auto"/>
        </w:rPr>
      </w:pPr>
    </w:p>
    <w:p>
      <w:pPr>
        <w:ind w:left="640" w:right="144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Corporation’s Named Executive Officers, as disclosed pursuant to Item 402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Regulation S-K including the executive compensation disclosures, is hereby </w:t>
      </w:r>
      <w:r>
        <w:rPr>
          <w:rFonts w:ascii="Arial" w:cs="Arial" w:eastAsia="Arial" w:hAnsi="Arial"/>
          <w:sz w:val="18"/>
          <w:szCs w:val="18"/>
          <w:b w:val="1"/>
          <w:bCs w:val="1"/>
          <w:color w:val="auto"/>
        </w:rPr>
        <w:t>APPROVED</w:t>
      </w:r>
      <w:r>
        <w:rPr>
          <w:rFonts w:ascii="Arial" w:cs="Arial" w:eastAsia="Arial" w:hAnsi="Arial"/>
          <w:sz w:val="18"/>
          <w:szCs w:val="18"/>
          <w:color w:val="auto"/>
        </w:rPr>
        <w:t>.</w:t>
      </w:r>
    </w:p>
    <w:p>
      <w:pPr>
        <w:spacing w:after="0" w:line="166"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As described in the “Executive Compensation” section of this Proxy Statement, and in particular the “Executive Summary” portion of the Executive Compensation section of this Proxy Statement, the Corporation has established a compensation program that is designed to attract and retain key employees, and reward those employees for the short-term and long-term performance of the Corporation.</w:t>
      </w:r>
    </w:p>
    <w:p>
      <w:pPr>
        <w:spacing w:after="0" w:line="16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 term performance stock awards were granted in 2020 subject to three-year objectives for return on invested capital, cumulative sales revenue and free cash flow. Based on the cumulative performance of the Corporation over the past three fiscal years with respect to these three performance measures, the performance stock awards vested at 89.4% of the target level in fiscal 2023.</w:t>
      </w:r>
    </w:p>
    <w:p>
      <w:pPr>
        <w:spacing w:after="0" w:line="17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gross-ups for excess parachute payments. In addition, the Corporation’s change in control severance agreements with its Named Executive Officers contain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“double trigger” provisions (i.e., both a change in control and an involuntary termination or resignation for good reason) in order for outstanding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awards to vest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paid.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shareholder vote is advisory, and therefore not binding on the Corporation. However, the Board of Directors and its Compensation and Human Capital Committee will take the results of the vote into consideration in addressing future compensation policies and practices.</w:t>
      </w:r>
    </w:p>
    <w:p>
      <w:pPr>
        <w:spacing w:after="0" w:line="16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color w:val="auto"/>
        </w:rPr>
        <w:t>THE BOARD OF DIRECTORS RECOMMENDS THAT YOU VOTE IN FAVOR OF THE RESOLUTION TO APPROVE THE COMPENSATION PAID TO THE CORPORATION</w:t>
      </w:r>
      <w:r>
        <w:rPr>
          <w:rFonts w:ascii="Arial" w:cs="Arial" w:eastAsia="Arial" w:hAnsi="Arial"/>
          <w:sz w:val="18"/>
          <w:szCs w:val="18"/>
          <w:color w:val="auto"/>
        </w:rPr>
        <w:t>’</w:t>
      </w:r>
      <w:r>
        <w:rPr>
          <w:rFonts w:ascii="Arial" w:cs="Arial" w:eastAsia="Arial" w:hAnsi="Arial"/>
          <w:sz w:val="18"/>
          <w:szCs w:val="18"/>
          <w:b w:val="1"/>
          <w:bCs w:val="1"/>
          <w:color w:val="auto"/>
        </w:rPr>
        <w:t xml:space="preserve">S NAMED EXECUTIVE OFFICERS. UNLESS YOU INDICATE OTHERWISE ON YOUR PROXY, YOUR SHARES WILL BE VOTED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RESOLUTION TO APPROVE THE COMPENSATION PAID TO THE CORPORATION</w:t>
      </w:r>
      <w:r>
        <w:rPr>
          <w:rFonts w:ascii="Arial" w:cs="Arial" w:eastAsia="Arial" w:hAnsi="Arial"/>
          <w:sz w:val="18"/>
          <w:szCs w:val="18"/>
          <w:color w:val="auto"/>
        </w:rPr>
        <w:t>’</w:t>
      </w:r>
      <w:r>
        <w:rPr>
          <w:rFonts w:ascii="Arial" w:cs="Arial" w:eastAsia="Arial" w:hAnsi="Arial"/>
          <w:sz w:val="18"/>
          <w:szCs w:val="18"/>
          <w:b w:val="1"/>
          <w:bCs w:val="1"/>
          <w:color w:val="auto"/>
        </w:rPr>
        <w:t>S NAMED EXECUTIVE OFFICERS.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TWIN DISC, INCORPORATED 2023 ANNUAL REPORT | PROXY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1" w:name="page12"/>
    <w:bookmarkEnd w:id="11"/>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PROPOSAL 3: ADVISORY VOTE ON THE FREQUENCY OF THE VOTE ON NAMED EXECUTIVE OFFICER COMPENSATION</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As required by Section 14A of the Securities Exchange Act of 1934 (as amended), the Board of Directors is also holding a separate, non-binding advisory vote on how frequently the advisory vote on the compensation of the Corporation’s Named Executive Officers (the “Say on Pay” vote) should be held. As set forth on the proxy card, shareholders may vote to have a “Say on Pay” vote every one, two or three years, or they may abstain from voting.</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Board of Directors has determined that holding the “Say on Pay” vote EVERY YEAR is the best approach for the Corporation. Holding this vote every year will enhance shareholder communication by providing shareholders a clear, simple way to express their sentiment regarding the Corporation’s executive compensation practices.</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shareholder vote is advisory, and therefore not binding on the Corporation. However, the Board of Directors will take the results of the vote into consideration in addressing the frequency of future “Say on Pay” votes.</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THE BOARD OF DIRECTORS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EVERY YEAR</w:t>
      </w:r>
      <w:r>
        <w:rPr>
          <w:rFonts w:ascii="Arial" w:cs="Arial" w:eastAsia="Arial" w:hAnsi="Arial"/>
          <w:sz w:val="18"/>
          <w:szCs w:val="18"/>
          <w:color w:val="auto"/>
        </w:rPr>
        <w:t>”</w:t>
      </w:r>
      <w:r>
        <w:rPr>
          <w:rFonts w:ascii="Arial" w:cs="Arial" w:eastAsia="Arial" w:hAnsi="Arial"/>
          <w:sz w:val="18"/>
          <w:szCs w:val="18"/>
          <w:b w:val="1"/>
          <w:bCs w:val="1"/>
          <w:color w:val="auto"/>
        </w:rPr>
        <w:t xml:space="preserve"> AS TO THE FREQUENCY OF THE SHAREHOLDER ADVISORY VOTE ON THE COMPENSATION OF THE CORPORATION</w:t>
      </w:r>
      <w:r>
        <w:rPr>
          <w:rFonts w:ascii="Arial" w:cs="Arial" w:eastAsia="Arial" w:hAnsi="Arial"/>
          <w:sz w:val="18"/>
          <w:szCs w:val="18"/>
          <w:color w:val="auto"/>
        </w:rPr>
        <w:t>’</w:t>
      </w:r>
      <w:r>
        <w:rPr>
          <w:rFonts w:ascii="Arial" w:cs="Arial" w:eastAsia="Arial" w:hAnsi="Arial"/>
          <w:sz w:val="18"/>
          <w:szCs w:val="18"/>
          <w:b w:val="1"/>
          <w:bCs w:val="1"/>
          <w:color w:val="auto"/>
        </w:rPr>
        <w:t xml:space="preserve">S NAMED EXECUTIVE OFFICERS. UNLESS YOU INDICATE OTHERWISE ON YOUR PROXY, YOUR SHARES WILL BE VOTED IN FAVOR OF AN </w:t>
      </w:r>
      <w:r>
        <w:rPr>
          <w:rFonts w:ascii="Arial" w:cs="Arial" w:eastAsia="Arial" w:hAnsi="Arial"/>
          <w:sz w:val="18"/>
          <w:szCs w:val="18"/>
          <w:color w:val="auto"/>
        </w:rPr>
        <w:t>“</w:t>
      </w:r>
      <w:r>
        <w:rPr>
          <w:rFonts w:ascii="Arial" w:cs="Arial" w:eastAsia="Arial" w:hAnsi="Arial"/>
          <w:sz w:val="18"/>
          <w:szCs w:val="18"/>
          <w:b w:val="1"/>
          <w:bCs w:val="1"/>
          <w:color w:val="auto"/>
        </w:rPr>
        <w:t>EVERY YEAR</w:t>
      </w:r>
      <w:r>
        <w:rPr>
          <w:rFonts w:ascii="Arial" w:cs="Arial" w:eastAsia="Arial" w:hAnsi="Arial"/>
          <w:sz w:val="18"/>
          <w:szCs w:val="18"/>
          <w:color w:val="auto"/>
        </w:rPr>
        <w:t>”</w:t>
      </w:r>
      <w:r>
        <w:rPr>
          <w:rFonts w:ascii="Arial" w:cs="Arial" w:eastAsia="Arial" w:hAnsi="Arial"/>
          <w:sz w:val="18"/>
          <w:szCs w:val="18"/>
          <w:b w:val="1"/>
          <w:bCs w:val="1"/>
          <w:color w:val="auto"/>
        </w:rPr>
        <w:t xml:space="preserve"> FREQUENCY OF THE SAY ON PAY VOTE.</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TWIN DISC, INCORPORATED 2023 ANNUAL REPORT | PROXY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2" w:name="page13"/>
    <w:bookmarkEnd w:id="12"/>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PROPOSAL 4: RATIFICATION OF APPOINTMENT OF INDEPENDENT REGISTERED PUBLIC ACCOUNTING FIRM</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Audit Committee has selected RSM US LLP (“RSM”) as our independent registered public accounting firm for the fiscal year ending June 30, 2024, including service to our consolidated subsidiaries. RSM has acted in this capacity since fiscal 2018, following a competitive bidding process. A representative of RSM will attend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to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Aggregate fees billed or expected to be billed for professional services rendered by RSM in connection with (i) the audit of the Corporation’s consolidated financial statements as of and for the years ended June 30, 2023 and June 30, 2022, including statutory audits of the financial statements of the Corporation’s affiliates, and (ii) the reviews of the Corporation’s quarterly financial statements were $1,387,500 and $1,182,700,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Aggregate fees billed for professional services rendered by RSM for assurance and services reasonably related to the performance of the audit or review of the Corporation’s financial statements not included in audit fees above were $8,800 and $27,800 for the years ended June 30, 2023 and 2022, respectively. The fiscal 2023 and 2022 fees related to attestation services required by a grant program at the Corporation’s foreign affiliate in the Netherlands.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fees billed by RSM during the years ended June 30, 2023 and 2022, respectively, pertaining to tax compliance, tax advice, and tax planning.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June 30, 2023 and 2022, there were no fees billed by RSM for products and services other than those listed above.</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Audit Committee has determined that the provision of services rendered above that were not related to its audit of the Corporation’s financial statements were at all times compatible with maintaining RSM’s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2023, 100% of audit- related, tax and other fees were pre-approved.</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YOU VOTE TO RATIFY THE SELECTION OF RSM US LLP AS OUR INDEPENDENT AUDITORS FOR THE FISCAL YEAR ENDING JUNE 30, 2024. UNLESS YOU INDICATE OTHERWISE, YOUR PROXY WILL BE VOTED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RATIFICATION.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TWIN DISC, INCORPORATED 2023 ANNUAL REPORT | PROXY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3" w:name="page14"/>
    <w:bookmarkEnd w:id="13"/>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President and Chief Executive Officer and with key members of management, by reviewing materials provided to them, and by participating in meetings of the Board of Directors and its committees.</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(“SEC”)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8"/>
          <w:szCs w:val="18"/>
          <w:b w:val="1"/>
          <w:bCs w:val="1"/>
          <w:u w:val="single" w:color="auto"/>
          <w:color w:val="auto"/>
        </w:rPr>
        <w:t>www.twindisc.com</w:t>
      </w:r>
      <w:r>
        <w:rPr>
          <w:rFonts w:ascii="Arial" w:cs="Arial" w:eastAsia="Arial" w:hAnsi="Arial"/>
          <w:sz w:val="18"/>
          <w:szCs w:val="18"/>
          <w:color w:val="auto"/>
        </w:rPr>
        <w:t>, and/or through appropriate mailings.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6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Board has determined that the following Directors are independent within the meaning of SEC regulations, the listing standards of the NASDAQ Stock Market and the Corporation’s Guidelines for Corporate Governance: Messrs. Doar, Johnson, Olsen and Smiley, and Mses. Giesselman and Larimer.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positions of Chairman of the Board and Chief Executive Officer (“CEO”) are separated between Mr. Smiley and Mr. Batten. This allows our CEO (Mr. Batten) to focus on the day-to-day business operations, while allowing the Chairman of the Board (Mr. Smiley) to lead our Board in its role of providing oversight and advice to management. The Board retains the authority to modify this leadership structure as and when appropriate to best address the Company’s current circumstances and to advance the interests of all shareholders.</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Chairman of the Board presides over executive sessions of the independent directors; serves as liaison between the CEO and other independent directors; consults with the CEO as to appropriate scheduling and agendas of meetings of the Board; and serves as the principal liaison for communication by shareholders and employees directed specifically toward non-management directors.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TWIN DISC, INCORPORATED 2023 ANNUAL REPORT | PROXY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4" w:name="page15"/>
    <w:bookmarkEnd w:id="14"/>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shows the diversity make-up of the Board of Directors as of August 4, 2023:</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Diversity Matrix (As of August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158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Number of Directors: 7</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5860" w:type="dxa"/>
            <w:vAlign w:val="bottom"/>
            <w:tcBorders>
              <w:top w:val="single" w:sz="8" w:color="auto"/>
              <w:left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3"/>
              </w:rPr>
              <w:t>Did Not</w:t>
            </w:r>
          </w:p>
        </w:tc>
      </w:tr>
      <w:tr>
        <w:trPr>
          <w:trHeight w:val="216"/>
        </w:trPr>
        <w:tc>
          <w:tcPr>
            <w:tcW w:w="58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Disclose</w:t>
            </w:r>
          </w:p>
        </w:tc>
      </w:tr>
      <w:tr>
        <w:trPr>
          <w:trHeight w:val="234"/>
        </w:trPr>
        <w:tc>
          <w:tcPr>
            <w:tcW w:w="586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Female</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4"/>
              </w:rPr>
              <w:t>Male</w:t>
            </w:r>
          </w:p>
        </w:tc>
        <w:tc>
          <w:tcPr>
            <w:tcW w:w="2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Binary</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Gender</w:t>
            </w:r>
          </w:p>
        </w:tc>
      </w:tr>
      <w:tr>
        <w:trPr>
          <w:trHeight w:val="209"/>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3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Directors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5</w:t>
            </w:r>
          </w:p>
        </w:tc>
        <w:tc>
          <w:tcPr>
            <w:tcW w:w="2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09"/>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3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09"/>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African American or Black</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0</w:t>
            </w:r>
          </w:p>
        </w:tc>
        <w:tc>
          <w:tcPr>
            <w:tcW w:w="2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10"/>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Alaskan Native or Native American</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0</w:t>
            </w:r>
          </w:p>
        </w:tc>
        <w:tc>
          <w:tcPr>
            <w:tcW w:w="2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09"/>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Asian</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0</w:t>
            </w:r>
          </w:p>
        </w:tc>
        <w:tc>
          <w:tcPr>
            <w:tcW w:w="2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09"/>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Hispanic or Latinx</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0</w:t>
            </w:r>
          </w:p>
        </w:tc>
        <w:tc>
          <w:tcPr>
            <w:tcW w:w="2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10"/>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Native Hawaiian or Pacific Islander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0</w:t>
            </w:r>
          </w:p>
        </w:tc>
        <w:tc>
          <w:tcPr>
            <w:tcW w:w="2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09"/>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White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5</w:t>
            </w:r>
          </w:p>
        </w:tc>
        <w:tc>
          <w:tcPr>
            <w:tcW w:w="2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10"/>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Two or More Races or Ethnicities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0</w:t>
            </w:r>
          </w:p>
        </w:tc>
        <w:tc>
          <w:tcPr>
            <w:tcW w:w="2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09"/>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LGBTQ+</w:t>
            </w: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1230"/>
              <w:spacing w:after="0"/>
              <w:rPr>
                <w:sz w:val="20"/>
                <w:szCs w:val="20"/>
                <w:color w:val="auto"/>
              </w:rPr>
            </w:pPr>
            <w:r>
              <w:rPr>
                <w:rFonts w:ascii="Arial" w:cs="Arial" w:eastAsia="Arial" w:hAnsi="Arial"/>
                <w:sz w:val="18"/>
                <w:szCs w:val="18"/>
                <w:color w:val="auto"/>
              </w:rPr>
              <w:t>0</w:t>
            </w:r>
          </w:p>
        </w:tc>
        <w:tc>
          <w:tcPr>
            <w:tcW w:w="1340" w:type="dxa"/>
            <w:vAlign w:val="bottom"/>
            <w:tcBorders>
              <w:bottom w:val="single" w:sz="8" w:color="auto"/>
              <w:right w:val="single" w:sz="8" w:color="auto"/>
            </w:tcBorders>
          </w:tcPr>
          <w:p>
            <w:pPr>
              <w:spacing w:after="0"/>
              <w:rPr>
                <w:sz w:val="18"/>
                <w:szCs w:val="18"/>
                <w:color w:val="auto"/>
              </w:rPr>
            </w:pPr>
          </w:p>
        </w:tc>
      </w:tr>
      <w:tr>
        <w:trPr>
          <w:trHeight w:val="209"/>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Did Not Disclose Demographic Background</w:t>
            </w: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1230"/>
              <w:spacing w:after="0"/>
              <w:rPr>
                <w:sz w:val="20"/>
                <w:szCs w:val="20"/>
                <w:color w:val="auto"/>
              </w:rPr>
            </w:pPr>
            <w:r>
              <w:rPr>
                <w:rFonts w:ascii="Arial" w:cs="Arial" w:eastAsia="Arial" w:hAnsi="Arial"/>
                <w:sz w:val="18"/>
                <w:szCs w:val="18"/>
                <w:color w:val="auto"/>
              </w:rPr>
              <w:t>0</w:t>
            </w:r>
          </w:p>
        </w:tc>
        <w:tc>
          <w:tcPr>
            <w:tcW w:w="134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w:t>
      </w:r>
      <w:r>
        <w:rPr>
          <w:rFonts w:ascii="Arial" w:cs="Arial" w:eastAsia="Arial" w:hAnsi="Arial"/>
          <w:sz w:val="18"/>
          <w:szCs w:val="18"/>
          <w:color w:val="auto"/>
        </w:rPr>
        <w:t>’</w:t>
      </w:r>
      <w:r>
        <w:rPr>
          <w:rFonts w:ascii="Arial" w:cs="Arial" w:eastAsia="Arial" w:hAnsi="Arial"/>
          <w:sz w:val="18"/>
          <w:szCs w:val="18"/>
          <w:b w:val="1"/>
          <w:bCs w:val="1"/>
          <w:color w:val="auto"/>
        </w:rPr>
        <w:t>s Role in Risk Oversight</w:t>
      </w:r>
    </w:p>
    <w:p>
      <w:pPr>
        <w:spacing w:after="0" w:line="229" w:lineRule="exact"/>
        <w:rPr>
          <w:sz w:val="20"/>
          <w:szCs w:val="20"/>
          <w:color w:val="auto"/>
        </w:rPr>
      </w:pPr>
    </w:p>
    <w:p>
      <w:pPr>
        <w:ind w:left="20" w:right="20"/>
        <w:spacing w:after="0" w:line="293" w:lineRule="auto"/>
        <w:rPr>
          <w:sz w:val="20"/>
          <w:szCs w:val="20"/>
          <w:color w:val="auto"/>
        </w:rPr>
      </w:pPr>
      <w:r>
        <w:rPr>
          <w:rFonts w:ascii="Arial" w:cs="Arial" w:eastAsia="Arial" w:hAnsi="Arial"/>
          <w:sz w:val="16"/>
          <w:szCs w:val="16"/>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64" w:lineRule="exact"/>
        <w:rPr>
          <w:sz w:val="20"/>
          <w:szCs w:val="20"/>
          <w:color w:val="auto"/>
        </w:rPr>
      </w:pPr>
    </w:p>
    <w:p>
      <w:pPr>
        <w:ind w:left="20" w:right="260"/>
        <w:spacing w:after="0" w:line="259" w:lineRule="auto"/>
        <w:rPr>
          <w:sz w:val="20"/>
          <w:szCs w:val="20"/>
          <w:color w:val="auto"/>
        </w:rPr>
      </w:pPr>
      <w:r>
        <w:rPr>
          <w:rFonts w:ascii="Arial" w:cs="Arial" w:eastAsia="Arial" w:hAnsi="Arial"/>
          <w:sz w:val="18"/>
          <w:szCs w:val="18"/>
          <w:color w:val="auto"/>
        </w:rPr>
        <w:t>Various committees of the Board also have roles in the oversight of risk management. The Audit Committee focuses on financial risk, including the Corporation’s internal controls regarding finance, accounting, legal compliance and ethical behavior. The Compensation and Human Capital Committee evaluates risks that may be created by the Corporation’s compensation policies and practices, and also annually reviews the adequacy and status of the Corporation’s management succession plans.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Guidelines for Business Conduct and Ethics</w:t>
      </w:r>
    </w:p>
    <w:p>
      <w:pPr>
        <w:spacing w:after="0" w:line="229" w:lineRule="exact"/>
        <w:rPr>
          <w:sz w:val="20"/>
          <w:szCs w:val="20"/>
          <w:color w:val="auto"/>
        </w:rPr>
      </w:pPr>
    </w:p>
    <w:p>
      <w:pPr>
        <w:ind w:left="20" w:right="80"/>
        <w:spacing w:after="0" w:line="254" w:lineRule="auto"/>
        <w:rPr>
          <w:sz w:val="20"/>
          <w:szCs w:val="20"/>
          <w:color w:val="auto"/>
        </w:rPr>
      </w:pPr>
      <w:r>
        <w:rPr>
          <w:rFonts w:ascii="Arial" w:cs="Arial" w:eastAsia="Arial" w:hAnsi="Arial"/>
          <w:sz w:val="18"/>
          <w:szCs w:val="18"/>
          <w:color w:val="auto"/>
        </w:rPr>
        <w:t xml:space="preserve">Our Guidelines for Business Conduct and Ethics (the “Guidelines”) summarize the compliance and ethical standards and expectations we have for all our employees, executive officers and Directors with respect to their conduct in furtherance of the Corporation’s business. The Guidelines, which are available on the Corporation’s website, </w:t>
      </w:r>
      <w:r>
        <w:rPr>
          <w:rFonts w:ascii="Arial" w:cs="Arial" w:eastAsia="Arial" w:hAnsi="Arial"/>
          <w:sz w:val="18"/>
          <w:szCs w:val="18"/>
          <w:b w:val="1"/>
          <w:bCs w:val="1"/>
          <w:u w:val="single" w:color="auto"/>
          <w:color w:val="auto"/>
        </w:rPr>
        <w:t>www.twindisc.com</w:t>
      </w:r>
      <w:r>
        <w:rPr>
          <w:rFonts w:ascii="Arial" w:cs="Arial" w:eastAsia="Arial" w:hAnsi="Arial"/>
          <w:sz w:val="18"/>
          <w:szCs w:val="18"/>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Arial" w:cs="Arial" w:eastAsia="Arial" w:hAnsi="Arial"/>
          <w:sz w:val="18"/>
          <w:szCs w:val="18"/>
          <w:b w:val="1"/>
          <w:bCs w:val="1"/>
          <w:u w:val="single" w:color="auto"/>
          <w:color w:val="auto"/>
        </w:rPr>
        <w:t>www.twindisc.com</w:t>
      </w:r>
      <w:r>
        <w:rPr>
          <w:rFonts w:ascii="Arial" w:cs="Arial" w:eastAsia="Arial" w:hAnsi="Arial"/>
          <w:sz w:val="18"/>
          <w:szCs w:val="18"/>
          <w:color w:val="auto"/>
        </w:rPr>
        <w:t xml:space="preserve"> or in a current report on Form 8-K. In addition, if a waiver from the Guidelines is granted to an executive officer or Director, we will disclose the nature of such waiver on our website at </w:t>
      </w:r>
      <w:r>
        <w:rPr>
          <w:rFonts w:ascii="Arial" w:cs="Arial" w:eastAsia="Arial" w:hAnsi="Arial"/>
          <w:sz w:val="18"/>
          <w:szCs w:val="18"/>
          <w:b w:val="1"/>
          <w:bCs w:val="1"/>
          <w:u w:val="single" w:color="auto"/>
          <w:color w:val="auto"/>
        </w:rPr>
        <w:t>www.twindisc.com</w:t>
      </w:r>
      <w:r>
        <w:rPr>
          <w:rFonts w:ascii="Arial" w:cs="Arial" w:eastAsia="Arial" w:hAnsi="Arial"/>
          <w:sz w:val="18"/>
          <w:szCs w:val="18"/>
          <w:color w:val="auto"/>
        </w:rPr>
        <w:t xml:space="preserve"> or in a current report on Form 8-K.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Anti-Hedging and Pledging Policies</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t>
      </w:r>
      <w:r>
        <w:rPr>
          <w:rFonts w:ascii="Arial" w:cs="Arial" w:eastAsia="Arial" w:hAnsi="Arial"/>
          <w:sz w:val="16"/>
          <w:szCs w:val="16"/>
          <w:b w:val="1"/>
          <w:bCs w:val="1"/>
          <w:u w:val="single" w:color="auto"/>
          <w:color w:val="auto"/>
        </w:rPr>
        <w:t>www.twindisc.com</w:t>
      </w:r>
      <w:r>
        <w:rPr>
          <w:rFonts w:ascii="Arial" w:cs="Arial" w:eastAsia="Arial" w:hAnsi="Arial"/>
          <w:sz w:val="16"/>
          <w:szCs w:val="16"/>
          <w:b w:val="1"/>
          <w:b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Guidelines also specifically require that all employees, executive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executive officers or employees, and their relatives or businesses.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At the end of each fiscal year, each Director and officer must respond to a questionnaire that requires him or her to identify any transaction or relationship that occurred during the prior two fiscal years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 department and shared with the CEO and Audit Committee, as appropriate. Based upon such review, there were no related party transactions with respect to persons who were Directors or executive officers during fiscal 2022 or fiscal 2023 requiring disclosure under the rules of the Securities and Exchange Commission.</w:t>
      </w:r>
    </w:p>
    <w:p>
      <w:pPr>
        <w:spacing w:after="0" w:line="17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DIRECTOR COMMITTEES AND ATTENDANCE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Board Committees; Attendance</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Corporation’s Board of Directors met six times during the year ended June 30, 2023. Among incumbent Directors, there were three absences from these meetings. The Audit Committee met five times during the year. The Nominating and Governance Committee met two times during the year. The Compensation and Human Capital Committee met three times during the year. One Director, Ms. Giesselman, did not attend at least 75% of the aggregate of the total number of meetings of the Board of Directors and of the Committees on which she served.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Committee Functions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has a separately-designated Audit Committee established in accordance with Section 3(a)(58)(A) of the Securities Exchange Act of 1934.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charter of the Audit Committee is available on the Corporation’s website, </w:t>
      </w:r>
      <w:r>
        <w:rPr>
          <w:rFonts w:ascii="Arial" w:cs="Arial" w:eastAsia="Arial" w:hAnsi="Arial"/>
          <w:sz w:val="16"/>
          <w:szCs w:val="16"/>
          <w:b w:val="1"/>
          <w:bCs w:val="1"/>
          <w:u w:val="single" w:color="auto"/>
          <w:color w:val="auto"/>
        </w:rPr>
        <w:t>www.twindisc.com</w:t>
      </w:r>
      <w:r>
        <w:rPr>
          <w:rFonts w:ascii="Arial" w:cs="Arial" w:eastAsia="Arial" w:hAnsi="Arial"/>
          <w:sz w:val="16"/>
          <w:szCs w:val="16"/>
          <w:color w:val="auto"/>
        </w:rPr>
        <w:t>. It was most recently reviewed on August 3, 2023.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TWIN DISC, INCORPORATED 2023 ANNUAL REPORT | PROXY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40" w:top="1440" w:right="419" w:bottom="1440" w:gutter="0" w:footer="0" w:header="0"/>
        </w:sectPr>
      </w:pPr>
    </w:p>
    <w:bookmarkStart w:id="16" w:name="page17"/>
    <w:bookmarkEnd w:id="16"/>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right="180"/>
        <w:spacing w:after="0" w:line="311" w:lineRule="auto"/>
        <w:rPr>
          <w:sz w:val="20"/>
          <w:szCs w:val="20"/>
          <w:color w:val="auto"/>
        </w:rPr>
      </w:pPr>
      <w:r>
        <w:rPr>
          <w:rFonts w:ascii="Arial" w:cs="Arial" w:eastAsia="Arial" w:hAnsi="Arial"/>
          <w:sz w:val="16"/>
          <w:szCs w:val="16"/>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Johnson (Chair), Ms. Giesselman, Ms. Larimer and Mr. Olsen) qualifies as an “audit committee financial expert” within the meaning of SEC rules.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purpose is to assist the Board of Directors in monitoring the:</w:t>
      </w:r>
    </w:p>
    <w:p>
      <w:pPr>
        <w:spacing w:after="0" w:line="225" w:lineRule="exact"/>
        <w:rPr>
          <w:sz w:val="20"/>
          <w:szCs w:val="20"/>
          <w:color w:val="auto"/>
        </w:rPr>
      </w:pPr>
    </w:p>
    <w:p>
      <w:pPr>
        <w:ind w:left="640" w:hanging="32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Integrity of the Corporation’s financial statements;</w:t>
      </w:r>
    </w:p>
    <w:p>
      <w:pPr>
        <w:spacing w:after="0" w:line="36" w:lineRule="exact"/>
        <w:rPr>
          <w:rFonts w:ascii="Arial" w:cs="Arial" w:eastAsia="Arial" w:hAnsi="Arial"/>
          <w:sz w:val="18"/>
          <w:szCs w:val="18"/>
          <w:color w:val="auto"/>
        </w:rPr>
      </w:pPr>
    </w:p>
    <w:p>
      <w:pPr>
        <w:ind w:left="640" w:hanging="32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Independent auditor’s qualifications and independence;</w:t>
      </w:r>
    </w:p>
    <w:p>
      <w:pPr>
        <w:spacing w:after="0" w:line="36" w:lineRule="exact"/>
        <w:rPr>
          <w:rFonts w:ascii="Arial" w:cs="Arial" w:eastAsia="Arial" w:hAnsi="Arial"/>
          <w:sz w:val="18"/>
          <w:szCs w:val="18"/>
          <w:color w:val="auto"/>
        </w:rPr>
      </w:pPr>
    </w:p>
    <w:p>
      <w:pPr>
        <w:ind w:left="640" w:hanging="32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the Corporation’s internal audit function and the independent auditors; and</w:t>
      </w:r>
    </w:p>
    <w:p>
      <w:pPr>
        <w:spacing w:after="0" w:line="36" w:lineRule="exact"/>
        <w:rPr>
          <w:rFonts w:ascii="Arial" w:cs="Arial" w:eastAsia="Arial" w:hAnsi="Arial"/>
          <w:sz w:val="18"/>
          <w:szCs w:val="18"/>
          <w:color w:val="auto"/>
        </w:rPr>
      </w:pPr>
    </w:p>
    <w:p>
      <w:pPr>
        <w:ind w:left="640" w:hanging="32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Corporation’s compliance with legal and regulatory requirements.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these responsibilities, the Audit Committee, among other things:</w:t>
      </w:r>
    </w:p>
    <w:p>
      <w:pPr>
        <w:spacing w:after="0" w:line="225" w:lineRule="exact"/>
        <w:rPr>
          <w:sz w:val="20"/>
          <w:szCs w:val="20"/>
          <w:color w:val="auto"/>
        </w:rPr>
      </w:pPr>
    </w:p>
    <w:p>
      <w:pPr>
        <w:ind w:left="640" w:right="360" w:hanging="328"/>
        <w:spacing w:after="0" w:line="25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Appoints the independent auditor for the purpose of preparing and issuing an audit report and to perform related work, and discusses with the independent auditor appropriate staffing and compensation;</w:t>
      </w:r>
    </w:p>
    <w:p>
      <w:pPr>
        <w:spacing w:after="0" w:line="1" w:lineRule="exact"/>
        <w:rPr>
          <w:rFonts w:ascii="Arial" w:cs="Arial" w:eastAsia="Arial" w:hAnsi="Arial"/>
          <w:sz w:val="18"/>
          <w:szCs w:val="18"/>
          <w:color w:val="auto"/>
        </w:rPr>
      </w:pPr>
    </w:p>
    <w:p>
      <w:pPr>
        <w:ind w:left="640" w:hanging="32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Retains, as necessary or appropriate, independent legal, accounting or other advisors;</w:t>
      </w:r>
    </w:p>
    <w:p>
      <w:pPr>
        <w:spacing w:after="0" w:line="21" w:lineRule="exact"/>
        <w:rPr>
          <w:rFonts w:ascii="Arial" w:cs="Arial" w:eastAsia="Arial" w:hAnsi="Arial"/>
          <w:sz w:val="18"/>
          <w:szCs w:val="18"/>
          <w:color w:val="auto"/>
        </w:rPr>
      </w:pPr>
    </w:p>
    <w:p>
      <w:pPr>
        <w:ind w:left="640" w:right="120" w:hanging="328"/>
        <w:spacing w:after="0" w:line="291"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640" w:right="60" w:hanging="328"/>
        <w:spacing w:after="0" w:line="281"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spacing w:after="0" w:line="1" w:lineRule="exact"/>
        <w:rPr>
          <w:rFonts w:ascii="Arial" w:cs="Arial" w:eastAsia="Arial" w:hAnsi="Arial"/>
          <w:sz w:val="16"/>
          <w:szCs w:val="16"/>
          <w:color w:val="auto"/>
        </w:rPr>
      </w:pPr>
    </w:p>
    <w:p>
      <w:pPr>
        <w:ind w:left="640" w:right="40" w:hanging="328"/>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Arial" w:cs="Arial" w:eastAsia="Arial" w:hAnsi="Arial"/>
          <w:sz w:val="18"/>
          <w:szCs w:val="18"/>
          <w:color w:val="auto"/>
        </w:rPr>
      </w:pPr>
    </w:p>
    <w:p>
      <w:pPr>
        <w:ind w:left="640" w:hanging="328"/>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Annually reviews management’s programs to monitor compliance with the Corporation’s Guidelines for Business Conduct and Ethics.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Arial" w:cs="Arial" w:eastAsia="Arial" w:hAnsi="Arial"/>
          <w:sz w:val="17"/>
          <w:szCs w:val="17"/>
          <w:b w:val="1"/>
          <w:bCs w:val="1"/>
          <w:u w:val="single" w:color="auto"/>
          <w:color w:val="auto"/>
        </w:rPr>
        <w:t>www. twindisc.com</w:t>
      </w:r>
      <w:r>
        <w:rPr>
          <w:rFonts w:ascii="Arial" w:cs="Arial" w:eastAsia="Arial" w:hAnsi="Arial"/>
          <w:sz w:val="17"/>
          <w:szCs w:val="17"/>
          <w:color w:val="auto"/>
        </w:rPr>
        <w:t>. The independence of the Committee is in compliance with SEC regulations, the listing standards of the NASDAQ Stock Market and the Corporation’s Guidelines for Corporate Governance.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Nominating and Governance Committee identifies candidates for Director nominees in consultation with the Chairman and Chief Executive Officer, through the use of search firms or other advisors,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Arial" w:cs="Arial" w:eastAsia="Arial" w:hAnsi="Arial"/>
          <w:sz w:val="18"/>
          <w:szCs w:val="18"/>
          <w:b w:val="1"/>
          <w:bCs w:val="1"/>
          <w:u w:val="single" w:color="auto"/>
          <w:color w:val="auto"/>
        </w:rPr>
        <w:t>www.twindisc.com</w:t>
      </w:r>
      <w:r>
        <w:rPr>
          <w:rFonts w:ascii="Arial" w:cs="Arial" w:eastAsia="Arial" w:hAnsi="Arial"/>
          <w:sz w:val="18"/>
          <w:szCs w:val="18"/>
          <w:color w:val="auto"/>
        </w:rPr>
        <w:t>. Shareholder recommendations to the Committee for Director candidates shall follow the following procedures:</w:t>
      </w:r>
    </w:p>
    <w:p>
      <w:pPr>
        <w:spacing w:after="0" w:line="188" w:lineRule="exact"/>
        <w:rPr>
          <w:sz w:val="20"/>
          <w:szCs w:val="20"/>
          <w:color w:val="auto"/>
        </w:rPr>
      </w:pPr>
    </w:p>
    <w:p>
      <w:pPr>
        <w:ind w:left="640" w:right="280" w:hanging="328"/>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Committee must receive any such shareholder recommendations for Director candidates on or before the last business day in the month of March preceding that year’s annual meeting.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TWIN DISC, INCORPORATED 2023 ANNUAL REPORT | PROXY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17" w:name="page18"/>
    <w:bookmarkEnd w:id="17"/>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recommendation for nomination shall be in writing and shall include the following information:</w:t>
      </w:r>
    </w:p>
    <w:p>
      <w:pPr>
        <w:spacing w:after="0" w:line="36" w:lineRule="exact"/>
        <w:rPr>
          <w:rFonts w:ascii="Arial" w:cs="Arial" w:eastAsia="Arial" w:hAnsi="Arial"/>
          <w:sz w:val="18"/>
          <w:szCs w:val="18"/>
          <w:color w:val="auto"/>
        </w:rPr>
      </w:pPr>
    </w:p>
    <w:p>
      <w:pPr>
        <w:ind w:left="960" w:hanging="324"/>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Name and address of the shareholder, whether an entity or an individual, making the recommendation;</w:t>
      </w:r>
    </w:p>
    <w:p>
      <w:pPr>
        <w:spacing w:after="0" w:line="36" w:lineRule="exact"/>
        <w:rPr>
          <w:rFonts w:ascii="Arial" w:cs="Arial" w:eastAsia="Arial" w:hAnsi="Arial"/>
          <w:sz w:val="18"/>
          <w:szCs w:val="18"/>
          <w:color w:val="auto"/>
        </w:rPr>
      </w:pPr>
    </w:p>
    <w:p>
      <w:pPr>
        <w:ind w:left="960" w:hanging="324"/>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written statement of the shareholder’s beneficial ownership of the Corporation’s securities;</w:t>
      </w:r>
    </w:p>
    <w:p>
      <w:pPr>
        <w:spacing w:after="0" w:line="36" w:lineRule="exact"/>
        <w:rPr>
          <w:rFonts w:ascii="Arial" w:cs="Arial" w:eastAsia="Arial" w:hAnsi="Arial"/>
          <w:sz w:val="18"/>
          <w:szCs w:val="18"/>
          <w:color w:val="auto"/>
        </w:rPr>
      </w:pPr>
    </w:p>
    <w:p>
      <w:pPr>
        <w:ind w:left="960" w:hanging="324"/>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Name and address of the individual recommended for consideration as a Director nominee;</w:t>
      </w:r>
    </w:p>
    <w:p>
      <w:pPr>
        <w:spacing w:after="0" w:line="36" w:lineRule="exact"/>
        <w:rPr>
          <w:rFonts w:ascii="Arial" w:cs="Arial" w:eastAsia="Arial" w:hAnsi="Arial"/>
          <w:sz w:val="18"/>
          <w:szCs w:val="18"/>
          <w:color w:val="auto"/>
        </w:rPr>
      </w:pPr>
    </w:p>
    <w:p>
      <w:pPr>
        <w:ind w:left="960" w:right="160" w:hanging="324"/>
        <w:spacing w:after="0" w:line="258"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why such recommended candidate would be able to fulfill the duties of a Director;</w:t>
      </w:r>
    </w:p>
    <w:p>
      <w:pPr>
        <w:spacing w:after="0" w:line="1" w:lineRule="exact"/>
        <w:rPr>
          <w:rFonts w:ascii="Arial" w:cs="Arial" w:eastAsia="Arial" w:hAnsi="Arial"/>
          <w:sz w:val="18"/>
          <w:szCs w:val="18"/>
          <w:color w:val="auto"/>
        </w:rPr>
      </w:pPr>
    </w:p>
    <w:p>
      <w:pPr>
        <w:ind w:left="960" w:right="460" w:hanging="324"/>
        <w:spacing w:after="0" w:line="250"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how the recommended candidate meets the independence requirements established by the SEC and the NASDAQ Stock Market;</w:t>
      </w:r>
    </w:p>
    <w:p>
      <w:pPr>
        <w:ind w:left="960" w:hanging="324"/>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written statement disclosing the recommended candidate’s beneficial ownership of the Corporation’s securities;</w:t>
      </w:r>
    </w:p>
    <w:p>
      <w:pPr>
        <w:spacing w:after="0" w:line="21" w:lineRule="exact"/>
        <w:rPr>
          <w:rFonts w:ascii="Arial" w:cs="Arial" w:eastAsia="Arial" w:hAnsi="Arial"/>
          <w:sz w:val="18"/>
          <w:szCs w:val="18"/>
          <w:color w:val="auto"/>
        </w:rPr>
      </w:pPr>
    </w:p>
    <w:p>
      <w:pPr>
        <w:ind w:left="960" w:right="400" w:hanging="324"/>
        <w:spacing w:after="0" w:line="258"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written statement disclosing relationships between the recommended candidate and the Corporation which may constitute a conflict of interest; and</w:t>
      </w:r>
    </w:p>
    <w:p>
      <w:pPr>
        <w:spacing w:after="0" w:line="1" w:lineRule="exact"/>
        <w:rPr>
          <w:rFonts w:ascii="Arial" w:cs="Arial" w:eastAsia="Arial" w:hAnsi="Arial"/>
          <w:sz w:val="18"/>
          <w:szCs w:val="18"/>
          <w:color w:val="auto"/>
        </w:rPr>
      </w:pPr>
    </w:p>
    <w:p>
      <w:pPr>
        <w:ind w:left="960" w:hanging="324"/>
        <w:spacing w:after="0" w:line="260"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other information relating to the recommended candidate that would be required to be disclosed in solicitations of proxies for the election of Directors under the Securities Exchange Act.</w:t>
      </w:r>
    </w:p>
    <w:p>
      <w:pPr>
        <w:spacing w:after="0" w:line="18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Recommendation for nomination must be sent to the attention of the Committee via the U.S. Mail or by expedited delivery service, addressed to:</w:t>
      </w:r>
    </w:p>
    <w:p>
      <w:pPr>
        <w:spacing w:after="0" w:line="27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222 East Erie Street, Suite 400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Attn: Nominating and Governance Committee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 Secretary of Twin Disc, Incorporated</w:t>
      </w:r>
    </w:p>
    <w:p>
      <w:pPr>
        <w:spacing w:after="0" w:line="21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strategy, organization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8" w:name="page19"/>
    <w:bookmarkEnd w:id="18"/>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Compensation and Human Capital Committee</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u w:val="single" w:color="auto"/>
          <w:color w:val="auto"/>
        </w:rPr>
        <w:t>Scope of Authority</w:t>
      </w:r>
      <w:r>
        <w:rPr>
          <w:rFonts w:ascii="Arial" w:cs="Arial" w:eastAsia="Arial" w:hAnsi="Arial"/>
          <w:sz w:val="16"/>
          <w:szCs w:val="16"/>
          <w:color w:val="auto"/>
        </w:rPr>
        <w:t xml:space="preserve"> - The primary purpose of the Compensation and Human Capital Committee is: (i) to assist the Board in discharging its responsibilities in respect to the compensation of the Corporation’s executive officers and Directors;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Compensation and Human Capital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to the extent required by the rules of the NASDAQ Stock Market.</w:t>
      </w:r>
    </w:p>
    <w:p>
      <w:pPr>
        <w:spacing w:after="0" w:line="18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 xml:space="preserve">The charter of the Compensation and Human Capital Committee is available on the Corporation’s website, </w:t>
      </w:r>
      <w:r>
        <w:rPr>
          <w:rFonts w:ascii="Arial" w:cs="Arial" w:eastAsia="Arial" w:hAnsi="Arial"/>
          <w:sz w:val="18"/>
          <w:szCs w:val="18"/>
          <w:b w:val="1"/>
          <w:bCs w:val="1"/>
          <w:u w:val="single" w:color="auto"/>
          <w:color w:val="auto"/>
        </w:rPr>
        <w:t>www.twindisc.com</w:t>
      </w:r>
      <w:r>
        <w:rPr>
          <w:rFonts w:ascii="Arial" w:cs="Arial" w:eastAsia="Arial" w:hAnsi="Arial"/>
          <w:sz w:val="18"/>
          <w:szCs w:val="18"/>
          <w:color w:val="auto"/>
        </w:rPr>
        <w:t>. The Corporation last reviewed the Compensation and Human Capital Committee charter on August 3, 2023.</w:t>
      </w:r>
    </w:p>
    <w:p>
      <w:pPr>
        <w:spacing w:after="0" w:line="1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u w:val="single" w:color="auto"/>
          <w:color w:val="auto"/>
        </w:rPr>
        <w:t>Composition</w:t>
      </w:r>
      <w:r>
        <w:rPr>
          <w:rFonts w:ascii="Arial" w:cs="Arial" w:eastAsia="Arial" w:hAnsi="Arial"/>
          <w:sz w:val="18"/>
          <w:szCs w:val="18"/>
          <w:color w:val="auto"/>
        </w:rPr>
        <w:t xml:space="preserve"> - The Compensation and Human Capital Committee is composed exclusively of non-employee, independent Directors none of whom has a business relationship with the Corporation, other than in their capacity as Directors. The Compensation and Human Capital Development Committee reports to the entire Board.</w:t>
      </w:r>
    </w:p>
    <w:p>
      <w:pPr>
        <w:spacing w:after="0" w:line="184"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u w:val="single" w:color="auto"/>
          <w:color w:val="auto"/>
        </w:rPr>
        <w:t>Role of Consultants</w:t>
      </w:r>
      <w:r>
        <w:rPr>
          <w:rFonts w:ascii="Arial" w:cs="Arial" w:eastAsia="Arial" w:hAnsi="Arial"/>
          <w:sz w:val="17"/>
          <w:szCs w:val="17"/>
          <w:color w:val="auto"/>
        </w:rPr>
        <w:t xml:space="preserve"> - The Compensation and Human Capital Committee periodically engages an independent consultant to review its compensation program for the executive officers of the Corporation, in order to ensure market competitiveness. Historically, the Committee engaged an independent compensation consultant for this purpose every two years. For fiscal 2023, the Committee engaged Pay Governance, LLC, an independent executive compensation advisory firm, to conduct a detailed review of competitive compensation levels for similar positions in similar industries. The Committee considered that information in setting executive compensation for fiscal 2023.</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Role of Executive Officers</w:t>
      </w:r>
      <w:r>
        <w:rPr>
          <w:rFonts w:ascii="Arial" w:cs="Arial" w:eastAsia="Arial" w:hAnsi="Arial"/>
          <w:sz w:val="17"/>
          <w:szCs w:val="17"/>
          <w:color w:val="auto"/>
        </w:rPr>
        <w:t xml:space="preserve"> - The Compensation and Human Capital Committee makes all compensation decisions for the CEO, Mr. Batten, and approves recommendations for compensation actions for all other elected officers of the Corporation. As CEO, Mr. Batten annually reviews the performance of each elected officer with the Compensation and Human Capital Committee. Recommendations based on these reviews, including those pertaining to salary adjustments, bonus payouts and equity compensation, are presented to the Compensation and Human Capital Committee, which may exercise its discretion in modifying any of the recommendations presented. The Compensation and Human Capital Committee also reviews the performance of the CEO. It alone determines the salary adjustment, bonus payment and equity awards for Mr. Batten.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TWIN DISC, INCORPORATED 2023 ANNUAL REPORT | PROXY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Committee Membership</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9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Compensation &amp;</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Nominating and</w:t>
            </w:r>
          </w:p>
        </w:tc>
      </w:tr>
      <w:tr>
        <w:trPr>
          <w:trHeight w:val="234"/>
        </w:trPr>
        <w:tc>
          <w:tcPr>
            <w:tcW w:w="3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Audit</w:t>
            </w:r>
          </w:p>
        </w:tc>
        <w:tc>
          <w:tcPr>
            <w:tcW w:w="2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Human Capital</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Governance</w:t>
            </w:r>
          </w:p>
        </w:tc>
      </w:tr>
      <w:tr>
        <w:trPr>
          <w:trHeight w:val="195"/>
        </w:trPr>
        <w:tc>
          <w:tcPr>
            <w:tcW w:w="3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5"/>
              </w:rPr>
              <w:t>Johnson</w:t>
            </w:r>
          </w:p>
        </w:tc>
        <w:tc>
          <w:tcPr>
            <w:tcW w:w="29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8"/>
              </w:rPr>
              <w:t>Giesselman</w:t>
            </w:r>
          </w:p>
        </w:tc>
        <w:tc>
          <w:tcPr>
            <w:tcW w:w="2960" w:type="dxa"/>
            <w:vAlign w:val="bottom"/>
          </w:tcPr>
          <w:p>
            <w:pPr>
              <w:jc w:val="center"/>
              <w:spacing w:after="0" w:line="195" w:lineRule="exact"/>
              <w:rPr>
                <w:sz w:val="20"/>
                <w:szCs w:val="20"/>
                <w:color w:val="auto"/>
              </w:rPr>
            </w:pPr>
            <w:r>
              <w:rPr>
                <w:rFonts w:ascii="Arial" w:cs="Arial" w:eastAsia="Arial" w:hAnsi="Arial"/>
                <w:sz w:val="18"/>
                <w:szCs w:val="18"/>
                <w:color w:val="auto"/>
                <w:w w:val="92"/>
              </w:rPr>
              <w:t>Doar</w:t>
            </w:r>
          </w:p>
        </w:tc>
      </w:tr>
      <w:tr>
        <w:trPr>
          <w:trHeight w:val="216"/>
        </w:trPr>
        <w:tc>
          <w:tcPr>
            <w:tcW w:w="3120" w:type="dxa"/>
            <w:vAlign w:val="bottom"/>
          </w:tcPr>
          <w:p>
            <w:pPr>
              <w:jc w:val="center"/>
              <w:ind w:right="30"/>
              <w:spacing w:after="0"/>
              <w:rPr>
                <w:sz w:val="20"/>
                <w:szCs w:val="20"/>
                <w:color w:val="auto"/>
              </w:rPr>
            </w:pPr>
            <w:r>
              <w:rPr>
                <w:rFonts w:ascii="Arial" w:cs="Arial" w:eastAsia="Arial" w:hAnsi="Arial"/>
                <w:sz w:val="18"/>
                <w:szCs w:val="18"/>
                <w:color w:val="auto"/>
                <w:w w:val="88"/>
              </w:rPr>
              <w:t>Giesselman</w:t>
            </w:r>
          </w:p>
        </w:tc>
        <w:tc>
          <w:tcPr>
            <w:tcW w:w="2900" w:type="dxa"/>
            <w:vAlign w:val="bottom"/>
          </w:tcPr>
          <w:p>
            <w:pPr>
              <w:jc w:val="center"/>
              <w:ind w:right="50"/>
              <w:spacing w:after="0"/>
              <w:rPr>
                <w:sz w:val="20"/>
                <w:szCs w:val="20"/>
                <w:color w:val="auto"/>
              </w:rPr>
            </w:pPr>
            <w:r>
              <w:rPr>
                <w:rFonts w:ascii="Arial" w:cs="Arial" w:eastAsia="Arial" w:hAnsi="Arial"/>
                <w:sz w:val="18"/>
                <w:szCs w:val="18"/>
                <w:color w:val="auto"/>
                <w:w w:val="92"/>
              </w:rPr>
              <w:t>Doar</w:t>
            </w:r>
          </w:p>
        </w:tc>
        <w:tc>
          <w:tcPr>
            <w:tcW w:w="2960" w:type="dxa"/>
            <w:vAlign w:val="bottom"/>
          </w:tcPr>
          <w:p>
            <w:pPr>
              <w:jc w:val="center"/>
              <w:spacing w:after="0"/>
              <w:rPr>
                <w:sz w:val="20"/>
                <w:szCs w:val="20"/>
                <w:color w:val="auto"/>
              </w:rPr>
            </w:pPr>
            <w:r>
              <w:rPr>
                <w:rFonts w:ascii="Arial" w:cs="Arial" w:eastAsia="Arial" w:hAnsi="Arial"/>
                <w:sz w:val="18"/>
                <w:szCs w:val="18"/>
                <w:color w:val="auto"/>
                <w:w w:val="85"/>
              </w:rPr>
              <w:t>Johnson</w:t>
            </w:r>
          </w:p>
        </w:tc>
      </w:tr>
      <w:tr>
        <w:trPr>
          <w:trHeight w:val="216"/>
        </w:trPr>
        <w:tc>
          <w:tcPr>
            <w:tcW w:w="3120" w:type="dxa"/>
            <w:vAlign w:val="bottom"/>
          </w:tcPr>
          <w:p>
            <w:pPr>
              <w:jc w:val="center"/>
              <w:ind w:right="50"/>
              <w:spacing w:after="0"/>
              <w:rPr>
                <w:sz w:val="20"/>
                <w:szCs w:val="20"/>
                <w:color w:val="auto"/>
              </w:rPr>
            </w:pPr>
            <w:r>
              <w:rPr>
                <w:rFonts w:ascii="Arial" w:cs="Arial" w:eastAsia="Arial" w:hAnsi="Arial"/>
                <w:sz w:val="18"/>
                <w:szCs w:val="18"/>
                <w:color w:val="auto"/>
                <w:w w:val="94"/>
              </w:rPr>
              <w:t>Larimer</w:t>
            </w: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4"/>
              </w:rPr>
              <w:t>Larimer</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Olsen</w:t>
            </w:r>
          </w:p>
        </w:tc>
      </w:tr>
      <w:tr>
        <w:trPr>
          <w:trHeight w:val="230"/>
        </w:trPr>
        <w:tc>
          <w:tcPr>
            <w:tcW w:w="3120" w:type="dxa"/>
            <w:vAlign w:val="bottom"/>
          </w:tcPr>
          <w:p>
            <w:pPr>
              <w:jc w:val="center"/>
              <w:ind w:right="50"/>
              <w:spacing w:after="0"/>
              <w:rPr>
                <w:sz w:val="20"/>
                <w:szCs w:val="20"/>
                <w:color w:val="auto"/>
              </w:rPr>
            </w:pPr>
            <w:r>
              <w:rPr>
                <w:rFonts w:ascii="Arial" w:cs="Arial" w:eastAsia="Arial" w:hAnsi="Arial"/>
                <w:sz w:val="18"/>
                <w:szCs w:val="18"/>
                <w:color w:val="auto"/>
                <w:w w:val="89"/>
              </w:rPr>
              <w:t>Olsen</w:t>
            </w:r>
          </w:p>
        </w:tc>
        <w:tc>
          <w:tcPr>
            <w:tcW w:w="29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32"/>
        </w:trPr>
        <w:tc>
          <w:tcPr>
            <w:tcW w:w="3120" w:type="dxa"/>
            <w:vAlign w:val="bottom"/>
          </w:tcPr>
          <w:p>
            <w:pPr>
              <w:spacing w:after="0"/>
              <w:rPr>
                <w:sz w:val="20"/>
                <w:szCs w:val="20"/>
                <w:color w:val="auto"/>
              </w:rPr>
            </w:pPr>
            <w:r>
              <w:rPr>
                <w:rFonts w:ascii="Arial" w:cs="Arial" w:eastAsia="Arial" w:hAnsi="Arial"/>
                <w:sz w:val="18"/>
                <w:szCs w:val="18"/>
                <w:b w:val="1"/>
                <w:bCs w:val="1"/>
                <w:color w:val="auto"/>
              </w:rPr>
              <w:t>Attendance at Annual Meeting</w:t>
            </w:r>
          </w:p>
        </w:tc>
        <w:tc>
          <w:tcPr>
            <w:tcW w:w="29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Corporation does not have a formal policy that its Directors attend the Annual Meeting of Shareholders, but they are expected to attend and the Corporation’s Directors historically have attended these meetings. All but one of the members of the Board of Directors attended last year’s annual meeting. The Board of Directors conducts its annual meeting in conjunction with the Annual Meeting of Shareholders at the Corporation’s headquarters.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70" w:lineRule="exact"/>
        <w:rPr>
          <w:sz w:val="20"/>
          <w:szCs w:val="20"/>
          <w:color w:val="auto"/>
        </w:rPr>
      </w:pPr>
    </w:p>
    <w:p>
      <w:pPr>
        <w:ind w:right="8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222 East Erie Street, Suite 400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Attn: Chairman of the Board of Directors</w:t>
      </w:r>
    </w:p>
    <w:p>
      <w:pPr>
        <w:spacing w:after="0" w:line="211" w:lineRule="exact"/>
        <w:rPr>
          <w:sz w:val="20"/>
          <w:szCs w:val="20"/>
          <w:color w:val="auto"/>
        </w:rPr>
      </w:pPr>
    </w:p>
    <w:p>
      <w:pPr>
        <w:jc w:val="both"/>
        <w:ind w:left="20" w:right="540" w:firstLine="6"/>
        <w:spacing w:after="0" w:line="263" w:lineRule="auto"/>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222 East Erie Street, Suite 400</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Attn: [Name of Individual Director]</w:t>
      </w:r>
    </w:p>
    <w:p>
      <w:pPr>
        <w:spacing w:after="0" w:line="211"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84" w:lineRule="exact"/>
        <w:rPr>
          <w:sz w:val="20"/>
          <w:szCs w:val="20"/>
          <w:color w:val="auto"/>
        </w:rPr>
      </w:pPr>
    </w:p>
    <w:p>
      <w:pPr>
        <w:ind w:left="20" w:right="340"/>
        <w:spacing w:after="0" w:line="259" w:lineRule="auto"/>
        <w:rPr>
          <w:sz w:val="20"/>
          <w:szCs w:val="20"/>
          <w:color w:val="auto"/>
        </w:rPr>
      </w:pPr>
      <w:r>
        <w:rPr>
          <w:rFonts w:ascii="Arial" w:cs="Arial" w:eastAsia="Arial" w:hAnsi="Arial"/>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TWIN DISC, INCORPORATED 2023 ANNUAL REPORT | PROXY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right="600"/>
        <w:spacing w:after="0" w:line="277" w:lineRule="auto"/>
        <w:rPr>
          <w:sz w:val="20"/>
          <w:szCs w:val="20"/>
          <w:color w:val="auto"/>
        </w:rPr>
      </w:pPr>
      <w:r>
        <w:rPr>
          <w:rFonts w:ascii="Arial" w:cs="Arial" w:eastAsia="Arial" w:hAnsi="Arial"/>
          <w:sz w:val="18"/>
          <w:szCs w:val="18"/>
          <w:color w:val="auto"/>
        </w:rPr>
        <w:t>From time to time, the Board may change the process by which stockholders may communicate with the Board or its members. Please refer to the Corporation’s website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www.twindisc.com</w:t>
      </w:r>
      <w:r>
        <w:rPr>
          <w:rFonts w:ascii="Arial" w:cs="Arial" w:eastAsia="Arial" w:hAnsi="Arial"/>
          <w:sz w:val="18"/>
          <w:szCs w:val="18"/>
          <w:b w:val="1"/>
          <w:bCs w:val="1"/>
          <w:color w:val="auto"/>
        </w:rPr>
        <w:t>,</w:t>
      </w:r>
      <w:r>
        <w:rPr>
          <w:rFonts w:ascii="Arial" w:cs="Arial" w:eastAsia="Arial" w:hAnsi="Arial"/>
          <w:sz w:val="18"/>
          <w:szCs w:val="18"/>
          <w:color w:val="auto"/>
        </w:rPr>
        <w:t xml:space="preserve"> for any changes to this process.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rules of the Securities and Exchange Commission, the Corporation is required to describe the material components of compensation paid to anyone who served as the Corporation’s Chief Executive Officer during a fiscal year, its two most highly compensated executive officers other than the Chief Executive Officer who were serving as executive officers as of the end of the fiscal year, and up to two additional individuals for whom such disclosure would have been provided but for the fact that the individual was not serving as an executive officer at the end of the fiscal year (the “Named Executive Officers”). For the fiscal year ended June 30, 2023, the Corporation’s Named Executive Officers are:</w:t>
      </w:r>
    </w:p>
    <w:p>
      <w:pPr>
        <w:spacing w:after="0" w:line="176" w:lineRule="exact"/>
        <w:rPr>
          <w:sz w:val="20"/>
          <w:szCs w:val="20"/>
          <w:color w:val="auto"/>
        </w:rPr>
      </w:pPr>
    </w:p>
    <w:p>
      <w:pPr>
        <w:ind w:left="640" w:hanging="32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John H. Batten, President and Chief Executive Officer; and</w:t>
      </w:r>
    </w:p>
    <w:p>
      <w:pPr>
        <w:spacing w:after="0" w:line="252" w:lineRule="exact"/>
        <w:rPr>
          <w:rFonts w:ascii="Arial" w:cs="Arial" w:eastAsia="Arial" w:hAnsi="Arial"/>
          <w:sz w:val="18"/>
          <w:szCs w:val="18"/>
          <w:color w:val="auto"/>
        </w:rPr>
      </w:pPr>
    </w:p>
    <w:p>
      <w:pPr>
        <w:ind w:left="640" w:hanging="32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Jeffrey S. Knutson, Vice President – Finance, Chief Financial Officer, Treasurer and Secretary.</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discussion that follows, we will explain the objectives of our compensation programs, why we pay the compensation we do and how that fits with the Corporation’s commitment to provide value to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Summary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Through the Board’s Compensation and Human Capital Committee (the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restricted stock and restricted stock units).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84" w:lineRule="exact"/>
        <w:rPr>
          <w:sz w:val="20"/>
          <w:szCs w:val="20"/>
          <w:color w:val="auto"/>
        </w:rPr>
      </w:pPr>
    </w:p>
    <w:p>
      <w:pPr>
        <w:ind w:left="640" w:right="40" w:hanging="328"/>
        <w:spacing w:after="0" w:line="263"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TWIN DISC, INCORPORATED 2023 ANNUAL REPORT | PROXY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21" w:name="page22"/>
    <w:bookmarkEnd w:id="21"/>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left="660" w:right="10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restricted stock and restricted stock units).</w:t>
      </w:r>
    </w:p>
    <w:p>
      <w:pPr>
        <w:spacing w:after="0" w:line="165"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 has stock ownership guidelines for each of its Named Executive Officers, thereby aligning their long-term interests with those of shareholders.</w:t>
      </w:r>
    </w:p>
    <w:p>
      <w:pPr>
        <w:spacing w:after="0" w:line="170" w:lineRule="exact"/>
        <w:rPr>
          <w:rFonts w:ascii="Arial" w:cs="Arial" w:eastAsia="Arial" w:hAnsi="Arial"/>
          <w:sz w:val="18"/>
          <w:szCs w:val="18"/>
          <w:color w:val="auto"/>
        </w:rPr>
      </w:pPr>
    </w:p>
    <w:p>
      <w:pPr>
        <w:ind w:left="660" w:right="44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Corporation promoted additional equity ownership beyond the performance period for the long- term incentive awards by including performance stock and restricted stock units with performance conditions that are payable in stock as long-term incentive awards in FY2023.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also maintains compensation practices that it believes are consistent with good governance. For example:</w:t>
      </w:r>
    </w:p>
    <w:p>
      <w:pPr>
        <w:spacing w:after="0" w:line="225" w:lineRule="exact"/>
        <w:rPr>
          <w:sz w:val="20"/>
          <w:szCs w:val="20"/>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70" w:lineRule="exact"/>
        <w:rPr>
          <w:rFonts w:ascii="Arial" w:cs="Arial" w:eastAsia="Arial" w:hAnsi="Arial"/>
          <w:sz w:val="18"/>
          <w:szCs w:val="18"/>
          <w:color w:val="auto"/>
        </w:rPr>
      </w:pPr>
    </w:p>
    <w:p>
      <w:pPr>
        <w:ind w:left="660" w:right="20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Corporation’s long-term incentive compensation plan (i) prohibits repricing of stock options and the repurchase of underwater options; (ii) limits the recycling of shares that may be awarded under the plan; and (iii) states that all awards are subject to the clawback requirements of any applicable law, the listing standards of the NASDAQ Stock Market, and any clawback policy adopted by the Committee, and provides mechanisms for the Corporation to enforce its recovery rights.</w:t>
      </w:r>
    </w:p>
    <w:p>
      <w:pPr>
        <w:spacing w:after="0" w:line="186" w:lineRule="exact"/>
        <w:rPr>
          <w:rFonts w:ascii="Arial" w:cs="Arial" w:eastAsia="Arial" w:hAnsi="Arial"/>
          <w:sz w:val="18"/>
          <w:szCs w:val="18"/>
          <w:color w:val="auto"/>
        </w:rPr>
      </w:pPr>
    </w:p>
    <w:p>
      <w:pPr>
        <w:ind w:left="660" w:right="3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Committee considers internal pay equity when making compensation decisions, that is, whether employees within the Corporation are paid fairly relative to each other given their duties, experience and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 Corporate Incentive Plan is performance-based and has caps on bonus payments.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Committee annually evaluates the Corporation’s compensation programs to ensure that they do not encourage unnecessary risk-taking.</w:t>
      </w:r>
    </w:p>
    <w:p>
      <w:pPr>
        <w:spacing w:after="0" w:line="263" w:lineRule="exact"/>
        <w:rPr>
          <w:rFonts w:ascii="Arial" w:cs="Arial" w:eastAsia="Arial" w:hAnsi="Arial"/>
          <w:sz w:val="17"/>
          <w:szCs w:val="17"/>
          <w:color w:val="auto"/>
        </w:rPr>
      </w:pPr>
    </w:p>
    <w:p>
      <w:pPr>
        <w:ind w:left="660" w:right="8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Committee has adopted a formal clawback policy that permits the Committee to seek disgorgement of incentive pay from current or former executive officers of the Corporation in the event of willful fraud, willful violation of the Corporation’s rules or applicable legal requirements that causes material financial or reputational harm to the Corporation, or conduct that results in a restatement of financial statements due to material noncompliance with applicable reporting requirements as a result of misconduct by the executive officer.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TWIN DISC, INCORPORATED 2023 ANNUAL REPORT | PROXY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right="100"/>
        <w:spacing w:after="0" w:line="277" w:lineRule="auto"/>
        <w:rPr>
          <w:sz w:val="20"/>
          <w:szCs w:val="20"/>
          <w:color w:val="auto"/>
        </w:rPr>
      </w:pPr>
      <w:r>
        <w:rPr>
          <w:rFonts w:ascii="Arial" w:cs="Arial" w:eastAsia="Arial" w:hAnsi="Arial"/>
          <w:sz w:val="18"/>
          <w:szCs w:val="18"/>
          <w:color w:val="auto"/>
        </w:rPr>
        <w:t>The following provides a brief overview of the highlights of the compensation received by the Corporation’s Named Executive Officers for the fiscal year that ended June 30, 2023:</w:t>
      </w:r>
    </w:p>
    <w:p>
      <w:pPr>
        <w:spacing w:after="0" w:line="170" w:lineRule="exact"/>
        <w:rPr>
          <w:sz w:val="20"/>
          <w:szCs w:val="20"/>
          <w:color w:val="auto"/>
        </w:rPr>
      </w:pPr>
    </w:p>
    <w:p>
      <w:pPr>
        <w:ind w:left="640" w:right="180" w:hanging="328"/>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beginning of FY2023, the Committee approved a 4% increase to the base salary of Mr. Batten and a 5% increase to the base salary of Mr. Knutson.</w:t>
      </w:r>
    </w:p>
    <w:p>
      <w:pPr>
        <w:spacing w:after="0" w:line="170" w:lineRule="exact"/>
        <w:rPr>
          <w:rFonts w:ascii="Arial" w:cs="Arial" w:eastAsia="Arial" w:hAnsi="Arial"/>
          <w:sz w:val="18"/>
          <w:szCs w:val="18"/>
          <w:color w:val="auto"/>
        </w:rPr>
      </w:pPr>
    </w:p>
    <w:p>
      <w:pPr>
        <w:ind w:left="640" w:right="20" w:hanging="328"/>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Committee determined that the Revenue and EBITDA percentage results exceeded the thresholds under the Corporate Incentive Plan, while the inventory as a percent of revenue objective was not met. In addition, the Committee determined that the two strategic objectives were not fully met. As a result, the Named Executive Officers received payments under the Corporate Incentive Plan equal to 73.3% and 75.8% of the target amounts for Mr. Batten and Mr. Knutson, respectively.</w:t>
      </w:r>
    </w:p>
    <w:p>
      <w:pPr>
        <w:spacing w:after="0" w:line="186" w:lineRule="exact"/>
        <w:rPr>
          <w:rFonts w:ascii="Arial" w:cs="Arial" w:eastAsia="Arial" w:hAnsi="Arial"/>
          <w:sz w:val="18"/>
          <w:szCs w:val="18"/>
          <w:color w:val="auto"/>
        </w:rPr>
      </w:pPr>
    </w:p>
    <w:p>
      <w:pPr>
        <w:ind w:left="640" w:right="20" w:hanging="328"/>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Corporation achieved greater than the threshold performance levels for its cumulative Average Return on Invested Capital goal (weighted 40%), its cumulative sales revenue goal (weighted 30%), and its cumulative free cash flow (weighted 30%) for performance stock granted in 2020 under the Twin Disc, Incorporated 2018 Long-Term Incentive Compensation Plan. As a result, the performance stock awards vested at approximately 89%.</w:t>
      </w:r>
    </w:p>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required by Section 14A of the Securities Exchange Act of 1934, the Corporation held its shareholder advisory vote on executive compensation at its October 27, 2022, Annual Meeting of Shareholders. The shareholders approved the say on pay proposal by a significant majority, with more than 90% of the votes cast in favor of the compensation paid to the Corporation’s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Philosophy and Objectives</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Twin Disc believes that knowledgeable, motivated and dedicated employees can make the difference in the Corporation’s ability to execute business strategy and excel in the marketplace. The Committee believes it is in the best interest of the Corporation and its shareholders to fairly compensate the executive team to encourage high- level performance, resulting in increased profitability of the Corporation. Executives are compensated on the value of their contribution to the success of the Corporation, in addition to their assigned scope of responsibilities.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key elements of our executive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Corporation believes that its executive officers should hold a meaningful stake in Twin Disc in order to align their economic interests with those of the shareholders. To that end, the Corporation has had stock ownership guidelines in place for over a decade. Stock ownership targets are equal to five times annual base salary for the CEO, and two times annual base salary for the CFO. Executive officers have a period of four years to attain their targeted ownership level. The Committee monitors compliance with this guideline, using its discretion to address non-attainment issues. Compliance is reviewed annually.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3" w:name="page24"/>
    <w:bookmarkEnd w:id="2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right="140"/>
        <w:spacing w:after="0" w:line="290" w:lineRule="auto"/>
        <w:rPr>
          <w:sz w:val="20"/>
          <w:szCs w:val="20"/>
          <w:color w:val="auto"/>
        </w:rPr>
      </w:pPr>
      <w:r>
        <w:rPr>
          <w:rFonts w:ascii="Arial" w:cs="Arial" w:eastAsia="Arial" w:hAnsi="Arial"/>
          <w:sz w:val="16"/>
          <w:szCs w:val="16"/>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excessive risk. The Committee has concluded that the Corporation’s compensation policies and practices are not likely to have a material adverse effect on the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Setting Executive Compensation</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6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Committee looks to establish each element of total direct compensation (i.e., base salary, annual incentive compensation, and the annualized value of long-term incentive compensation granted during the year) near the market median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companies of a similar size and industry. The Committee believes an executive’s target compensation is competitive if it falls within a band of plus or minus 15% from the competitive median of 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Committee periodically engages an independent consultant to review its compensation program for the executive officers of the Corporation, in order to provide information regarding market median compensation levels and the blend of short-term compensation to long-term types of compensation. The consultant provides the Committee with information regarding market compensation practices and alternatives to consider when making compensation decisions for the executives.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TWIN DISC, INCORPORATED 2023 ANNUAL REPORT | PROXY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24" w:name="page25"/>
    <w:bookmarkEnd w:id="24"/>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8"/>
          <w:szCs w:val="18"/>
          <w:color w:val="auto"/>
        </w:rPr>
        <w:t>When it established executive compensation for FY2023, the Committee engaged Pay Governance LLC, an independent compensation advisory firm, to conduct a review of competitive compensation levels for the CEO and CFO for similar positions in similar industries. For this analysis, Pay Governance referenced data from a selected peer group of companies, as well as survey data, reflecting a market sample of companies consistent with Twin Disc’s industry and size. The Committee received information on the 25</w:t>
      </w:r>
      <w:r>
        <w:rPr>
          <w:rFonts w:ascii="Arial" w:cs="Arial" w:eastAsia="Arial" w:hAnsi="Arial"/>
          <w:sz w:val="29"/>
          <w:szCs w:val="29"/>
          <w:color w:val="auto"/>
          <w:vertAlign w:val="superscript"/>
        </w:rPr>
        <w:t>th</w:t>
      </w:r>
      <w:r>
        <w:rPr>
          <w:rFonts w:ascii="Arial" w:cs="Arial" w:eastAsia="Arial" w:hAnsi="Arial"/>
          <w:sz w:val="18"/>
          <w:szCs w:val="18"/>
          <w:color w:val="auto"/>
        </w:rPr>
        <w: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percentiles of each element of executive compensation for comparable executive positions. The Committee used this data to determine the base salaries, target annual bonus percentages, target long-term incentive pay, and target total pay for Messrs. Batten and Knutson for FY2023. The Committee did not specify targeted individual companies from among the Pay Governance peer group or survey participants.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Corporation provides executive officers with a base salary to compensate them for services rendered during the fiscal year, their level of responsibility, experience within the Corporation and time within their current role,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87" w:lineRule="exact"/>
        <w:rPr>
          <w:sz w:val="20"/>
          <w:szCs w:val="20"/>
          <w:color w:val="auto"/>
        </w:rPr>
      </w:pPr>
    </w:p>
    <w:p>
      <w:pPr>
        <w:jc w:val="both"/>
        <w:ind w:right="140"/>
        <w:spacing w:after="0" w:line="212" w:lineRule="auto"/>
        <w:rPr>
          <w:sz w:val="20"/>
          <w:szCs w:val="20"/>
          <w:color w:val="auto"/>
        </w:rPr>
      </w:pPr>
      <w:r>
        <w:rPr>
          <w:rFonts w:ascii="Arial" w:cs="Arial" w:eastAsia="Arial" w:hAnsi="Arial"/>
          <w:sz w:val="18"/>
          <w:szCs w:val="18"/>
          <w:color w:val="auto"/>
        </w:rPr>
        <w:t>Base salaries are reviewed each year by the Committee. As discussed above, base salary levels have historically been compared to the market median (i.e.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as determined by using survey data and as determined by external consultants, in order to ensure executives are paid a competitive salary, aiding in attraction and retention.</w:t>
      </w:r>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 salary adjustments, as may be appropriate, are determined annually and may be based on individual, team or Corporation performance results, as well as other factors including changes to job scope or responsibilities. In addition, 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Committee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Committee determines and approves base salary adjustments for the CEO, and approves base salary adjustments for the other members of the executive officer team based on the recommendations from the CEO. Generally, executive base salaries are increased at rates comparable to the increases provided at other comparable companies and are at or near market levels.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Incentive Compensation</w:t>
      </w:r>
    </w:p>
    <w:p>
      <w:pPr>
        <w:spacing w:after="0" w:line="22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Executive officers and selected key management participate in an annual incentive plan called the Corporate Incentive Plan (“CIP”). This plan provides executives with the opportunity to receive annual cash incentives for achieving corporate, business unit and individual performance goals once threshold performance levels are achieved.</w:t>
      </w:r>
    </w:p>
    <w:p>
      <w:pPr>
        <w:spacing w:after="0" w:line="184"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business unit or individual goal achievement. In no event may the payout be more than 200% of the target.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TWIN DISC, INCORPORATED 2023 ANNUAL REPORT | PROXY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right="460"/>
        <w:spacing w:after="0" w:line="311" w:lineRule="auto"/>
        <w:rPr>
          <w:sz w:val="20"/>
          <w:szCs w:val="20"/>
          <w:color w:val="auto"/>
        </w:rPr>
      </w:pPr>
      <w:r>
        <w:rPr>
          <w:rFonts w:ascii="Arial" w:cs="Arial" w:eastAsia="Arial" w:hAnsi="Arial"/>
          <w:sz w:val="16"/>
          <w:szCs w:val="16"/>
          <w:color w:val="auto"/>
        </w:rPr>
        <w:t>An executive’s incentive payment under the CIP may be increased or decreased by up to 20%, at the discretion of the Committee, based on the recommendations of the CEO, if the executive’s individual performance goals are either exceeded or not achieved and based on other factors deemed important by the Committee. The Committee alone makes decisions regarding adjustments to the CEO’s annual incentive award.</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Long-Term Incentive Compensation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Twin Disc, Incorporated 2021 Long-Term Incentive Compensation Plan (“LTI Plan”), which was approved by the Corporation’s shareholders at the annual meeting in October 2021, provides for the opportunity for executive officers and key employees of the Corporation (and its subsidiaries) to acquire common stock of the Corporation or cash payments via stock options, stock appreciation rights, restricted stock, restricted stock units, performance stock awards, performance stock unit awards, performance unit awards or dividend equivalent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granting of performance stock encourages a pay for performance approach, aligning the interests of the executive with the economic goals of the Corporation and the shareholders. The granting of restricted stock or restricted stock units is based on a number of factors that include rewarding sustained individual performance, increasing an executive’s ownership in the Corporation, and addressing retention concerns. Restricted stock or restricted stock units may also be used to incent executives in times of global economic instability when the future value of stock options, performance stock and performance stock units become more unpredictable.</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spacing w:after="0" w:line="14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Committee establishes the vesting criteria, including the performance goals that must be achieved in order for the award to vest. The LTI Plan requires a minimum vesting, restricted or performance period of at least one year for all awards made under the LTI Plan, with the exception that up to five percent of the shares available for issuance under the LTI Plan may be awarded with a shorter vesting, restricted or performance period. Grants are made at the beginning of each fiscal year, or as determined by the Committee, for the ensuing multi-year period.</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Committee uses external consultants and survey information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Plan’s compliance with shareholder approval requirements.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Benefits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Corporation believes it is necessary to also recognize the efforts of its officer group and senior management in the area of benefits.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 Information regarding the Corporation’s benefit programs available to its Named Executive Officers follows the </w:t>
      </w:r>
      <w:r>
        <w:rPr>
          <w:rFonts w:ascii="Arial" w:cs="Arial" w:eastAsia="Arial" w:hAnsi="Arial"/>
          <w:sz w:val="18"/>
          <w:szCs w:val="18"/>
          <w:i w:val="1"/>
          <w:iCs w:val="1"/>
          <w:color w:val="auto"/>
        </w:rPr>
        <w:t xml:space="preserve">Outstanding Equity Awards at Fiscal Year-End </w:t>
      </w:r>
      <w:r>
        <w:rPr>
          <w:rFonts w:ascii="Arial" w:cs="Arial" w:eastAsia="Arial" w:hAnsi="Arial"/>
          <w:sz w:val="18"/>
          <w:szCs w:val="18"/>
          <w:color w:val="auto"/>
        </w:rPr>
        <w:t>table later in this Executive Compensation discussion.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6" w:name="page27"/>
    <w:bookmarkEnd w:id="26"/>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i w:val="1"/>
          <w:iCs w:val="1"/>
          <w:color w:val="auto"/>
        </w:rPr>
        <w:t>Other Personal Benefits and Perquisites</w:t>
      </w:r>
    </w:p>
    <w:p>
      <w:pPr>
        <w:spacing w:after="0" w:line="225" w:lineRule="exact"/>
        <w:rPr>
          <w:sz w:val="20"/>
          <w:szCs w:val="20"/>
          <w:color w:val="auto"/>
        </w:rPr>
      </w:pPr>
    </w:p>
    <w:p>
      <w:pPr>
        <w:jc w:val="both"/>
        <w:ind w:right="640"/>
        <w:spacing w:after="0" w:line="286" w:lineRule="auto"/>
        <w:rPr>
          <w:sz w:val="20"/>
          <w:szCs w:val="20"/>
          <w:color w:val="auto"/>
        </w:rPr>
      </w:pPr>
      <w:r>
        <w:rPr>
          <w:rFonts w:ascii="Arial" w:cs="Arial" w:eastAsia="Arial" w:hAnsi="Arial"/>
          <w:sz w:val="17"/>
          <w:szCs w:val="17"/>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table summarizes the “total compensation” of the Corporation’s Named Executive Officers for the fiscal year ended June 30, 2023. It should be noted that the total compensation as reported by the Summary Compensation Table follows specific requirements of the Securities and Exchange Commission for reporting compensation, and does not reflect the target or actual compensation for the Named Executive Officers for the fiscal year.</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520" w:type="dxa"/>
            <w:vAlign w:val="bottom"/>
            <w:tcBorders>
              <w:top w:val="single" w:sz="8" w:color="auto"/>
              <w:left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9"/>
              </w:rPr>
              <w:t>(3)</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(2)</w:t>
            </w:r>
          </w:p>
        </w:tc>
        <w:tc>
          <w:tcPr>
            <w:tcW w:w="13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Nonqualified</w:t>
            </w:r>
          </w:p>
        </w:tc>
        <w:tc>
          <w:tcPr>
            <w:tcW w:w="2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11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Non-Equity</w:t>
            </w:r>
          </w:p>
        </w:tc>
        <w:tc>
          <w:tcPr>
            <w:tcW w:w="260" w:type="dxa"/>
            <w:vAlign w:val="bottom"/>
          </w:tcPr>
          <w:p>
            <w:pPr>
              <w:spacing w:after="0"/>
              <w:rPr>
                <w:sz w:val="18"/>
                <w:szCs w:val="18"/>
                <w:color w:val="auto"/>
              </w:rPr>
            </w:pPr>
          </w:p>
        </w:tc>
        <w:tc>
          <w:tcPr>
            <w:tcW w:w="10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Deferred</w:t>
            </w:r>
          </w:p>
        </w:tc>
        <w:tc>
          <w:tcPr>
            <w:tcW w:w="260" w:type="dxa"/>
            <w:vAlign w:val="bottom"/>
          </w:tcPr>
          <w:p>
            <w:pPr>
              <w:spacing w:after="0"/>
              <w:rPr>
                <w:sz w:val="18"/>
                <w:szCs w:val="18"/>
                <w:color w:val="auto"/>
              </w:rPr>
            </w:pPr>
          </w:p>
        </w:tc>
        <w:tc>
          <w:tcPr>
            <w:tcW w:w="10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(4)</w:t>
            </w:r>
          </w:p>
        </w:tc>
        <w:tc>
          <w:tcPr>
            <w:tcW w:w="3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3"/>
              </w:rPr>
              <w:t>Stock</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Incentive Plan</w:t>
            </w:r>
          </w:p>
        </w:tc>
        <w:tc>
          <w:tcPr>
            <w:tcW w:w="13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260" w:type="dxa"/>
            <w:vAlign w:val="bottom"/>
          </w:tcPr>
          <w:p>
            <w:pPr>
              <w:spacing w:after="0"/>
              <w:rPr>
                <w:sz w:val="18"/>
                <w:szCs w:val="18"/>
                <w:color w:val="auto"/>
              </w:rPr>
            </w:pPr>
          </w:p>
        </w:tc>
        <w:tc>
          <w:tcPr>
            <w:tcW w:w="10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7"/>
              </w:rPr>
              <w:t>All Other</w:t>
            </w:r>
          </w:p>
        </w:tc>
        <w:tc>
          <w:tcPr>
            <w:tcW w:w="3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47"/>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and Principal Position</w:t>
            </w:r>
          </w:p>
        </w:tc>
        <w:tc>
          <w:tcPr>
            <w:tcW w:w="6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Year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Salary</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89"/>
              </w:rPr>
              <w:t>Awards</w:t>
            </w:r>
          </w:p>
        </w:tc>
        <w:tc>
          <w:tcPr>
            <w:tcW w:w="13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Earnings</w:t>
            </w:r>
          </w:p>
        </w:tc>
        <w:tc>
          <w:tcPr>
            <w:tcW w:w="13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193"/>
        </w:trPr>
        <w:tc>
          <w:tcPr>
            <w:tcW w:w="252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John H. Batten</w:t>
            </w:r>
          </w:p>
        </w:tc>
        <w:tc>
          <w:tcPr>
            <w:tcW w:w="660" w:type="dxa"/>
            <w:vAlign w:val="bottom"/>
            <w:tcBorders>
              <w:bottom w:val="single" w:sz="8" w:color="auto"/>
              <w:right w:val="single" w:sz="8" w:color="auto"/>
            </w:tcBorders>
          </w:tcPr>
          <w:p>
            <w:pPr>
              <w:ind w:left="120"/>
              <w:spacing w:after="0" w:line="193" w:lineRule="exact"/>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0"/>
              <w:spacing w:after="0" w:line="193" w:lineRule="exact"/>
              <w:rPr>
                <w:sz w:val="20"/>
                <w:szCs w:val="20"/>
                <w:color w:val="auto"/>
              </w:rPr>
            </w:pPr>
            <w:r>
              <w:rPr>
                <w:rFonts w:ascii="Arial" w:cs="Arial" w:eastAsia="Arial" w:hAnsi="Arial"/>
                <w:sz w:val="18"/>
                <w:szCs w:val="18"/>
                <w:color w:val="auto"/>
              </w:rPr>
              <w:t>648,416</w:t>
            </w:r>
          </w:p>
        </w:tc>
        <w:tc>
          <w:tcPr>
            <w:tcW w:w="300" w:type="dxa"/>
            <w:vAlign w:val="bottom"/>
            <w:tcBorders>
              <w:bottom w:val="single" w:sz="8" w:color="auto"/>
            </w:tcBorders>
          </w:tcPr>
          <w:p>
            <w:pPr>
              <w:jc w:val="right"/>
              <w:ind w:right="10"/>
              <w:spacing w:after="0" w:line="19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Arial" w:cs="Arial" w:eastAsia="Arial" w:hAnsi="Arial"/>
                <w:sz w:val="18"/>
                <w:szCs w:val="18"/>
                <w:color w:val="auto"/>
              </w:rPr>
              <w:t>1,092,881</w:t>
            </w:r>
          </w:p>
        </w:tc>
        <w:tc>
          <w:tcPr>
            <w:tcW w:w="2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Arial" w:cs="Arial" w:eastAsia="Arial" w:hAnsi="Arial"/>
                <w:sz w:val="18"/>
                <w:szCs w:val="18"/>
                <w:color w:val="auto"/>
              </w:rPr>
              <w:t>408,223</w:t>
            </w:r>
          </w:p>
        </w:tc>
        <w:tc>
          <w:tcPr>
            <w:tcW w:w="2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Arial" w:cs="Arial" w:eastAsia="Arial" w:hAnsi="Arial"/>
                <w:sz w:val="18"/>
                <w:szCs w:val="18"/>
                <w:color w:val="auto"/>
              </w:rPr>
              <w:t>162,044</w:t>
            </w:r>
          </w:p>
        </w:tc>
        <w:tc>
          <w:tcPr>
            <w:tcW w:w="340" w:type="dxa"/>
            <w:vAlign w:val="bottom"/>
            <w:tcBorders>
              <w:bottom w:val="single" w:sz="8" w:color="auto"/>
            </w:tcBorders>
          </w:tcPr>
          <w:p>
            <w:pPr>
              <w:jc w:val="right"/>
              <w:ind w:right="50"/>
              <w:spacing w:after="0" w:line="19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Arial" w:cs="Arial" w:eastAsia="Arial" w:hAnsi="Arial"/>
                <w:sz w:val="18"/>
                <w:szCs w:val="18"/>
                <w:color w:val="auto"/>
              </w:rPr>
              <w:t>2,311,564</w:t>
            </w:r>
          </w:p>
        </w:tc>
      </w:tr>
      <w:tr>
        <w:trPr>
          <w:trHeight w:val="195"/>
        </w:trPr>
        <w:tc>
          <w:tcPr>
            <w:tcW w:w="2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President and Chief Executive</w:t>
            </w:r>
          </w:p>
        </w:tc>
        <w:tc>
          <w:tcPr>
            <w:tcW w:w="6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30"/>
        </w:trPr>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Officer</w:t>
            </w:r>
          </w:p>
        </w:tc>
        <w:tc>
          <w:tcPr>
            <w:tcW w:w="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623,625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1,096,472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631,891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1,691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129,936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2,483,615</w:t>
            </w:r>
          </w:p>
        </w:tc>
      </w:tr>
      <w:tr>
        <w:trPr>
          <w:trHeight w:val="210"/>
        </w:trPr>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Jeffrey S. Knutson</w:t>
            </w:r>
          </w:p>
        </w:tc>
        <w:tc>
          <w:tcPr>
            <w:tcW w:w="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380,928</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536,605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160,871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34,796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1,113,200</w:t>
            </w:r>
          </w:p>
        </w:tc>
      </w:tr>
      <w:tr>
        <w:trPr>
          <w:trHeight w:val="195"/>
        </w:trPr>
        <w:tc>
          <w:tcPr>
            <w:tcW w:w="25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7"/>
              </w:rPr>
              <w:t>Vice President – Finance, CFO,</w:t>
            </w:r>
          </w:p>
        </w:tc>
        <w:tc>
          <w:tcPr>
            <w:tcW w:w="6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30"/>
        </w:trPr>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Treasurer and Sec’y</w:t>
            </w:r>
          </w:p>
        </w:tc>
        <w:tc>
          <w:tcPr>
            <w:tcW w:w="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364,006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493,420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238,508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34,944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1,130,878</w:t>
            </w:r>
          </w:p>
        </w:tc>
      </w:tr>
    </w:tbl>
    <w:p>
      <w:pPr>
        <w:spacing w:after="0" w:line="202" w:lineRule="exact"/>
        <w:rPr>
          <w:sz w:val="20"/>
          <w:szCs w:val="20"/>
          <w:color w:val="auto"/>
        </w:rPr>
      </w:pPr>
    </w:p>
    <w:p>
      <w:pPr>
        <w:ind w:left="340" w:right="60" w:hanging="332"/>
        <w:spacing w:after="0" w:line="25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values of the performance-based awards granted in FY2023, assuming the maximum performance goals are achieved, are as follows: Mr. Batten, $983,590; and Mr. Knutson, $482,952. These calculations are based on the closing share price on the date of grant of $9.06.</w:t>
      </w:r>
    </w:p>
    <w:p>
      <w:pPr>
        <w:spacing w:after="0" w:line="187" w:lineRule="exact"/>
        <w:rPr>
          <w:rFonts w:ascii="Arial" w:cs="Arial" w:eastAsia="Arial" w:hAnsi="Arial"/>
          <w:sz w:val="18"/>
          <w:szCs w:val="18"/>
          <w:color w:val="auto"/>
        </w:rPr>
      </w:pPr>
    </w:p>
    <w:p>
      <w:pPr>
        <w:ind w:left="340" w:right="100"/>
        <w:spacing w:after="0" w:line="263" w:lineRule="auto"/>
        <w:rPr>
          <w:rFonts w:ascii="Arial" w:cs="Arial" w:eastAsia="Arial" w:hAnsi="Arial"/>
          <w:sz w:val="18"/>
          <w:szCs w:val="18"/>
          <w:color w:val="auto"/>
        </w:rPr>
      </w:pPr>
      <w:r>
        <w:rPr>
          <w:rFonts w:ascii="Arial" w:cs="Arial" w:eastAsia="Arial" w:hAnsi="Arial"/>
          <w:sz w:val="18"/>
          <w:szCs w:val="18"/>
          <w:color w:val="auto"/>
        </w:rPr>
        <w:t>The following table presents separately the compensation expense recognized in FY2023 and in FY2022 for outstanding awards of performance stock (restricted stock units with performance conditions are included in the “Performance Stock” column), restricted stock and restricted stock units for Messrs. Batten and Knutson.</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6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Year</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Performance Stock</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Restricted Stock</w:t>
            </w:r>
          </w:p>
        </w:tc>
        <w:tc>
          <w:tcPr>
            <w:tcW w:w="268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Restricted Stock Units</w:t>
            </w:r>
          </w:p>
        </w:tc>
      </w:tr>
      <w:tr>
        <w:trPr>
          <w:trHeight w:val="193"/>
        </w:trPr>
        <w:tc>
          <w:tcPr>
            <w:tcW w:w="252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John H. Batten</w:t>
            </w:r>
          </w:p>
        </w:tc>
        <w:tc>
          <w:tcPr>
            <w:tcW w:w="660" w:type="dxa"/>
            <w:vAlign w:val="bottom"/>
            <w:tcBorders>
              <w:bottom w:val="single" w:sz="8" w:color="auto"/>
              <w:right w:val="single" w:sz="8" w:color="auto"/>
            </w:tcBorders>
          </w:tcPr>
          <w:p>
            <w:pPr>
              <w:ind w:left="120"/>
              <w:spacing w:after="0" w:line="193" w:lineRule="exact"/>
              <w:rPr>
                <w:sz w:val="20"/>
                <w:szCs w:val="20"/>
                <w:color w:val="auto"/>
              </w:rPr>
            </w:pPr>
            <w:r>
              <w:rPr>
                <w:rFonts w:ascii="Arial" w:cs="Arial" w:eastAsia="Arial" w:hAnsi="Arial"/>
                <w:sz w:val="18"/>
                <w:szCs w:val="18"/>
                <w:color w:val="auto"/>
              </w:rPr>
              <w:t>2023</w:t>
            </w:r>
          </w:p>
        </w:tc>
        <w:tc>
          <w:tcPr>
            <w:tcW w:w="27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$ 668,577</w:t>
            </w:r>
          </w:p>
        </w:tc>
        <w:tc>
          <w:tcPr>
            <w:tcW w:w="26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289,269</w:t>
            </w:r>
          </w:p>
        </w:tc>
        <w:tc>
          <w:tcPr>
            <w:tcW w:w="26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100,004</w:t>
            </w:r>
          </w:p>
        </w:tc>
      </w:tr>
      <w:tr>
        <w:trPr>
          <w:trHeight w:val="210"/>
        </w:trPr>
        <w:tc>
          <w:tcPr>
            <w:tcW w:w="252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2022</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$ 460,006</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260,002</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105,004</w:t>
            </w:r>
          </w:p>
        </w:tc>
      </w:tr>
      <w:tr>
        <w:trPr>
          <w:trHeight w:val="210"/>
        </w:trPr>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Jeffrey S. Knutson</w:t>
            </w:r>
          </w:p>
        </w:tc>
        <w:tc>
          <w:tcPr>
            <w:tcW w:w="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2023</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$ 257,167</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119,938</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60,001</w:t>
            </w:r>
          </w:p>
        </w:tc>
      </w:tr>
      <w:tr>
        <w:trPr>
          <w:trHeight w:val="210"/>
        </w:trPr>
        <w:tc>
          <w:tcPr>
            <w:tcW w:w="252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2022</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$ 156,863</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105,002</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59,307</w:t>
            </w:r>
          </w:p>
        </w:tc>
      </w:tr>
    </w:tbl>
    <w:p>
      <w:pPr>
        <w:spacing w:after="0" w:line="202" w:lineRule="exact"/>
        <w:rPr>
          <w:sz w:val="20"/>
          <w:szCs w:val="20"/>
          <w:color w:val="auto"/>
        </w:rPr>
      </w:pPr>
    </w:p>
    <w:p>
      <w:pPr>
        <w:ind w:left="340" w:right="40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cash bonuses earned in connection with achievement of specific performance targets under the Corporate Incentive Plan, described in the narrative following the Summary Compensation Table.</w:t>
      </w:r>
    </w:p>
    <w:p>
      <w:pPr>
        <w:spacing w:after="0" w:line="1" w:lineRule="exact"/>
        <w:rPr>
          <w:rFonts w:ascii="Arial" w:cs="Arial" w:eastAsia="Arial" w:hAnsi="Arial"/>
          <w:sz w:val="18"/>
          <w:szCs w:val="18"/>
          <w:color w:val="auto"/>
        </w:rPr>
      </w:pPr>
    </w:p>
    <w:p>
      <w:pPr>
        <w:ind w:left="340" w:right="320" w:hanging="332"/>
        <w:spacing w:after="0" w:line="26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figure represents above-market earnings on the SERP benefits of Mr. Batten. Mr. Batten’s SERP benefit was credited with 3% in earnings, the minimum earnings rate under the SERP. Mr. Knutson does not participate in the SERP.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(4) All Other Compensation consists of the following for each of the Named Executive Officers: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7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Name</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401k Company</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Retirement Savings</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Defined</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Prerequisites and</w:t>
            </w:r>
          </w:p>
        </w:tc>
        <w:tc>
          <w:tcPr>
            <w:tcW w:w="1560" w:type="dxa"/>
            <w:vAlign w:val="bottom"/>
            <w:tcBorders>
              <w:top w:val="single" w:sz="8" w:color="auto"/>
              <w:right w:val="single" w:sz="8" w:color="auto"/>
            </w:tcBorders>
            <w:vMerge w:val="restart"/>
          </w:tcPr>
          <w:p>
            <w:pPr>
              <w:ind w:left="5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Match</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Plan Contribution</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Contribution SERP</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Insurance</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Personal Benefits</w:t>
            </w: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vMerge w:val="continue"/>
          </w:tcPr>
          <w:p>
            <w:pPr>
              <w:spacing w:after="0"/>
              <w:rPr>
                <w:sz w:val="10"/>
                <w:szCs w:val="10"/>
                <w:color w:val="auto"/>
              </w:rPr>
            </w:pPr>
          </w:p>
        </w:tc>
        <w:tc>
          <w:tcPr>
            <w:tcW w:w="1680" w:type="dxa"/>
            <w:vAlign w:val="bottom"/>
            <w:tcBorders>
              <w:bottom w:val="single" w:sz="8" w:color="auto"/>
              <w:right w:val="single" w:sz="8" w:color="auto"/>
            </w:tcBorders>
            <w:vMerge w:val="continue"/>
          </w:tcPr>
          <w:p>
            <w:pPr>
              <w:spacing w:after="0"/>
              <w:rPr>
                <w:sz w:val="10"/>
                <w:szCs w:val="10"/>
                <w:color w:val="auto"/>
              </w:rPr>
            </w:pPr>
          </w:p>
        </w:tc>
        <w:tc>
          <w:tcPr>
            <w:tcW w:w="1580" w:type="dxa"/>
            <w:vAlign w:val="bottom"/>
            <w:tcBorders>
              <w:bottom w:val="single" w:sz="8" w:color="auto"/>
              <w:right w:val="single" w:sz="8" w:color="auto"/>
            </w:tcBorders>
            <w:vMerge w:val="continue"/>
          </w:tcPr>
          <w:p>
            <w:pPr>
              <w:spacing w:after="0"/>
              <w:rPr>
                <w:sz w:val="10"/>
                <w:szCs w:val="10"/>
                <w:color w:val="auto"/>
              </w:rPr>
            </w:pPr>
          </w:p>
        </w:tc>
        <w:tc>
          <w:tcPr>
            <w:tcW w:w="1580" w:type="dxa"/>
            <w:vAlign w:val="bottom"/>
            <w:tcBorders>
              <w:bottom w:val="single" w:sz="8" w:color="auto"/>
              <w:right w:val="single" w:sz="8" w:color="auto"/>
            </w:tcBorders>
            <w:vMerge w:val="continue"/>
          </w:tcPr>
          <w:p>
            <w:pPr>
              <w:spacing w:after="0"/>
              <w:rPr>
                <w:sz w:val="10"/>
                <w:szCs w:val="10"/>
                <w:color w:val="auto"/>
              </w:rPr>
            </w:pPr>
          </w:p>
        </w:tc>
        <w:tc>
          <w:tcPr>
            <w:tcW w:w="1560" w:type="dxa"/>
            <w:vAlign w:val="bottom"/>
            <w:tcBorders>
              <w:bottom w:val="single" w:sz="8" w:color="auto"/>
              <w:right w:val="single" w:sz="8" w:color="auto"/>
            </w:tcBorders>
            <w:vMerge w:val="continue"/>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72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John H. Batten</w:t>
            </w:r>
          </w:p>
        </w:tc>
        <w:tc>
          <w:tcPr>
            <w:tcW w:w="15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$ 10,128</w:t>
            </w:r>
          </w:p>
        </w:tc>
        <w:tc>
          <w:tcPr>
            <w:tcW w:w="16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8"/>
              </w:rPr>
              <w:t>$ 18,850</w:t>
            </w:r>
          </w:p>
        </w:tc>
        <w:tc>
          <w:tcPr>
            <w:tcW w:w="15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8"/>
              </w:rPr>
              <w:t>$ 84,427</w:t>
            </w:r>
          </w:p>
        </w:tc>
        <w:tc>
          <w:tcPr>
            <w:tcW w:w="15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$ 29,000</w:t>
            </w:r>
          </w:p>
        </w:tc>
        <w:tc>
          <w:tcPr>
            <w:tcW w:w="15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$ 19,638</w:t>
            </w:r>
          </w:p>
        </w:tc>
        <w:tc>
          <w:tcPr>
            <w:tcW w:w="1560" w:type="dxa"/>
            <w:vAlign w:val="bottom"/>
            <w:tcBorders>
              <w:bottom w:val="single" w:sz="8" w:color="auto"/>
              <w:right w:val="single" w:sz="8" w:color="auto"/>
            </w:tcBorders>
          </w:tcPr>
          <w:p>
            <w:pPr>
              <w:jc w:val="right"/>
              <w:ind w:right="330"/>
              <w:spacing w:after="0" w:line="193" w:lineRule="exact"/>
              <w:rPr>
                <w:sz w:val="20"/>
                <w:szCs w:val="20"/>
                <w:color w:val="auto"/>
              </w:rPr>
            </w:pPr>
            <w:r>
              <w:rPr>
                <w:rFonts w:ascii="Arial" w:cs="Arial" w:eastAsia="Arial" w:hAnsi="Arial"/>
                <w:sz w:val="18"/>
                <w:szCs w:val="18"/>
                <w:color w:val="auto"/>
              </w:rPr>
              <w:t>$ 162,044</w:t>
            </w: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Jeffrey S. Knutson</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$ 10,026</w:t>
            </w: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$ 24,770</w:t>
            </w: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$ 34,796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520"/>
        <w:spacing w:after="0" w:line="277" w:lineRule="auto"/>
        <w:rPr>
          <w:sz w:val="20"/>
          <w:szCs w:val="20"/>
          <w:color w:val="auto"/>
        </w:rPr>
      </w:pPr>
      <w:r>
        <w:rPr>
          <w:rFonts w:ascii="Arial" w:cs="Arial" w:eastAsia="Arial" w:hAnsi="Arial"/>
          <w:sz w:val="18"/>
          <w:szCs w:val="18"/>
          <w:color w:val="auto"/>
        </w:rPr>
        <w:t>The Corporation’s Supplemental Executive Retirement Plan (“SERP”) was restated during FY2011 to provide a defined contribution formula for the benefits of Mr. Batten. Mr. Knutson does not participate in the SERP.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Messrs. Batten and Knutson participate in an endorsement split-dollar life insurance plan.</w:t>
      </w:r>
    </w:p>
    <w:p>
      <w:pPr>
        <w:spacing w:after="0" w:line="225" w:lineRule="exact"/>
        <w:rPr>
          <w:sz w:val="20"/>
          <w:szCs w:val="20"/>
          <w:color w:val="auto"/>
        </w:rPr>
      </w:pPr>
    </w:p>
    <w:p>
      <w:pPr>
        <w:ind w:left="20" w:right="380"/>
        <w:spacing w:after="0" w:line="263" w:lineRule="auto"/>
        <w:rPr>
          <w:sz w:val="20"/>
          <w:szCs w:val="20"/>
          <w:color w:val="auto"/>
        </w:rPr>
      </w:pPr>
      <w:r>
        <w:rPr>
          <w:rFonts w:ascii="Arial" w:cs="Arial" w:eastAsia="Arial" w:hAnsi="Arial"/>
          <w:sz w:val="18"/>
          <w:szCs w:val="18"/>
          <w:color w:val="auto"/>
        </w:rPr>
        <w:t>Perquisites and Personal Benefits for Mr. Batten for FY2023 consist of personal use of the company plane and, supplemental long-term disability premiums. The aggregate total of perquisites and personal benefits for the remaining Named Executive Officer was less than $10,000 for FY2023, and therefore need not be disclosed or included in such Named Executive Officer’s “All Other Compensation” total.</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Base Salary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FY2023, the Committee increased the base salary of Mr. Batten by 4% and Mr. Knutson by 5% effective October 1, 2022.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Awards Granted in FY2023</w:t>
      </w:r>
    </w:p>
    <w:p>
      <w:pPr>
        <w:spacing w:after="0" w:line="225" w:lineRule="exact"/>
        <w:rPr>
          <w:sz w:val="20"/>
          <w:szCs w:val="20"/>
          <w:color w:val="auto"/>
        </w:rPr>
      </w:pPr>
    </w:p>
    <w:p>
      <w:pPr>
        <w:ind w:left="20" w:right="20"/>
        <w:spacing w:after="0" w:line="293" w:lineRule="auto"/>
        <w:rPr>
          <w:sz w:val="20"/>
          <w:szCs w:val="20"/>
          <w:color w:val="auto"/>
        </w:rPr>
      </w:pPr>
      <w:r>
        <w:rPr>
          <w:rFonts w:ascii="Arial" w:cs="Arial" w:eastAsia="Arial" w:hAnsi="Arial"/>
          <w:sz w:val="16"/>
          <w:szCs w:val="16"/>
          <w:color w:val="auto"/>
        </w:rPr>
        <w:t>The amounts in the “Stock Awards” column of the Summary Compensation Table reflect awards made in FY2023 to the Named Executive Officers under the Twin Disc, Incorporated 2021 Long-Term Incentive Compensation Plan. In FY2023, Messrs. Batten and Knutson received awards of restricted stock units with performance conditions and performance stock, respectively. The Committee determined that the long-term incentive awards granted in FY2023 would use a combination of the following performance goals and weightings for the three-year performance period ending in FY2025: (i) average return on invested capital (50%), and (ii) cumulative EBITDA (50%). In addition, the possible range of long-term incentive payments for each performance goal was established as 50% - 200% of the target. These shares will vest on June 30, 2025 if the specific measures are achieved within the payout range.</w:t>
      </w:r>
    </w:p>
    <w:p>
      <w:pPr>
        <w:spacing w:after="0" w:line="164" w:lineRule="exact"/>
        <w:rPr>
          <w:sz w:val="20"/>
          <w:szCs w:val="20"/>
          <w:color w:val="auto"/>
        </w:rPr>
      </w:pPr>
    </w:p>
    <w:p>
      <w:pPr>
        <w:ind w:left="20" w:right="100"/>
        <w:spacing w:after="0" w:line="277" w:lineRule="auto"/>
        <w:rPr>
          <w:sz w:val="20"/>
          <w:szCs w:val="20"/>
          <w:color w:val="auto"/>
        </w:rPr>
      </w:pPr>
      <w:r>
        <w:rPr>
          <w:rFonts w:ascii="Arial" w:cs="Arial" w:eastAsia="Arial" w:hAnsi="Arial"/>
          <w:sz w:val="18"/>
          <w:szCs w:val="18"/>
          <w:color w:val="auto"/>
        </w:rPr>
        <w:t>In order to incent and retain the Corporation’s executives, restricted stock was also granted to Messrs. Batten and Knutson in FY2023. The restricted stock awards will vest on August 3, 2025, provided the executives remain employed with the Corporation until the vesting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Non-Equity Incentive Plan Compensation</w:t>
      </w:r>
    </w:p>
    <w:p>
      <w:pPr>
        <w:spacing w:after="0" w:line="225" w:lineRule="exact"/>
        <w:rPr>
          <w:sz w:val="20"/>
          <w:szCs w:val="20"/>
          <w:color w:val="auto"/>
        </w:rPr>
      </w:pPr>
    </w:p>
    <w:p>
      <w:pPr>
        <w:ind w:left="20" w:right="200"/>
        <w:spacing w:after="0" w:line="301" w:lineRule="auto"/>
        <w:rPr>
          <w:sz w:val="20"/>
          <w:szCs w:val="20"/>
          <w:color w:val="auto"/>
        </w:rPr>
      </w:pPr>
      <w:r>
        <w:rPr>
          <w:rFonts w:ascii="Arial" w:cs="Arial" w:eastAsia="Arial" w:hAnsi="Arial"/>
          <w:sz w:val="16"/>
          <w:szCs w:val="16"/>
          <w:color w:val="auto"/>
        </w:rPr>
        <w:t>The amounts in the “Non-Equity Incentive Plan Compensation” column of the Summary Compensation Table reflect cash bonuses earned in connection with achievement of specific performance targets under the Corporate Incentive Plan (“CIP”). For FY2023, the target bonuses as a percentage of base salary were set at 85% for Mr. Batten and 55% for Mr. Knutson. The CIP targets for the Named Executive Officers were based on a combination of net sales, EBITDA percentage of net sales, and inventory percentage of net sales as well as on achievement of certain strategic objectives.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3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Objective</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Weight</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193"/>
        </w:trPr>
        <w:tc>
          <w:tcPr>
            <w:tcW w:w="3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Net Sales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Target: $288,000,000</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vMerge w:val="continue"/>
          </w:tcPr>
          <w:p>
            <w:pPr>
              <w:spacing w:after="0"/>
              <w:rPr>
                <w:sz w:val="18"/>
                <w:szCs w:val="18"/>
                <w:color w:val="auto"/>
              </w:rPr>
            </w:pPr>
          </w:p>
        </w:tc>
        <w:tc>
          <w:tcPr>
            <w:tcW w:w="2320" w:type="dxa"/>
            <w:vAlign w:val="bottom"/>
            <w:tcBorders>
              <w:right w:val="single" w:sz="8" w:color="auto"/>
            </w:tcBorders>
            <w:vMerge w:val="continue"/>
          </w:tcPr>
          <w:p>
            <w:pPr>
              <w:spacing w:after="0"/>
              <w:rPr>
                <w:sz w:val="18"/>
                <w:szCs w:val="18"/>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Threshold: $250,000,000</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Maximum: $364,000,000</w:t>
            </w:r>
          </w:p>
        </w:tc>
        <w:tc>
          <w:tcPr>
            <w:tcW w:w="0" w:type="dxa"/>
            <w:vAlign w:val="bottom"/>
          </w:tcPr>
          <w:p>
            <w:pPr>
              <w:spacing w:after="0"/>
              <w:rPr>
                <w:sz w:val="1"/>
                <w:szCs w:val="1"/>
                <w:color w:val="auto"/>
              </w:rPr>
            </w:pPr>
          </w:p>
        </w:tc>
      </w:tr>
      <w:tr>
        <w:trPr>
          <w:trHeight w:val="209"/>
        </w:trPr>
        <w:tc>
          <w:tcPr>
            <w:tcW w:w="3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EBITDA Percent of Net Sales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Target = 11.0%</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vMerge w:val="continue"/>
          </w:tcPr>
          <w:p>
            <w:pPr>
              <w:spacing w:after="0"/>
              <w:rPr>
                <w:sz w:val="18"/>
                <w:szCs w:val="18"/>
                <w:color w:val="auto"/>
              </w:rPr>
            </w:pPr>
          </w:p>
        </w:tc>
        <w:tc>
          <w:tcPr>
            <w:tcW w:w="2320" w:type="dxa"/>
            <w:vAlign w:val="bottom"/>
            <w:tcBorders>
              <w:right w:val="single" w:sz="8" w:color="auto"/>
            </w:tcBorders>
            <w:vMerge w:val="continue"/>
          </w:tcPr>
          <w:p>
            <w:pPr>
              <w:spacing w:after="0"/>
              <w:rPr>
                <w:sz w:val="18"/>
                <w:szCs w:val="18"/>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Threshold = 8.0%</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Maximum = 17.0%</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Inventory Percent of Net Sales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Target = 37.5%</w:t>
            </w:r>
          </w:p>
        </w:tc>
        <w:tc>
          <w:tcPr>
            <w:tcW w:w="0" w:type="dxa"/>
            <w:vAlign w:val="bottom"/>
          </w:tcPr>
          <w:p>
            <w:pPr>
              <w:spacing w:after="0"/>
              <w:rPr>
                <w:sz w:val="1"/>
                <w:szCs w:val="1"/>
                <w:color w:val="auto"/>
              </w:rPr>
            </w:pPr>
          </w:p>
        </w:tc>
      </w:tr>
      <w:tr>
        <w:trPr>
          <w:trHeight w:val="209"/>
        </w:trPr>
        <w:tc>
          <w:tcPr>
            <w:tcW w:w="3360" w:type="dxa"/>
            <w:vAlign w:val="bottom"/>
            <w:tcBorders>
              <w:right w:val="single" w:sz="8" w:color="auto"/>
            </w:tcBorders>
            <w:vMerge w:val="continue"/>
          </w:tcPr>
          <w:p>
            <w:pPr>
              <w:spacing w:after="0"/>
              <w:rPr>
                <w:sz w:val="18"/>
                <w:szCs w:val="18"/>
                <w:color w:val="auto"/>
              </w:rPr>
            </w:pPr>
          </w:p>
        </w:tc>
        <w:tc>
          <w:tcPr>
            <w:tcW w:w="2320" w:type="dxa"/>
            <w:vAlign w:val="bottom"/>
            <w:tcBorders>
              <w:right w:val="single" w:sz="8" w:color="auto"/>
            </w:tcBorders>
            <w:vMerge w:val="continue"/>
          </w:tcPr>
          <w:p>
            <w:pPr>
              <w:spacing w:after="0"/>
              <w:rPr>
                <w:sz w:val="18"/>
                <w:szCs w:val="18"/>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Threshold = 42.5%</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Maximum = 27.5%</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Strategic Objective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Growth</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Strategic Objective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Capital Allocation</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Strategic Objective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Individual Performance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August 2023, the Committee determined that the strategic objectives for FY2023 were achieved at a 100% level for the Growth objective and 75% level for the Capital Allocation objective, and that the Corporation’s net sales of $276,960,000 and EBITDA percentage of 10.6% exceeded the threshold level. The CIP therefore paid at 73.3% and 75.8% of the target amounts for Mr. Batten and Mr. Knutson,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Made by the Committee in FY2024</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Since the end of FY2023, the Committee has taken the following actions with respect to the base salary, annual incentive compensation, and long-term incentive compensation for its Named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their meeting in August 2023, the Committee approved a 4.5% increase in the base salary of Mr. Batten and a 4.5% increase in the base salary of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Knutson.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Compensation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2023, the Committee reviewed and approved the performance goals recommended for the CIP for FY2024. The CIP will pay out if certain Net Sales, EBITDA Percent, Inventory Percent of Net Sales and strategic objectives relating to growth, European consolidation and individual performance are achieved for FY2024. The Committee set the target bonus percentages (as a percentage of base salary) for each of the Named Executive Officers for FY2024 as follows: 85% for Mr. Batten and 55% for Mr. Knutson.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TWIN DISC, INCORPORATED 2023 ANNUAL REPORT | PROXY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 w:name="page30"/>
    <w:bookmarkEnd w:id="29"/>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Long-Term Incentive Compensation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August 2023, the Committee reviewed the performance objective established in August of 2020 for the vesting of performance stock granted in August 2020 under the Twin Disc, Incorporated 2018 Long-Term Incentive Compensation Plan. The objective is listed below:</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Performance Objective: Average Return on Invested Capital (also called Average Return on Total Capital), Cumulative Sales Revenue and Cumulative Free Cash Flow for the three fiscal years ending 6/30/2023 at the achievement levels specified below. Average Return on Invested Capital was weighted at 40% and Cumulative Sales Revenue and Cumulative Free Cash Flow are each weighted at 30% of the performance objective.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Performance of Objective as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6416040" cy="158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6040" cy="158750"/>
                    </a:xfrm>
                    <a:prstGeom prst="rect">
                      <a:avLst/>
                    </a:prstGeom>
                    <a:noFill/>
                  </pic:spPr>
                </pic:pic>
              </a:graphicData>
            </a:graphic>
          </wp:anchor>
        </w:drawing>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540" w:type="dxa"/>
            <w:vAlign w:val="bottom"/>
            <w:tcBorders>
              <w:top w:val="single" w:sz="8" w:color="auto"/>
              <w:left w:val="single" w:sz="8" w:color="auto"/>
              <w:right w:val="single" w:sz="8" w:color="auto"/>
            </w:tcBorders>
          </w:tcPr>
          <w:p>
            <w:pPr>
              <w:spacing w:after="0"/>
              <w:rPr>
                <w:sz w:val="17"/>
                <w:szCs w:val="17"/>
                <w:color w:val="auto"/>
              </w:rPr>
            </w:pPr>
          </w:p>
        </w:tc>
        <w:tc>
          <w:tcPr>
            <w:tcW w:w="3340" w:type="dxa"/>
            <w:vAlign w:val="bottom"/>
            <w:tcBorders>
              <w:top w:val="single" w:sz="8" w:color="auto"/>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1"/>
              </w:rPr>
              <w:t>Avg. Return on Invested Capital</w:t>
            </w:r>
          </w:p>
        </w:tc>
        <w:tc>
          <w:tcPr>
            <w:tcW w:w="2620" w:type="dxa"/>
            <w:vAlign w:val="bottom"/>
            <w:tcBorders>
              <w:top w:val="single" w:sz="8" w:color="auto"/>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Cumulative Sales</w:t>
            </w:r>
          </w:p>
        </w:tc>
        <w:tc>
          <w:tcPr>
            <w:tcW w:w="2620" w:type="dxa"/>
            <w:vAlign w:val="bottom"/>
            <w:tcBorders>
              <w:top w:val="single" w:sz="8" w:color="auto"/>
              <w:right w:val="single" w:sz="8" w:color="auto"/>
            </w:tcBorders>
            <w:gridSpan w:val="2"/>
          </w:tcPr>
          <w:p>
            <w:pPr>
              <w:jc w:val="center"/>
              <w:spacing w:after="0" w:line="199" w:lineRule="exact"/>
              <w:rPr>
                <w:sz w:val="20"/>
                <w:szCs w:val="20"/>
                <w:color w:val="auto"/>
              </w:rPr>
            </w:pPr>
            <w:r>
              <w:rPr>
                <w:rFonts w:ascii="Arial" w:cs="Arial" w:eastAsia="Arial" w:hAnsi="Arial"/>
                <w:sz w:val="18"/>
                <w:szCs w:val="18"/>
                <w:color w:val="auto"/>
                <w:w w:val="91"/>
              </w:rPr>
              <w:t>Cumulative</w:t>
            </w: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(a/k/a Avg. Return on Total Capital)</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Revenue</w:t>
            </w:r>
          </w:p>
        </w:tc>
        <w:tc>
          <w:tcPr>
            <w:tcW w:w="2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Free Cash Flow</w:t>
            </w:r>
          </w:p>
        </w:tc>
      </w:tr>
      <w:tr>
        <w:trPr>
          <w:trHeight w:val="230"/>
        </w:trPr>
        <w:tc>
          <w:tcPr>
            <w:tcW w:w="1540" w:type="dxa"/>
            <w:vAlign w:val="bottom"/>
            <w:tcBorders>
              <w:left w:val="single" w:sz="8" w:color="auto"/>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(40%)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(30%)</w:t>
            </w: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ind w:right="870"/>
              <w:spacing w:after="0"/>
              <w:rPr>
                <w:sz w:val="20"/>
                <w:szCs w:val="20"/>
                <w:color w:val="auto"/>
              </w:rPr>
            </w:pPr>
            <w:r>
              <w:rPr>
                <w:rFonts w:ascii="Arial" w:cs="Arial" w:eastAsia="Arial" w:hAnsi="Arial"/>
                <w:sz w:val="18"/>
                <w:szCs w:val="18"/>
                <w:color w:val="auto"/>
                <w:w w:val="95"/>
              </w:rPr>
              <w:t>(30%)</w:t>
            </w:r>
          </w:p>
        </w:tc>
      </w:tr>
      <w:tr>
        <w:trPr>
          <w:trHeight w:val="209"/>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Maximum</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$ 798,000,000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w w:val="90"/>
              </w:rPr>
              <w:t>20,000,000</w:t>
            </w:r>
          </w:p>
        </w:tc>
      </w:tr>
      <w:tr>
        <w:trPr>
          <w:trHeight w:val="21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Target</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$ 738,000,000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w w:val="90"/>
              </w:rPr>
              <w:t>10,000,000</w:t>
            </w:r>
          </w:p>
        </w:tc>
      </w:tr>
      <w:tr>
        <w:trPr>
          <w:trHeight w:val="209"/>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Threshold</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$ 684,000,000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“Average Return on Invested Capital” (also known as Average Return on Total Capital) is defined as the average amount of “Return on Invested Capital” for the three fiscal years of the Performance Period. Return on Invested Capital is measured as Net Operating Profit After Taxes (NOPAT) divided by Invested Capital, where NOPAT equals earnings from operations, less tax, calculated using the actual reported effective tax rate, and Invested Capital equals long-term debt plus shareholders equity.</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“Cumulative Sales Revenue” is defined as the cumulative total of the amount reported as annual “Net Sales” in the Company’s financial statements for the three fiscal years of the Performance Period.</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“Cumulative Free Cash Flow” is defined as the cumulative total of the amounts reported as “Operating Cash Flow” less the amounts reported as “Capital Expenditures” for the three fiscal years of the performance period.</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Committee determined, subject to audit, that for the three-year period ending June 30, 2023, the Corporation’s Average Return on Invested Capital was 3.73%, the Cumulative Sales Revenue was $738,454,634 and the Cumulative Free Cash Flow was $4,003,000. As a result, the Corporation achieved 95.6% of its Average Return on Invested Capital goal (weighted 40%), 100.4% of its Cumulative Sales Revenue goal (weighted 30%) and 70.0% of its Cumulative Free Cash Flow goal (weighted 30%). The Committee therefore determined that the performance stock would vest at 89.4% of target.</w:t>
      </w:r>
    </w:p>
    <w:p>
      <w:pPr>
        <w:spacing w:after="0" w:line="1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FY2024, the awards use a combination of the following performance goals and weightings for the three fiscal year performance period ending June 30, 2025: (i) average return on invested capital (also known as average return on total capital) (50%), and (ii) cumulative EBITDA (50%). In addition, the possible range of long-term incentive payments for each performance goal will be 50% - 200% of the target. The Committee awarded performance stock, restricted stock and restricted stock units with performance conditions as long-term incentive awards in FY2024.</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TWIN DISC, INCORPORATED 2023 ANNUAL REPORT | PROXY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4"/>
        </w:trPr>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Grants of Plan-Based Awards</w:t>
            </w: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00" w:type="dxa"/>
            <w:vAlign w:val="bottom"/>
            <w:gridSpan w:val="9"/>
          </w:tcPr>
          <w:p>
            <w:pPr>
              <w:spacing w:after="0"/>
              <w:rPr>
                <w:sz w:val="20"/>
                <w:szCs w:val="20"/>
                <w:color w:val="auto"/>
              </w:rPr>
            </w:pPr>
            <w:r>
              <w:rPr>
                <w:rFonts w:ascii="Arial" w:cs="Arial" w:eastAsia="Arial" w:hAnsi="Arial"/>
                <w:sz w:val="18"/>
                <w:szCs w:val="18"/>
                <w:color w:val="auto"/>
                <w:w w:val="95"/>
              </w:rPr>
              <w:t>The following table provides information on plan-based incentive awards granted to our Named Executive Officers during FY2023.</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auto"/>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3"/>
          </w:tcPr>
          <w:p>
            <w:pPr>
              <w:jc w:val="center"/>
              <w:spacing w:after="0" w:line="178" w:lineRule="exact"/>
              <w:rPr>
                <w:sz w:val="20"/>
                <w:szCs w:val="20"/>
                <w:color w:val="auto"/>
              </w:rPr>
            </w:pPr>
            <w:r>
              <w:rPr>
                <w:rFonts w:ascii="Arial" w:cs="Arial" w:eastAsia="Arial" w:hAnsi="Arial"/>
                <w:sz w:val="18"/>
                <w:szCs w:val="18"/>
                <w:color w:val="auto"/>
                <w:w w:val="90"/>
              </w:rPr>
              <w:t>Estimated Future Cash Incentive</w:t>
            </w:r>
          </w:p>
        </w:tc>
        <w:tc>
          <w:tcPr>
            <w:tcW w:w="3040" w:type="dxa"/>
            <w:vAlign w:val="bottom"/>
            <w:tcBorders>
              <w:right w:val="single" w:sz="8" w:color="auto"/>
            </w:tcBorders>
            <w:gridSpan w:val="3"/>
          </w:tcPr>
          <w:p>
            <w:pPr>
              <w:jc w:val="center"/>
              <w:spacing w:after="0" w:line="178" w:lineRule="exact"/>
              <w:rPr>
                <w:sz w:val="20"/>
                <w:szCs w:val="20"/>
                <w:color w:val="auto"/>
              </w:rPr>
            </w:pPr>
            <w:r>
              <w:rPr>
                <w:rFonts w:ascii="Arial" w:cs="Arial" w:eastAsia="Arial" w:hAnsi="Arial"/>
                <w:sz w:val="18"/>
                <w:szCs w:val="18"/>
                <w:color w:val="auto"/>
                <w:w w:val="89"/>
              </w:rPr>
              <w:t>Estimated Future Share or</w:t>
            </w:r>
          </w:p>
        </w:tc>
        <w:tc>
          <w:tcPr>
            <w:tcW w:w="13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Payouts Under Non-Equity</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Unit Payouts Under Equity</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500" w:type="dxa"/>
            <w:vAlign w:val="bottom"/>
            <w:tcBorders>
              <w:left w:val="single" w:sz="8" w:color="auto"/>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Incentive Plan Awards</w:t>
            </w:r>
          </w:p>
        </w:tc>
        <w:tc>
          <w:tcPr>
            <w:tcW w:w="30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Incentive Plan Awards</w:t>
            </w:r>
          </w:p>
        </w:tc>
        <w:tc>
          <w:tcPr>
            <w:tcW w:w="132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5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All other Stock</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awards; Number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of Stock and</w:t>
            </w: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Grant</w:t>
            </w:r>
          </w:p>
        </w:tc>
        <w:tc>
          <w:tcPr>
            <w:tcW w:w="1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Threshold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1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Maximum</w:t>
            </w:r>
          </w:p>
        </w:tc>
        <w:tc>
          <w:tcPr>
            <w:tcW w:w="10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Threshold</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1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Maximum</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of shares of</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Option Awards</w:t>
            </w:r>
          </w:p>
        </w:tc>
        <w:tc>
          <w:tcPr>
            <w:tcW w:w="0" w:type="dxa"/>
            <w:vAlign w:val="bottom"/>
          </w:tcPr>
          <w:p>
            <w:pPr>
              <w:spacing w:after="0"/>
              <w:rPr>
                <w:sz w:val="1"/>
                <w:szCs w:val="1"/>
                <w:color w:val="auto"/>
              </w:rPr>
            </w:pPr>
          </w:p>
        </w:tc>
      </w:tr>
      <w:tr>
        <w:trPr>
          <w:trHeight w:val="230"/>
        </w:trPr>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stock or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9"/>
        </w:trPr>
        <w:tc>
          <w:tcPr>
            <w:tcW w:w="1500" w:type="dxa"/>
            <w:vAlign w:val="bottom"/>
            <w:tcBorders>
              <w:left w:val="single" w:sz="8" w:color="E6E6E6"/>
              <w:bottom w:val="single" w:sz="8" w:color="auto"/>
              <w:right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John H. Batten</w:t>
            </w: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102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102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1020" w:type="dxa"/>
            <w:vAlign w:val="bottom"/>
            <w:tcBorders>
              <w:bottom w:val="single" w:sz="8" w:color="auto"/>
              <w:right w:val="single" w:sz="8" w:color="E6E6E6"/>
            </w:tcBorders>
            <w:shd w:val="clear" w:color="auto" w:fill="E6E6E6"/>
          </w:tcPr>
          <w:p>
            <w:pPr>
              <w:spacing w:after="0"/>
              <w:rPr>
                <w:sz w:val="18"/>
                <w:szCs w:val="18"/>
                <w:color w:val="auto"/>
              </w:rPr>
            </w:pPr>
          </w:p>
        </w:tc>
        <w:tc>
          <w:tcPr>
            <w:tcW w:w="1020" w:type="dxa"/>
            <w:vAlign w:val="bottom"/>
            <w:tcBorders>
              <w:bottom w:val="single" w:sz="8" w:color="auto"/>
              <w:right w:val="single" w:sz="8" w:color="E6E6E6"/>
            </w:tcBorders>
            <w:shd w:val="clear" w:color="auto" w:fill="E6E6E6"/>
          </w:tcPr>
          <w:p>
            <w:pPr>
              <w:spacing w:after="0"/>
              <w:rPr>
                <w:sz w:val="18"/>
                <w:szCs w:val="18"/>
                <w:color w:val="auto"/>
              </w:rPr>
            </w:pPr>
          </w:p>
        </w:tc>
        <w:tc>
          <w:tcPr>
            <w:tcW w:w="1320" w:type="dxa"/>
            <w:vAlign w:val="bottom"/>
            <w:tcBorders>
              <w:bottom w:val="single" w:sz="8" w:color="auto"/>
              <w:right w:val="single" w:sz="8" w:color="E6E6E6"/>
            </w:tcBorders>
            <w:shd w:val="clear" w:color="auto" w:fill="E6E6E6"/>
          </w:tcPr>
          <w:p>
            <w:pPr>
              <w:spacing w:after="0"/>
              <w:rPr>
                <w:sz w:val="18"/>
                <w:szCs w:val="18"/>
                <w:color w:val="auto"/>
              </w:rPr>
            </w:pPr>
          </w:p>
        </w:tc>
        <w:tc>
          <w:tcPr>
            <w:tcW w:w="1340" w:type="dxa"/>
            <w:vAlign w:val="bottom"/>
            <w:tcBorders>
              <w:bottom w:val="single" w:sz="8" w:color="auto"/>
              <w:right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Incentive</w:t>
            </w:r>
          </w:p>
        </w:tc>
        <w:tc>
          <w:tcPr>
            <w:tcW w:w="10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$ 278,460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$ 556,920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$ 1,113,840</w:t>
            </w:r>
          </w:p>
        </w:tc>
        <w:tc>
          <w:tcPr>
            <w:tcW w:w="10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Restricted Stock</w:t>
            </w: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 Award with</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8/3/2022</w:t>
            </w: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36,188</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72,376</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144,752</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$ 655,727</w:t>
            </w:r>
          </w:p>
        </w:tc>
        <w:tc>
          <w:tcPr>
            <w:tcW w:w="0" w:type="dxa"/>
            <w:vAlign w:val="bottom"/>
          </w:tcPr>
          <w:p>
            <w:pPr>
              <w:spacing w:after="0"/>
              <w:rPr>
                <w:sz w:val="1"/>
                <w:szCs w:val="1"/>
                <w:color w:val="auto"/>
              </w:rPr>
            </w:pPr>
          </w:p>
        </w:tc>
      </w:tr>
      <w:tr>
        <w:trPr>
          <w:trHeight w:val="122"/>
        </w:trPr>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Performance</w:t>
            </w:r>
          </w:p>
        </w:tc>
        <w:tc>
          <w:tcPr>
            <w:tcW w:w="10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Conditions (1)</w:t>
            </w: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Restricted Stock</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8/3/2022</w:t>
            </w: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48,251</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$ 437,154</w:t>
            </w:r>
          </w:p>
        </w:tc>
        <w:tc>
          <w:tcPr>
            <w:tcW w:w="0" w:type="dxa"/>
            <w:vAlign w:val="bottom"/>
          </w:tcPr>
          <w:p>
            <w:pPr>
              <w:spacing w:after="0"/>
              <w:rPr>
                <w:sz w:val="1"/>
                <w:szCs w:val="1"/>
                <w:color w:val="auto"/>
              </w:rPr>
            </w:pPr>
          </w:p>
        </w:tc>
      </w:tr>
      <w:tr>
        <w:trPr>
          <w:trHeight w:val="122"/>
        </w:trPr>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Award (2)</w:t>
            </w:r>
          </w:p>
        </w:tc>
        <w:tc>
          <w:tcPr>
            <w:tcW w:w="10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500" w:type="dxa"/>
            <w:vAlign w:val="bottom"/>
            <w:tcBorders>
              <w:left w:val="single" w:sz="8" w:color="E6E6E6"/>
              <w:bottom w:val="single" w:sz="8" w:color="auto"/>
              <w:right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w w:val="97"/>
              </w:rPr>
              <w:t>Jeffrey S. Knutson</w:t>
            </w: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102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102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1020" w:type="dxa"/>
            <w:vAlign w:val="bottom"/>
            <w:tcBorders>
              <w:bottom w:val="single" w:sz="8" w:color="auto"/>
              <w:right w:val="single" w:sz="8" w:color="E6E6E6"/>
            </w:tcBorders>
            <w:shd w:val="clear" w:color="auto" w:fill="E6E6E6"/>
          </w:tcPr>
          <w:p>
            <w:pPr>
              <w:spacing w:after="0"/>
              <w:rPr>
                <w:sz w:val="18"/>
                <w:szCs w:val="18"/>
                <w:color w:val="auto"/>
              </w:rPr>
            </w:pPr>
          </w:p>
        </w:tc>
        <w:tc>
          <w:tcPr>
            <w:tcW w:w="1020" w:type="dxa"/>
            <w:vAlign w:val="bottom"/>
            <w:tcBorders>
              <w:bottom w:val="single" w:sz="8" w:color="auto"/>
              <w:right w:val="single" w:sz="8" w:color="E6E6E6"/>
            </w:tcBorders>
            <w:shd w:val="clear" w:color="auto" w:fill="E6E6E6"/>
          </w:tcPr>
          <w:p>
            <w:pPr>
              <w:spacing w:after="0"/>
              <w:rPr>
                <w:sz w:val="18"/>
                <w:szCs w:val="18"/>
                <w:color w:val="auto"/>
              </w:rPr>
            </w:pPr>
          </w:p>
        </w:tc>
        <w:tc>
          <w:tcPr>
            <w:tcW w:w="1320" w:type="dxa"/>
            <w:vAlign w:val="bottom"/>
            <w:tcBorders>
              <w:bottom w:val="single" w:sz="8" w:color="auto"/>
              <w:right w:val="single" w:sz="8" w:color="E6E6E6"/>
            </w:tcBorders>
            <w:shd w:val="clear" w:color="auto" w:fill="E6E6E6"/>
          </w:tcPr>
          <w:p>
            <w:pPr>
              <w:spacing w:after="0"/>
              <w:rPr>
                <w:sz w:val="18"/>
                <w:szCs w:val="18"/>
                <w:color w:val="auto"/>
              </w:rPr>
            </w:pPr>
          </w:p>
        </w:tc>
        <w:tc>
          <w:tcPr>
            <w:tcW w:w="1340" w:type="dxa"/>
            <w:vAlign w:val="bottom"/>
            <w:tcBorders>
              <w:bottom w:val="single" w:sz="8" w:color="auto"/>
              <w:right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Incentive</w:t>
            </w:r>
          </w:p>
        </w:tc>
        <w:tc>
          <w:tcPr>
            <w:tcW w:w="10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$ 106,116</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$ 212,231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$ 442,463</w:t>
            </w:r>
          </w:p>
        </w:tc>
        <w:tc>
          <w:tcPr>
            <w:tcW w:w="10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Cash Incentive</w:t>
            </w: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Performance Stock</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8/3/2022</w:t>
            </w: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17,769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35,537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71,074</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$ 321,965</w:t>
            </w:r>
          </w:p>
        </w:tc>
        <w:tc>
          <w:tcPr>
            <w:tcW w:w="0" w:type="dxa"/>
            <w:vAlign w:val="bottom"/>
          </w:tcPr>
          <w:p>
            <w:pPr>
              <w:spacing w:after="0"/>
              <w:rPr>
                <w:sz w:val="1"/>
                <w:szCs w:val="1"/>
                <w:color w:val="auto"/>
              </w:rPr>
            </w:pPr>
          </w:p>
        </w:tc>
      </w:tr>
      <w:tr>
        <w:trPr>
          <w:trHeight w:val="230"/>
        </w:trPr>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(3)</w:t>
            </w: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Restricted Stock</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8/3/2022</w:t>
            </w: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23,691</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$ 214,640</w:t>
            </w:r>
          </w:p>
        </w:tc>
        <w:tc>
          <w:tcPr>
            <w:tcW w:w="0" w:type="dxa"/>
            <w:vAlign w:val="bottom"/>
          </w:tcPr>
          <w:p>
            <w:pPr>
              <w:spacing w:after="0"/>
              <w:rPr>
                <w:sz w:val="1"/>
                <w:szCs w:val="1"/>
                <w:color w:val="auto"/>
              </w:rPr>
            </w:pPr>
          </w:p>
        </w:tc>
      </w:tr>
      <w:tr>
        <w:trPr>
          <w:trHeight w:val="122"/>
        </w:trPr>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Award (2)</w:t>
            </w:r>
          </w:p>
        </w:tc>
        <w:tc>
          <w:tcPr>
            <w:tcW w:w="10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80" w:hanging="332"/>
        <w:spacing w:after="0" w:line="25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restricted stock unit awards with performance-based vesting criteria, as discussed in the “Long-Term Incentive Compensation” section of the Executive Compensation discussion; eligible for vesting in 2025.</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restricted stock awards with a vesting date of August 3, 2025. These stock awards will vest if the executive remains employed through the vesting date.</w:t>
      </w:r>
    </w:p>
    <w:p>
      <w:pPr>
        <w:ind w:left="340" w:right="22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performance stock awards, as discussed in the “Long-Term Incentive Compensation” section of the Executive Compensation discussion; eligible for vesting in 2025.</w:t>
      </w: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grant date fair values are calculated using the closing price of Twin Disc shares on August 3, 2022 (the grant date) of $9.06.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summarizes the number of restricted stock, performance stock and restricted stock unit awards held by our Named Executive Officers on June 30, 2023. The Named Executive Officers had no outstanding exercisable or unexercisable options outstanding on June 30, 2023.</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776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7769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6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spacing w:after="0"/>
              <w:rPr>
                <w:sz w:val="16"/>
                <w:szCs w:val="16"/>
                <w:color w:val="auto"/>
              </w:rPr>
            </w:pPr>
          </w:p>
        </w:tc>
        <w:tc>
          <w:tcPr>
            <w:tcW w:w="16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Market Value of</w:t>
            </w:r>
          </w:p>
        </w:tc>
        <w:tc>
          <w:tcPr>
            <w:tcW w:w="280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Equity Incentive Plan Awards:</w:t>
            </w:r>
          </w:p>
        </w:tc>
        <w:tc>
          <w:tcPr>
            <w:tcW w:w="2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Equity Incentive Plan Awards:</w:t>
            </w:r>
          </w:p>
        </w:tc>
      </w:tr>
      <w:tr>
        <w:trPr>
          <w:trHeight w:val="216"/>
        </w:trPr>
        <w:tc>
          <w:tcPr>
            <w:tcW w:w="2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Number of Shares or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 or Units of</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Number of Unearned Shares,</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Market or Payout Value of</w:t>
            </w:r>
          </w:p>
        </w:tc>
      </w:tr>
      <w:tr>
        <w:trPr>
          <w:trHeight w:val="216"/>
        </w:trPr>
        <w:tc>
          <w:tcPr>
            <w:tcW w:w="2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Units of Stock That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Stock That Have</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Units or Other Rights That Have</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Unearned Shares, Units or Other</w:t>
            </w:r>
          </w:p>
        </w:tc>
      </w:tr>
      <w:tr>
        <w:trPr>
          <w:trHeight w:val="230"/>
        </w:trPr>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and Grant Date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Have Not Vested</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Not Vested (6)</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Not Vested</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Rights That Have Not Vested (6)</w:t>
            </w:r>
          </w:p>
        </w:tc>
      </w:tr>
      <w:tr>
        <w:trPr>
          <w:trHeight w:val="209"/>
        </w:trPr>
        <w:tc>
          <w:tcPr>
            <w:tcW w:w="2260" w:type="dxa"/>
            <w:vAlign w:val="bottom"/>
            <w:tcBorders>
              <w:bottom w:val="single" w:sz="8" w:color="auto"/>
              <w:right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John H. Batten</w:t>
            </w:r>
          </w:p>
        </w:tc>
        <w:tc>
          <w:tcPr>
            <w:tcW w:w="1700" w:type="dxa"/>
            <w:vAlign w:val="bottom"/>
            <w:tcBorders>
              <w:bottom w:val="single" w:sz="8" w:color="auto"/>
              <w:right w:val="single" w:sz="8" w:color="E6E6E6"/>
            </w:tcBorders>
            <w:shd w:val="clear" w:color="auto" w:fill="E6E6E6"/>
          </w:tcPr>
          <w:p>
            <w:pPr>
              <w:spacing w:after="0"/>
              <w:rPr>
                <w:sz w:val="18"/>
                <w:szCs w:val="18"/>
                <w:color w:val="auto"/>
              </w:rPr>
            </w:pPr>
          </w:p>
        </w:tc>
        <w:tc>
          <w:tcPr>
            <w:tcW w:w="1680" w:type="dxa"/>
            <w:vAlign w:val="bottom"/>
            <w:tcBorders>
              <w:bottom w:val="single" w:sz="8" w:color="auto"/>
              <w:right w:val="single" w:sz="8" w:color="E6E6E6"/>
            </w:tcBorders>
            <w:shd w:val="clear" w:color="auto" w:fill="E6E6E6"/>
          </w:tcPr>
          <w:p>
            <w:pPr>
              <w:spacing w:after="0"/>
              <w:rPr>
                <w:sz w:val="18"/>
                <w:szCs w:val="18"/>
                <w:color w:val="auto"/>
              </w:rPr>
            </w:pPr>
          </w:p>
        </w:tc>
        <w:tc>
          <w:tcPr>
            <w:tcW w:w="2800" w:type="dxa"/>
            <w:vAlign w:val="bottom"/>
            <w:tcBorders>
              <w:bottom w:val="single" w:sz="8" w:color="auto"/>
              <w:right w:val="single" w:sz="8" w:color="E6E6E6"/>
            </w:tcBorders>
            <w:shd w:val="clear" w:color="auto" w:fill="E6E6E6"/>
          </w:tcPr>
          <w:p>
            <w:pPr>
              <w:spacing w:after="0"/>
              <w:rPr>
                <w:sz w:val="18"/>
                <w:szCs w:val="18"/>
                <w:color w:val="auto"/>
              </w:rPr>
            </w:pPr>
          </w:p>
        </w:tc>
        <w:tc>
          <w:tcPr>
            <w:tcW w:w="2800" w:type="dxa"/>
            <w:vAlign w:val="bottom"/>
            <w:tcBorders>
              <w:bottom w:val="single" w:sz="8" w:color="auto"/>
            </w:tcBorders>
            <w:shd w:val="clear" w:color="auto" w:fill="E6E6E6"/>
          </w:tcPr>
          <w:p>
            <w:pPr>
              <w:spacing w:after="0"/>
              <w:rPr>
                <w:sz w:val="18"/>
                <w:szCs w:val="18"/>
                <w:color w:val="auto"/>
              </w:rPr>
            </w:pPr>
          </w:p>
        </w:tc>
      </w:tr>
      <w:tr>
        <w:trPr>
          <w:trHeight w:val="209"/>
        </w:trPr>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8/6/2020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51,994 (1)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$ 585,452</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 (3)</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8/4/2021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20,952 (2)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$ 235,920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48,887 (4)</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$ 550,468</w:t>
            </w:r>
          </w:p>
        </w:tc>
      </w:tr>
      <w:tr>
        <w:trPr>
          <w:trHeight w:val="209"/>
        </w:trPr>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8/3/2022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48,251 (1)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$ 543,306</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72,376 (5)</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$ 814,954</w:t>
            </w:r>
          </w:p>
        </w:tc>
      </w:tr>
      <w:tr>
        <w:trPr>
          <w:trHeight w:val="209"/>
        </w:trPr>
        <w:tc>
          <w:tcPr>
            <w:tcW w:w="2260" w:type="dxa"/>
            <w:vAlign w:val="bottom"/>
            <w:tcBorders>
              <w:bottom w:val="single" w:sz="8" w:color="auto"/>
              <w:right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Jeffrey S. Knutson</w:t>
            </w:r>
          </w:p>
        </w:tc>
        <w:tc>
          <w:tcPr>
            <w:tcW w:w="1700" w:type="dxa"/>
            <w:vAlign w:val="bottom"/>
            <w:tcBorders>
              <w:bottom w:val="single" w:sz="8" w:color="auto"/>
              <w:right w:val="single" w:sz="8" w:color="E6E6E6"/>
            </w:tcBorders>
            <w:shd w:val="clear" w:color="auto" w:fill="E6E6E6"/>
          </w:tcPr>
          <w:p>
            <w:pPr>
              <w:spacing w:after="0"/>
              <w:rPr>
                <w:sz w:val="18"/>
                <w:szCs w:val="18"/>
                <w:color w:val="auto"/>
              </w:rPr>
            </w:pPr>
          </w:p>
        </w:tc>
        <w:tc>
          <w:tcPr>
            <w:tcW w:w="1680" w:type="dxa"/>
            <w:vAlign w:val="bottom"/>
            <w:tcBorders>
              <w:bottom w:val="single" w:sz="8" w:color="auto"/>
              <w:right w:val="single" w:sz="8" w:color="E6E6E6"/>
            </w:tcBorders>
            <w:shd w:val="clear" w:color="auto" w:fill="E6E6E6"/>
          </w:tcPr>
          <w:p>
            <w:pPr>
              <w:spacing w:after="0"/>
              <w:rPr>
                <w:sz w:val="18"/>
                <w:szCs w:val="18"/>
                <w:color w:val="auto"/>
              </w:rPr>
            </w:pPr>
          </w:p>
        </w:tc>
        <w:tc>
          <w:tcPr>
            <w:tcW w:w="2800" w:type="dxa"/>
            <w:vAlign w:val="bottom"/>
            <w:tcBorders>
              <w:bottom w:val="single" w:sz="8" w:color="auto"/>
              <w:right w:val="single" w:sz="8" w:color="E6E6E6"/>
            </w:tcBorders>
            <w:shd w:val="clear" w:color="auto" w:fill="E6E6E6"/>
          </w:tcPr>
          <w:p>
            <w:pPr>
              <w:spacing w:after="0"/>
              <w:rPr>
                <w:sz w:val="18"/>
                <w:szCs w:val="18"/>
                <w:color w:val="auto"/>
              </w:rPr>
            </w:pPr>
          </w:p>
        </w:tc>
        <w:tc>
          <w:tcPr>
            <w:tcW w:w="2800" w:type="dxa"/>
            <w:vAlign w:val="bottom"/>
            <w:tcBorders>
              <w:bottom w:val="single" w:sz="8" w:color="auto"/>
            </w:tcBorders>
            <w:shd w:val="clear" w:color="auto" w:fill="E6E6E6"/>
          </w:tcPr>
          <w:p>
            <w:pPr>
              <w:spacing w:after="0"/>
              <w:rPr>
                <w:sz w:val="18"/>
                <w:szCs w:val="18"/>
                <w:color w:val="auto"/>
              </w:rPr>
            </w:pPr>
          </w:p>
        </w:tc>
      </w:tr>
      <w:tr>
        <w:trPr>
          <w:trHeight w:val="210"/>
        </w:trPr>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8/6/2020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24,264 (1)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$ 273,213</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 (3)</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8/4/2021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12,571 (2)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$ 141,549</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18,857 (4)</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$ 212,330</w:t>
            </w:r>
          </w:p>
        </w:tc>
      </w:tr>
      <w:tr>
        <w:trPr>
          <w:trHeight w:val="210"/>
        </w:trPr>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8/3/2022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23,691 (1)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$ 266,761</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35,537 (5)</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$ 400,147</w:t>
            </w:r>
          </w:p>
        </w:tc>
      </w:tr>
    </w:tbl>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non-vested restricted stock awards that are scheduled to vest three years from the date of grant.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non-vested restricted stock unit awards that are scheduled to vest three years from the date of grant.</w:t>
      </w:r>
    </w:p>
    <w:p>
      <w:pPr>
        <w:spacing w:after="0" w:line="9"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Does not include performance stock awards granted on August 6. 2020 based on the three-year performance period ending June 30, 2023. To the extent such awards vested, they vested on June 30, 2023, and were no longer outstanding as of the fiscal year ending June 30, 2023.</w:t>
      </w:r>
    </w:p>
    <w:p>
      <w:pPr>
        <w:ind w:left="340" w:right="46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non-vested performance stock awards scheduled to vest on June 30, 2024 based on three-year performance period ending June 30, 2024. Figures shown are based on achieving target performance goals.</w:t>
      </w:r>
    </w:p>
    <w:p>
      <w:pPr>
        <w:ind w:left="340" w:right="3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non-vested restricted stock unit awards with performance conditions scheduled to vest in FY2026 based on three-year performance period ending June 30, 2025. Figures are shown based on achieving target performance goals.</w:t>
      </w:r>
    </w:p>
    <w:p>
      <w:pPr>
        <w:ind w:left="340" w:right="360" w:hanging="332"/>
        <w:spacing w:after="0" w:line="26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Values were calculated using $11.26 per share, the closing price of the Corporation’s common stock as of June 30, 2023, the last trading day of the fiscal year.</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Retirement Benefits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Qualified Retirement Plans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The Twin Disc, Incorporated Retirement Savings Plan for Salaried Employees</w:t>
      </w:r>
      <w:r>
        <w:rPr>
          <w:rFonts w:ascii="Arial" w:cs="Arial" w:eastAsia="Arial" w:hAnsi="Arial"/>
          <w:sz w:val="18"/>
          <w:szCs w:val="18"/>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8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Savings Plan does not allow employee contributions. Employer contributions, which are made annually, are 100% vested.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right="100"/>
        <w:spacing w:after="0" w:line="279" w:lineRule="auto"/>
        <w:rPr>
          <w:sz w:val="20"/>
          <w:szCs w:val="20"/>
          <w:color w:val="auto"/>
        </w:rPr>
      </w:pPr>
      <w:r>
        <w:rPr>
          <w:rFonts w:ascii="Arial" w:cs="Arial" w:eastAsia="Arial" w:hAnsi="Arial"/>
          <w:sz w:val="17"/>
          <w:szCs w:val="17"/>
          <w:u w:val="single" w:color="auto"/>
          <w:color w:val="auto"/>
        </w:rPr>
        <w:t>The Twin Disc, Incorporated Retirement Plan for Salaried Employees</w:t>
      </w:r>
      <w:r>
        <w:rPr>
          <w:rFonts w:ascii="Arial" w:cs="Arial" w:eastAsia="Arial" w:hAnsi="Arial"/>
          <w:sz w:val="17"/>
          <w:szCs w:val="17"/>
          <w:color w:val="auto"/>
        </w:rPr>
        <w:t xml:space="preserve"> (“Retirement Plan”) provides non- contributory retirement benefits to all Twin Disc, Incorporated salaried employees hired prior to October 1, 2003. Eligibility for retirement occurs upon reaching one of the following age and service requirements: a) Age 65 with 5 years of service; b) Age 60 with 10 years of service; c) 30 years of service at any age; or d) age plus service equals 85 points. Only Mr. Batten participates in this program and he is not eligible for retirement as of June 30, 2023.</w:t>
      </w:r>
    </w:p>
    <w:p>
      <w:pPr>
        <w:spacing w:after="0" w:line="17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Batten is eligible for a benefit under the cash-balance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Subsequently, the Retirement Plan was amended to freeze all future benefit accruals, effective August 1, 2009.</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years 2021, 2022, and 2023 the annual limits were $290,000, $305,000, and $330,000, respectively.</w:t>
      </w:r>
    </w:p>
    <w:p>
      <w:pPr>
        <w:spacing w:after="0" w:line="18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The Twin Disc, Incorporated – The Accelerator 401(k) Savings Plan (“401(k) Plan”)</w:t>
      </w:r>
      <w:r>
        <w:rPr>
          <w:rFonts w:ascii="Arial" w:cs="Arial" w:eastAsia="Arial" w:hAnsi="Arial"/>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 tax (Roth) basis. The Corporation matches 50% of the first 8% of pay that is contributed to the 401(k) Plan. All contributions to the 401(k) Plan, as well as any matching contributions, are fully vested upon contribution.</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Corporation extends a supplemental retirement plan, called the Twin Disc, Incorporated, Supplemental Executive Retirement Plan (“SERP”), to certain qualified officers. It is the Corporation’s current practice to not add new officers to the SERP. For those eligible participants (only Mr. Batten)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 SERP benefits of all Named Executive Officers who are eligible participants are stated as individual accounts.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SERP benefit is payable in two lump sum payments, which are paid on or about the first and second February 1st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TWIN DISC, INCORPORATED 2023 ANNUAL REPORT | PROXY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3" w:name="page34"/>
    <w:bookmarkEnd w:id="3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i w:val="1"/>
          <w:iCs w:val="1"/>
          <w:color w:val="auto"/>
        </w:rPr>
        <w:t>Executive Life Insurance</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Providing Payments Following Termination or Change in Control</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Change in Control Agreements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Corporation has change in control severance agreements with each of its executive officers, which were most recently updated in August 2022.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Mr. Knutson). In addition, the executive would be entitled to the cash value over the exercise price of any shares of common stock subject to unexercised stock options held by the executive, and fringe benefits would continue for 24 months following termination. The agreements are specifically designed to avoid having benefits exceed the limitations and provisions of Section 280G of the Internal Revenue Code.</w:t>
      </w:r>
    </w:p>
    <w:p>
      <w:pPr>
        <w:spacing w:after="0" w:line="16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performance stock and performance stock unit award agreements and the restricted stock and restricted stock unit grant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all restricted shares shall become freely transferable and non-forfeitable, and all restricted stock units shall immediately vest and the related shares shall be delivered.</w:t>
      </w:r>
    </w:p>
    <w:p>
      <w:pPr>
        <w:spacing w:after="0" w:line="1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following information describes the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80"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Normal or Early Retirement</w:t>
      </w:r>
      <w:r>
        <w:rPr>
          <w:rFonts w:ascii="Arial" w:cs="Arial" w:eastAsia="Arial" w:hAnsi="Arial"/>
          <w:sz w:val="17"/>
          <w:szCs w:val="17"/>
          <w:color w:val="auto"/>
        </w:rPr>
        <w:t>. For purposes of the following discussion, retirement means termination of employment after the Named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reaches age 65, or after the Named Executive Officer reaches age 60 with 10 years of service, which is how retirement is defined in the SERP and the award agreement for performance stock. Named Executive Officers who participate in the Twin Disc, Incorporated Retirement Plan for Salaried Employees and the Twin Disc, Incorporated Retirement Savings Plan for Salaried Employees may also retire after 30 years of service at any age, or if their age plus service equals 85 points, but these definitions of retirement are not considered in the following discussion because they do not affect the amounts required to be disclosed in the tables below. None of the Named Executive Officers are currently eligible for retirement.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TWIN DISC, INCORPORATED 2023 ANNUAL REPORT | PROXY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Restricted stock and restricted stock units without performance conditions are forfeited if retirement occurs before the restrictions on such shares or units have ended.</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Performance stock, performance stock units and restricted stock units with performance conditions will be paid after the end of the relevant performance period, but only if the performance objective is achieved. The stock or units are prorated based on actual employment during the performance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Stock options must be exercised within 30 days of termination or they expire.</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Supplemental Executive Retirement Plan (SERP) is available for certain Named Executive Officers who qualify for a retirement benefit under the Corporation’s pension plans. Mr. Batten is currently the only participant.</w:t>
      </w:r>
    </w:p>
    <w:p>
      <w:pPr>
        <w:spacing w:after="0" w:line="170"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For those executives eligible for an endorsement split-dollar life insurance policy, the ownership of the life insurance will be transferred from the Corporation to the executive at the later of retirement or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9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Death while Employed</w:t>
      </w:r>
      <w:r>
        <w:rPr>
          <w:rFonts w:ascii="Arial" w:cs="Arial" w:eastAsia="Arial" w:hAnsi="Arial"/>
          <w:sz w:val="18"/>
          <w:szCs w:val="18"/>
          <w:color w:val="auto"/>
        </w:rPr>
        <w:t>. In the event of death of a Named Executive Officer while actively employed, the executive’s estate would receive payment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base salary earned, but not yet paid. In addition, any vacation accrual not used would also be paid to the estate.</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Restricted stock and restricted stock units vest and become payable per the terms of the individual grant agreement. The estate would receive the payment of shares.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Options will fully vest and may pass to the estate, or as directed by a will, and must be exercised within one year from date of death.</w:t>
      </w:r>
    </w:p>
    <w:p>
      <w:pPr>
        <w:spacing w:after="0" w:line="221"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Disability</w:t>
      </w:r>
      <w:r>
        <w:rPr>
          <w:rFonts w:ascii="Arial" w:cs="Arial" w:eastAsia="Arial" w:hAnsi="Arial"/>
          <w:sz w:val="16"/>
          <w:szCs w:val="16"/>
          <w:color w:val="auto"/>
        </w:rPr>
        <w:t>. In the event of termination of employment due to disability, a Named Executive Officer would receive benefits under the Corporation’s short-term and long-term disability plans, generally available to full- time salaried employees. Benefits are reduced for any social security pension eligibility.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and restricted stock units vest and become payable per the terms of the individual grant agreement.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2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An executive is not eligible for any additional benefits at termination, unless the Compensation and Human Capital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would determine that severance payments are appropriate.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TWIN DISC, INCORPORATED 2023 ANNUAL REPORT | PROXY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right="460"/>
        <w:spacing w:after="0" w:line="282" w:lineRule="auto"/>
        <w:rPr>
          <w:sz w:val="20"/>
          <w:szCs w:val="20"/>
          <w:color w:val="auto"/>
        </w:rPr>
      </w:pPr>
      <w:r>
        <w:rPr>
          <w:rFonts w:ascii="Arial" w:cs="Arial" w:eastAsia="Arial" w:hAnsi="Arial"/>
          <w:sz w:val="18"/>
          <w:szCs w:val="18"/>
          <w:b w:val="1"/>
          <w:bCs w:val="1"/>
          <w:color w:val="auto"/>
        </w:rPr>
        <w:t>Voluntary Termination Prior to Retirement</w:t>
      </w:r>
      <w:r>
        <w:rPr>
          <w:rFonts w:ascii="Arial" w:cs="Arial" w:eastAsia="Arial" w:hAnsi="Arial"/>
          <w:sz w:val="18"/>
          <w:szCs w:val="18"/>
          <w:color w:val="auto"/>
        </w:rPr>
        <w:t>. An executive is not entitled to any additional forms of severance payments in the event of a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prior to becoming eligible for retirement.</w:t>
      </w:r>
    </w:p>
    <w:p>
      <w:pPr>
        <w:spacing w:after="0" w:line="1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color w:val="auto"/>
        </w:rPr>
        <w:t>Involuntary Termination (or Resignation for Good Cause) Following Change in Control</w:t>
      </w:r>
      <w:r>
        <w:rPr>
          <w:rFonts w:ascii="Arial" w:cs="Arial" w:eastAsia="Arial" w:hAnsi="Arial"/>
          <w:sz w:val="18"/>
          <w:szCs w:val="18"/>
          <w:color w:val="auto"/>
        </w:rPr>
        <w:t>. The Corporation has entered into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Agreements with each of our Named Executive Officers. The agreements provide that if the executive experiences an involuntary termination (or resigns for good reason,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defined) within two years following a change in control of the Corporation, the executive will receive the following benefits:</w:t>
      </w:r>
    </w:p>
    <w:p>
      <w:pPr>
        <w:spacing w:after="0" w:line="211" w:lineRule="exact"/>
        <w:rPr>
          <w:sz w:val="20"/>
          <w:szCs w:val="20"/>
          <w:color w:val="auto"/>
        </w:rPr>
      </w:pPr>
    </w:p>
    <w:p>
      <w:pPr>
        <w:ind w:left="660" w:right="60" w:hanging="328"/>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severance payment equal to (a) a specified multiple, times (b) the sum of (i) the executive’s annual base salary in effect immediately prior to the date of termination (or, if employment terminates for good reason due to a reduction in base salary, the executive’s annual base salary in effect immediately prior to the reduction,) plus (ii) a bonus component, equal to the greater of: (A) the annual bonus awarded to the executive under the Corporation’s annual Corporate Incentive Plan (“CIP”) for the fiscal year immediately preceding the fiscal year in which the date of termination occurs (or, if no annual bonus was received for such fiscal year, the average of the annual bonuses awarded to the executive under the CIP for the three fiscal years immediately preceding the fiscal year in which the date of termination occurs), or (B) the executive’s target annual bonus under the CIP for the fiscal year in which the date of termination occurs. In addition, the following benefits would also become payable</w:t>
      </w:r>
    </w:p>
    <w:p>
      <w:pPr>
        <w:spacing w:after="0" w:line="166"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twenty-four months of benefit continuation,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current value of all outstanding stock options,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will immediately vest,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units will immediately vest and shares will be issued, and</w:t>
      </w:r>
    </w:p>
    <w:p>
      <w:pPr>
        <w:spacing w:after="0" w:line="252"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stock and performance units immediately vest, and stock or cash is paid under the agreements as if the maximum performance objective was achieved. The cash payment shall be equal to the number of performance stock units granted to the employee multiplied by the fair market value of the Corporation’s common stock as of the effective date of such change in control.</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Pay Versus Performance</w:t>
      </w:r>
    </w:p>
    <w:p>
      <w:pPr>
        <w:spacing w:after="0" w:line="229" w:lineRule="exact"/>
        <w:rPr>
          <w:sz w:val="20"/>
          <w:szCs w:val="20"/>
          <w:color w:val="auto"/>
        </w:rPr>
      </w:pPr>
    </w:p>
    <w:p>
      <w:pPr>
        <w:ind w:left="20" w:right="460"/>
        <w:spacing w:after="0" w:line="263" w:lineRule="auto"/>
        <w:rPr>
          <w:sz w:val="20"/>
          <w:szCs w:val="20"/>
          <w:color w:val="auto"/>
        </w:rPr>
      </w:pPr>
      <w:r>
        <w:rPr>
          <w:rFonts w:ascii="Arial" w:cs="Arial" w:eastAsia="Arial" w:hAnsi="Arial"/>
          <w:sz w:val="18"/>
          <w:szCs w:val="18"/>
          <w:color w:val="auto"/>
        </w:rPr>
        <w:t>The following information under the “Pay Versus Performance” heading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84" w:lineRule="exact"/>
        <w:rPr>
          <w:sz w:val="20"/>
          <w:szCs w:val="20"/>
          <w:color w:val="auto"/>
        </w:rPr>
      </w:pPr>
    </w:p>
    <w:p>
      <w:pPr>
        <w:ind w:left="20"/>
        <w:spacing w:after="0" w:line="291" w:lineRule="auto"/>
        <w:rPr>
          <w:sz w:val="20"/>
          <w:szCs w:val="20"/>
          <w:color w:val="auto"/>
        </w:rPr>
      </w:pPr>
      <w:r>
        <w:rPr>
          <w:rFonts w:ascii="Arial" w:cs="Arial" w:eastAsia="Arial" w:hAnsi="Arial"/>
          <w:sz w:val="16"/>
          <w:szCs w:val="16"/>
          <w:color w:val="auto"/>
        </w:rPr>
        <w:t>In accordance with rules adopted by the Securities and Exchange Commission (“SEC”), the following table presents information regarding compensation paid to our Chief Executive Officer (the “CEO”) and our other named executive officers shown in the Summary Compensation Table (collectively, the “Non-CEO NEOs”). The amounts set forth below under the headings “Compensation Actually Paid to CEO” and “Average Compensation Actually Paid to Non-CEO NEOs” have been calculated in a manner prescribed by the SEC rules and do not necessarily align with how the Corporation or the Committee views the link between our performance and pay of our named executive officers. The footnotes below set forth the adjustments from the total compensation for each of our NEOs reported in the Summary Compensation Table above. As permitted under the rules applicable to smaller reporting companies, we are including two years of data and are not including a peer group total shareholder return or company-selected measure.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TWIN DISC, INCORPORATED 2023 ANNUAL REPORT | PROXY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8"/>
        </w:trPr>
        <w:tc>
          <w:tcPr>
            <w:tcW w:w="1360" w:type="dxa"/>
            <w:vAlign w:val="bottom"/>
            <w:tcBorders>
              <w:top w:val="single" w:sz="8" w:color="auto"/>
              <w:left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Summary</w:t>
            </w:r>
          </w:p>
        </w:tc>
        <w:tc>
          <w:tcPr>
            <w:tcW w:w="16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Average Summary</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Average</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Value of Initial Fixed</w:t>
            </w:r>
          </w:p>
        </w:tc>
        <w:tc>
          <w:tcPr>
            <w:tcW w:w="1340" w:type="dxa"/>
            <w:vAlign w:val="bottom"/>
            <w:tcBorders>
              <w:top w:val="single" w:sz="8" w:color="auto"/>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Fiscal Year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 Table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 Investment</w:t>
            </w:r>
          </w:p>
        </w:tc>
        <w:tc>
          <w:tcPr>
            <w:tcW w:w="13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Ended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Table Total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Actually Paid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Total for Non-CEO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Actually Paid to</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Based on Total</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Net Income</w:t>
            </w: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June 30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for CEO ($)</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 CEO ($)</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NEOs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Non-CEO NEOs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Shareholder Return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47"/>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 (1)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 (2)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 (3)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(in thousands)</w:t>
            </w:r>
          </w:p>
        </w:tc>
      </w:tr>
      <w:tr>
        <w:trPr>
          <w:trHeight w:val="193"/>
        </w:trPr>
        <w:tc>
          <w:tcPr>
            <w:tcW w:w="13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2023</w:t>
            </w:r>
          </w:p>
        </w:tc>
        <w:tc>
          <w:tcPr>
            <w:tcW w:w="17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8"/>
              </w:rPr>
              <w:t>$ 2,311,564</w:t>
            </w:r>
          </w:p>
        </w:tc>
        <w:tc>
          <w:tcPr>
            <w:tcW w:w="16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8"/>
              </w:rPr>
              <w:t>$ 3,097,928</w:t>
            </w:r>
          </w:p>
        </w:tc>
        <w:tc>
          <w:tcPr>
            <w:tcW w:w="18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8"/>
              </w:rPr>
              <w:t>$ 1,111,502</w:t>
            </w:r>
          </w:p>
        </w:tc>
        <w:tc>
          <w:tcPr>
            <w:tcW w:w="17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8"/>
              </w:rPr>
              <w:t>$ 1,368,146</w:t>
            </w: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$ 78.36</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8"/>
              </w:rPr>
              <w:t>$ 10,380</w:t>
            </w:r>
          </w:p>
        </w:tc>
      </w:tr>
      <w:tr>
        <w:trPr>
          <w:trHeight w:val="209"/>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$ 2,483,615</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$ 866,618</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$ 688,426</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$ 278,002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$ 63.05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$ 10,467</w:t>
            </w:r>
          </w:p>
        </w:tc>
      </w:tr>
    </w:tbl>
    <w:p>
      <w:pPr>
        <w:spacing w:after="0" w:line="202" w:lineRule="exact"/>
        <w:rPr>
          <w:sz w:val="20"/>
          <w:szCs w:val="20"/>
          <w:color w:val="auto"/>
        </w:rPr>
      </w:pPr>
    </w:p>
    <w:p>
      <w:pPr>
        <w:ind w:left="340" w:right="20" w:hanging="332"/>
        <w:spacing w:after="0" w:line="25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reported in the “Summary Compensation Table Total for CEO” column are the amounts of total compensation reported for John H. Batten for each corresponding fiscal year in the “Total” column of the Summary Compensation Table. The amounts reported in the “Average Summary Compensation Table Total for Non-CEO NEOs” column are the amounts of total compensation reported for Jeffrey S. Knutson for fiscal 2023 and for Jeffrey S. Knutson and James E. Feiertag for fiscal 2023. in the “Total” column of the Summary Compensation Table. Mr. Feiertag was employed by the Company through October 28, 2021.</w:t>
      </w:r>
    </w:p>
    <w:p>
      <w:pPr>
        <w:spacing w:after="0" w:line="187"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amounts were added and deducted from the Summary Compensation Table amounts to determine the compensation actually paid to the CEO and the Non-CEO NEOs in accordance with SEC regulations: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5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CEO</w:t>
            </w:r>
          </w:p>
        </w:tc>
        <w:tc>
          <w:tcPr>
            <w:tcW w:w="3360" w:type="dxa"/>
            <w:vAlign w:val="bottom"/>
            <w:tcBorders>
              <w:top w:val="single" w:sz="8" w:color="auto"/>
              <w:bottom w:val="single" w:sz="8" w:color="auto"/>
              <w:right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Non-CEO NEO Average</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jc w:val="center"/>
              <w:ind w:left="190"/>
              <w:spacing w:after="0" w:line="193" w:lineRule="exact"/>
              <w:rPr>
                <w:sz w:val="20"/>
                <w:szCs w:val="20"/>
                <w:color w:val="auto"/>
              </w:rPr>
            </w:pPr>
            <w:r>
              <w:rPr>
                <w:rFonts w:ascii="Arial" w:cs="Arial" w:eastAsia="Arial" w:hAnsi="Arial"/>
                <w:sz w:val="18"/>
                <w:szCs w:val="18"/>
                <w:color w:val="auto"/>
                <w:w w:val="89"/>
              </w:rPr>
              <w:t>2023</w:t>
            </w:r>
          </w:p>
        </w:tc>
        <w:tc>
          <w:tcPr>
            <w:tcW w:w="3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2022</w:t>
            </w:r>
          </w:p>
        </w:tc>
        <w:tc>
          <w:tcPr>
            <w:tcW w:w="17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2023</w:t>
            </w: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Summary Compensation Table (SCT) Total</w:t>
            </w:r>
          </w:p>
        </w:tc>
        <w:tc>
          <w:tcPr>
            <w:tcW w:w="13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$ 2,311,564</w:t>
            </w:r>
          </w:p>
        </w:tc>
        <w:tc>
          <w:tcPr>
            <w:tcW w:w="3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$ 2,483,615</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$1,111,502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$ 688,426</w:t>
            </w:r>
          </w:p>
        </w:tc>
        <w:tc>
          <w:tcPr>
            <w:tcW w:w="0" w:type="dxa"/>
            <w:vAlign w:val="bottom"/>
          </w:tcPr>
          <w:p>
            <w:pPr>
              <w:spacing w:after="0"/>
              <w:rPr>
                <w:sz w:val="1"/>
                <w:szCs w:val="1"/>
                <w:color w:val="auto"/>
              </w:rPr>
            </w:pPr>
          </w:p>
        </w:tc>
      </w:tr>
      <w:tr>
        <w:trPr>
          <w:trHeight w:val="195"/>
        </w:trPr>
        <w:tc>
          <w:tcPr>
            <w:tcW w:w="45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4"/>
              </w:rPr>
              <w:t>Minus amounts reported under “Stock Awards” column in</w:t>
            </w:r>
          </w:p>
        </w:tc>
        <w:tc>
          <w:tcPr>
            <w:tcW w:w="1360" w:type="dxa"/>
            <w:vAlign w:val="bottom"/>
            <w:vMerge w:val="restart"/>
          </w:tcPr>
          <w:p>
            <w:pPr>
              <w:jc w:val="center"/>
              <w:ind w:left="190"/>
              <w:spacing w:after="0"/>
              <w:rPr>
                <w:sz w:val="20"/>
                <w:szCs w:val="20"/>
                <w:color w:val="auto"/>
              </w:rPr>
            </w:pPr>
            <w:r>
              <w:rPr>
                <w:rFonts w:ascii="Arial" w:cs="Arial" w:eastAsia="Arial" w:hAnsi="Arial"/>
                <w:sz w:val="18"/>
                <w:szCs w:val="18"/>
                <w:color w:val="auto"/>
                <w:w w:val="88"/>
              </w:rPr>
              <w:t>$ 1,092,881</w:t>
            </w: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$ 1,096,472</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$ 536,605</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$ 246,710</w:t>
            </w:r>
          </w:p>
        </w:tc>
        <w:tc>
          <w:tcPr>
            <w:tcW w:w="0" w:type="dxa"/>
            <w:vAlign w:val="bottom"/>
          </w:tcPr>
          <w:p>
            <w:pPr>
              <w:spacing w:after="0"/>
              <w:rPr>
                <w:sz w:val="1"/>
                <w:szCs w:val="1"/>
                <w:color w:val="auto"/>
              </w:rPr>
            </w:pPr>
          </w:p>
        </w:tc>
      </w:tr>
      <w:tr>
        <w:trPr>
          <w:trHeight w:val="122"/>
        </w:trPr>
        <w:tc>
          <w:tcPr>
            <w:tcW w:w="45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SCT</w:t>
            </w:r>
          </w:p>
        </w:tc>
        <w:tc>
          <w:tcPr>
            <w:tcW w:w="1360" w:type="dxa"/>
            <w:vAlign w:val="bottom"/>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20" w:type="dxa"/>
            <w:vAlign w:val="bottom"/>
            <w:tcBorders>
              <w:bottom w:val="single" w:sz="8" w:color="auto"/>
              <w:right w:val="single" w:sz="8" w:color="auto"/>
            </w:tcBorders>
            <w:vMerge w:val="continue"/>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5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3"/>
              </w:rPr>
              <w:t>Minus amounts reported under “Option Awards” column in</w:t>
            </w:r>
          </w:p>
        </w:tc>
        <w:tc>
          <w:tcPr>
            <w:tcW w:w="1360" w:type="dxa"/>
            <w:vAlign w:val="bottom"/>
            <w:vMerge w:val="restart"/>
          </w:tcPr>
          <w:p>
            <w:pPr>
              <w:jc w:val="center"/>
              <w:ind w:left="210"/>
              <w:spacing w:after="0"/>
              <w:rPr>
                <w:sz w:val="20"/>
                <w:szCs w:val="20"/>
                <w:color w:val="auto"/>
              </w:rPr>
            </w:pPr>
            <w:r>
              <w:rPr>
                <w:rFonts w:ascii="Arial" w:cs="Arial" w:eastAsia="Arial" w:hAnsi="Arial"/>
                <w:sz w:val="18"/>
                <w:szCs w:val="18"/>
                <w:color w:val="auto"/>
                <w:w w:val="99"/>
              </w:rPr>
              <w:t>—</w:t>
            </w: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45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SCT</w:t>
            </w:r>
          </w:p>
        </w:tc>
        <w:tc>
          <w:tcPr>
            <w:tcW w:w="1360" w:type="dxa"/>
            <w:vAlign w:val="bottom"/>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20" w:type="dxa"/>
            <w:vAlign w:val="bottom"/>
            <w:tcBorders>
              <w:bottom w:val="single" w:sz="8" w:color="auto"/>
              <w:right w:val="single" w:sz="8" w:color="auto"/>
            </w:tcBorders>
            <w:vMerge w:val="continue"/>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5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7"/>
              </w:rPr>
              <w:t>Plus fair value (as of fiscal year-end) of awards granted</w:t>
            </w:r>
          </w:p>
        </w:tc>
        <w:tc>
          <w:tcPr>
            <w:tcW w:w="13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during fiscal year that remain outstanding and unvested as</w:t>
            </w:r>
          </w:p>
        </w:tc>
        <w:tc>
          <w:tcPr>
            <w:tcW w:w="1360" w:type="dxa"/>
            <w:vAlign w:val="bottom"/>
          </w:tcPr>
          <w:p>
            <w:pPr>
              <w:jc w:val="center"/>
              <w:ind w:left="190"/>
              <w:spacing w:after="0"/>
              <w:rPr>
                <w:sz w:val="20"/>
                <w:szCs w:val="20"/>
                <w:color w:val="auto"/>
              </w:rPr>
            </w:pPr>
            <w:r>
              <w:rPr>
                <w:rFonts w:ascii="Arial" w:cs="Arial" w:eastAsia="Arial" w:hAnsi="Arial"/>
                <w:sz w:val="18"/>
                <w:szCs w:val="18"/>
                <w:color w:val="auto"/>
                <w:w w:val="88"/>
              </w:rPr>
              <w:t>$ 1,358,260</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$ 632,741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$ 666,907</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$ 142,369</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of fiscal year-end</w:t>
            </w:r>
          </w:p>
        </w:tc>
        <w:tc>
          <w:tcPr>
            <w:tcW w:w="13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4"/>
              </w:rPr>
              <w:t>Plus/minus change in fair value from prior fiscal year-end</w:t>
            </w:r>
          </w:p>
        </w:tc>
        <w:tc>
          <w:tcPr>
            <w:tcW w:w="13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to current fiscal year-end of awards granted in any prior</w:t>
            </w:r>
          </w:p>
        </w:tc>
        <w:tc>
          <w:tcPr>
            <w:tcW w:w="1360" w:type="dxa"/>
            <w:vAlign w:val="bottom"/>
            <w:vMerge w:val="restart"/>
          </w:tcPr>
          <w:p>
            <w:pPr>
              <w:jc w:val="center"/>
              <w:ind w:left="190"/>
              <w:spacing w:after="0"/>
              <w:rPr>
                <w:sz w:val="20"/>
                <w:szCs w:val="20"/>
                <w:color w:val="auto"/>
              </w:rPr>
            </w:pPr>
            <w:r>
              <w:rPr>
                <w:rFonts w:ascii="Arial" w:cs="Arial" w:eastAsia="Arial" w:hAnsi="Arial"/>
                <w:sz w:val="18"/>
                <w:szCs w:val="18"/>
                <w:color w:val="auto"/>
                <w:w w:val="89"/>
              </w:rPr>
              <w:t>$ 326,645</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($1,128,601)</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$ 117,059</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($287,922)</w:t>
            </w:r>
          </w:p>
        </w:tc>
        <w:tc>
          <w:tcPr>
            <w:tcW w:w="0" w:type="dxa"/>
            <w:vAlign w:val="bottom"/>
          </w:tcPr>
          <w:p>
            <w:pPr>
              <w:spacing w:after="0"/>
              <w:rPr>
                <w:sz w:val="1"/>
                <w:szCs w:val="1"/>
                <w:color w:val="auto"/>
              </w:rPr>
            </w:pPr>
          </w:p>
        </w:tc>
      </w:tr>
      <w:tr>
        <w:trPr>
          <w:trHeight w:val="122"/>
        </w:trPr>
        <w:tc>
          <w:tcPr>
            <w:tcW w:w="45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fiscal year that are outstanding and unvested as of fiscal</w:t>
            </w:r>
          </w:p>
        </w:tc>
        <w:tc>
          <w:tcPr>
            <w:tcW w:w="1360" w:type="dxa"/>
            <w:vAlign w:val="bottom"/>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20" w:type="dxa"/>
            <w:vAlign w:val="bottom"/>
            <w:tcBorders>
              <w:right w:val="single" w:sz="8" w:color="auto"/>
            </w:tcBorders>
            <w:vMerge w:val="continue"/>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year-end</w:t>
            </w:r>
          </w:p>
        </w:tc>
        <w:tc>
          <w:tcPr>
            <w:tcW w:w="13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6"/>
              </w:rPr>
              <w:t>Plus increase in fair value (as of vesting date) of awards</w:t>
            </w:r>
          </w:p>
        </w:tc>
        <w:tc>
          <w:tcPr>
            <w:tcW w:w="13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granted during fiscal year that vest during the same fiscal</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year</w:t>
            </w:r>
          </w:p>
        </w:tc>
        <w:tc>
          <w:tcPr>
            <w:tcW w:w="13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5"/>
              </w:rPr>
              <w:t>Plus/minus change in fair value (as of vesting date) from</w:t>
            </w:r>
          </w:p>
        </w:tc>
        <w:tc>
          <w:tcPr>
            <w:tcW w:w="13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prior fiscal year-end to vesting date of awards granted in</w:t>
            </w:r>
          </w:p>
        </w:tc>
        <w:tc>
          <w:tcPr>
            <w:tcW w:w="1360" w:type="dxa"/>
            <w:vAlign w:val="bottom"/>
          </w:tcPr>
          <w:p>
            <w:pPr>
              <w:jc w:val="center"/>
              <w:ind w:left="190"/>
              <w:spacing w:after="0"/>
              <w:rPr>
                <w:sz w:val="20"/>
                <w:szCs w:val="20"/>
                <w:color w:val="auto"/>
              </w:rPr>
            </w:pPr>
            <w:r>
              <w:rPr>
                <w:rFonts w:ascii="Arial" w:cs="Arial" w:eastAsia="Arial" w:hAnsi="Arial"/>
                <w:sz w:val="18"/>
                <w:szCs w:val="18"/>
                <w:color w:val="auto"/>
                <w:w w:val="89"/>
              </w:rPr>
              <w:t>$ 194,340</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($24,665)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$ 9,283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$ 1,840</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any prior fiscal year that vested during fiscal year</w:t>
            </w:r>
          </w:p>
        </w:tc>
        <w:tc>
          <w:tcPr>
            <w:tcW w:w="13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6"/>
              </w:rPr>
              <w:t>Minus fair value (as of end of prior fiscal year) of awards</w:t>
            </w:r>
          </w:p>
        </w:tc>
        <w:tc>
          <w:tcPr>
            <w:tcW w:w="13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granted in any prior fiscal year that were forfeited during</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fiscal year</w:t>
            </w:r>
          </w:p>
        </w:tc>
        <w:tc>
          <w:tcPr>
            <w:tcW w:w="13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4"/>
              </w:rPr>
              <w:t>Plus value of dividends or other earnings paid on stock or</w:t>
            </w:r>
          </w:p>
        </w:tc>
        <w:tc>
          <w:tcPr>
            <w:tcW w:w="13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option awards during fiscal year prior to vesting date not</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included in SCT total compensation</w:t>
            </w:r>
          </w:p>
        </w:tc>
        <w:tc>
          <w:tcPr>
            <w:tcW w:w="13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auto"/>
              <w:right w:val="single" w:sz="8" w:color="auto"/>
            </w:tcBorders>
          </w:tcPr>
          <w:p>
            <w:pPr>
              <w:ind w:left="3080"/>
              <w:spacing w:after="0"/>
              <w:rPr>
                <w:sz w:val="20"/>
                <w:szCs w:val="20"/>
                <w:color w:val="auto"/>
              </w:rPr>
            </w:pPr>
            <w:r>
              <w:rPr>
                <w:rFonts w:ascii="Arial" w:cs="Arial" w:eastAsia="Arial" w:hAnsi="Arial"/>
                <w:sz w:val="18"/>
                <w:szCs w:val="18"/>
                <w:b w:val="1"/>
                <w:bCs w:val="1"/>
                <w:color w:val="auto"/>
                <w:w w:val="89"/>
              </w:rPr>
              <w:t>Total Adjustments</w:t>
            </w:r>
          </w:p>
        </w:tc>
        <w:tc>
          <w:tcPr>
            <w:tcW w:w="13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$ 786,364</w:t>
            </w:r>
          </w:p>
        </w:tc>
        <w:tc>
          <w:tcPr>
            <w:tcW w:w="3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($1,616,997)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$ 256,644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($598,567)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(3) Assumes $100 was invested in the Corporation for the period starting July 1, 2021, through the end of the listed fiscal year.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Relationship Between Compensation Actually Paid and TSR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 below shows the relationship between the compensation actually paid to the Corporation’s CEO and the average compensation actually paid to the Corporation’s other NEOs, and Corporation’s cumulative TSR (total shareholder return, based on an initial investment of $100 on July 1, 2021) over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125730</wp:posOffset>
            </wp:positionV>
            <wp:extent cx="6343650" cy="39262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4365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TWIN DISC, INCORPORATED 2023 ANNUAL REPORT | PROXY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38" w:name="page39"/>
    <w:bookmarkEnd w:id="38"/>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Relationship Between Compensation Actually Paid and Net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chart below shows the relationship between the compensation actually paid to the Corporation’s CEO and the average compensation actually paid to the Corporation’s other NEOs, and the Corporation’s net income over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117475</wp:posOffset>
            </wp:positionV>
            <wp:extent cx="6403340" cy="3943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0334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TWIN DISC, INCORPORATED 2023 ANNUAL REPORT | PROXY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39" w:name="page40"/>
    <w:bookmarkEnd w:id="39"/>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regarding the compensation received by each of our non-employee Directors during FY2023:</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600" w:type="dxa"/>
            <w:vAlign w:val="bottom"/>
            <w:tcBorders>
              <w:top w:val="single" w:sz="8" w:color="auto"/>
              <w:left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ind w:right="590"/>
              <w:spacing w:after="0"/>
              <w:rPr>
                <w:sz w:val="20"/>
                <w:szCs w:val="20"/>
                <w:color w:val="auto"/>
              </w:rPr>
            </w:pPr>
            <w:r>
              <w:rPr>
                <w:rFonts w:ascii="Arial" w:cs="Arial" w:eastAsia="Arial" w:hAnsi="Arial"/>
                <w:sz w:val="18"/>
                <w:szCs w:val="18"/>
                <w:color w:val="auto"/>
                <w:w w:val="84"/>
              </w:rPr>
              <w:t>Fees</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Value of</w:t>
            </w:r>
          </w:p>
        </w:tc>
        <w:tc>
          <w:tcPr>
            <w:tcW w:w="170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r>
      <w:tr>
        <w:trPr>
          <w:trHeight w:val="216"/>
        </w:trPr>
        <w:tc>
          <w:tcPr>
            <w:tcW w:w="26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Earned or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All Other</w:t>
            </w:r>
          </w:p>
        </w:tc>
        <w:tc>
          <w:tcPr>
            <w:tcW w:w="1700" w:type="dxa"/>
            <w:vAlign w:val="bottom"/>
            <w:tcBorders>
              <w:right w:val="single" w:sz="8" w:color="auto"/>
            </w:tcBorders>
          </w:tcPr>
          <w:p>
            <w:pPr>
              <w:spacing w:after="0"/>
              <w:rPr>
                <w:sz w:val="18"/>
                <w:szCs w:val="18"/>
                <w:color w:val="auto"/>
              </w:rPr>
            </w:pPr>
          </w:p>
        </w:tc>
      </w:tr>
      <w:tr>
        <w:trPr>
          <w:trHeight w:val="247"/>
        </w:trPr>
        <w:tc>
          <w:tcPr>
            <w:tcW w:w="2600" w:type="dxa"/>
            <w:vAlign w:val="bottom"/>
            <w:tcBorders>
              <w:left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color w:val="auto"/>
              </w:rPr>
              <w:t>Name</w:t>
            </w:r>
          </w:p>
        </w:tc>
        <w:tc>
          <w:tcPr>
            <w:tcW w:w="12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Year</w:t>
            </w:r>
          </w:p>
        </w:tc>
        <w:tc>
          <w:tcPr>
            <w:tcW w:w="17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Paid in Cash</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Awards (1)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r>
      <w:tr>
        <w:trPr>
          <w:trHeight w:val="193"/>
        </w:trPr>
        <w:tc>
          <w:tcPr>
            <w:tcW w:w="260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Michael Doar (2)</w:t>
            </w:r>
          </w:p>
        </w:tc>
        <w:tc>
          <w:tcPr>
            <w:tcW w:w="1260" w:type="dxa"/>
            <w:vAlign w:val="bottom"/>
            <w:tcBorders>
              <w:bottom w:val="single" w:sz="8" w:color="auto"/>
              <w:right w:val="single" w:sz="8" w:color="auto"/>
            </w:tcBorders>
          </w:tcPr>
          <w:p>
            <w:pPr>
              <w:ind w:left="420"/>
              <w:spacing w:after="0" w:line="193" w:lineRule="exact"/>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490"/>
              <w:spacing w:after="0" w:line="193" w:lineRule="exact"/>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$ 135,010</w:t>
            </w:r>
          </w:p>
        </w:tc>
        <w:tc>
          <w:tcPr>
            <w:tcW w:w="17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$ 135,010</w:t>
            </w:r>
          </w:p>
        </w:tc>
      </w:tr>
      <w:tr>
        <w:trPr>
          <w:trHeight w:val="210"/>
        </w:trPr>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Janet Giesselman</w:t>
            </w:r>
          </w:p>
        </w:tc>
        <w:tc>
          <w:tcPr>
            <w:tcW w:w="12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w w:val="87"/>
              </w:rPr>
              <w:t>77,500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$ 72,503</w:t>
            </w: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$ 150,003</w:t>
            </w:r>
          </w:p>
        </w:tc>
      </w:tr>
      <w:tr>
        <w:trPr>
          <w:trHeight w:val="209"/>
        </w:trPr>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David Johnson (2)</w:t>
            </w:r>
          </w:p>
        </w:tc>
        <w:tc>
          <w:tcPr>
            <w:tcW w:w="12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w w:val="87"/>
              </w:rPr>
              <w:t>43,750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$ 103,751</w:t>
            </w: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$ 147,501</w:t>
            </w:r>
          </w:p>
        </w:tc>
      </w:tr>
      <w:tr>
        <w:trPr>
          <w:trHeight w:val="210"/>
        </w:trPr>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Kevin Olsen</w:t>
            </w:r>
          </w:p>
        </w:tc>
        <w:tc>
          <w:tcPr>
            <w:tcW w:w="12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w w:val="87"/>
              </w:rPr>
              <w:t>46,875</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$ 72,503</w:t>
            </w: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$ 119,378</w:t>
            </w:r>
          </w:p>
        </w:tc>
      </w:tr>
      <w:tr>
        <w:trPr>
          <w:trHeight w:val="209"/>
        </w:trPr>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Michael Smiley</w:t>
            </w:r>
          </w:p>
        </w:tc>
        <w:tc>
          <w:tcPr>
            <w:tcW w:w="12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w w:val="87"/>
              </w:rPr>
              <w:t>99,500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$ 72,503</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$ 62,500 (3)</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$ 234,503</w:t>
            </w:r>
          </w:p>
        </w:tc>
      </w:tr>
      <w:tr>
        <w:trPr>
          <w:trHeight w:val="209"/>
        </w:trPr>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Juliann Larimer</w:t>
            </w:r>
          </w:p>
        </w:tc>
        <w:tc>
          <w:tcPr>
            <w:tcW w:w="12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w w:val="87"/>
              </w:rPr>
              <w:t>62,500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$ 72,503</w:t>
            </w: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$ 135,003</w:t>
            </w: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Value of Stock Awards is computed as of the date of grant in accordance with Financial Accounting Standards Board ASC Topic 718. Mr. Doar held 12,776 shares of restricted stock and Mr. Johnson held 9,609 shares of restricted stock as of the end of FY2023. Each other director held 6,443 shares of restricted stock as of the end of FY2023.</w:t>
      </w:r>
    </w:p>
    <w:p>
      <w:pPr>
        <w:spacing w:after="0" w:line="184" w:lineRule="exact"/>
        <w:rPr>
          <w:sz w:val="20"/>
          <w:szCs w:val="20"/>
          <w:color w:val="auto"/>
        </w:rPr>
      </w:pPr>
    </w:p>
    <w:p>
      <w:pPr>
        <w:ind w:left="660" w:right="6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Messrs. Doar and Johnson’s stock awards includes shares of restricted stock issued in lieu of quarterly cash retainers, pursuant to an irrevocable election made under the Twin Disc, Incorporated 2020 Stock Incentive Plan for Non-Employee Directors. Such shares will vest on the first anniversary of the date of issuance.</w:t>
      </w:r>
    </w:p>
    <w:p>
      <w:pPr>
        <w:spacing w:after="0" w:line="2" w:lineRule="exact"/>
        <w:rPr>
          <w:rFonts w:ascii="Arial" w:cs="Arial" w:eastAsia="Arial" w:hAnsi="Arial"/>
          <w:sz w:val="18"/>
          <w:szCs w:val="18"/>
          <w:color w:val="auto"/>
        </w:rPr>
      </w:pPr>
    </w:p>
    <w:p>
      <w:pPr>
        <w:ind w:left="660" w:right="40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amount represents a pension benefit that Mr. Smiley receives quarterly following his initial retirement from the Board in 2018. Upon his return to the Board in August 2019, he was no longer eligible to earn benefits under the director retirement plan (described below), as this retirement program had been closed effective January 2018. Mr. Smiley will continue to receive this benefit through 2026.</w:t>
      </w:r>
    </w:p>
    <w:p>
      <w:pPr>
        <w:spacing w:after="0" w:line="1" w:lineRule="exact"/>
        <w:rPr>
          <w:rFonts w:ascii="Arial" w:cs="Arial" w:eastAsia="Arial" w:hAnsi="Arial"/>
          <w:sz w:val="16"/>
          <w:szCs w:val="16"/>
          <w:color w:val="auto"/>
        </w:rPr>
      </w:pPr>
    </w:p>
    <w:p>
      <w:pPr>
        <w:ind w:left="660" w:right="400" w:hanging="328"/>
        <w:spacing w:after="0" w:line="30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amount represents a pension benefit that Mr. Smiley receives quarterly following his initial retirement from the Board in 2018. Upon his return to the Board in August 2019, he was no longer eligible to earn benefits under the director retirement plan (described below), as this retirement program has been closed effective January 2018. Mr. Smiley will continue to receive this benefit through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Compensation Plan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Outside Directors of the Corporation (i.e. non-Corporation employees) are paid an annual retainer fee composed of both cash and restricted shares of Twin Disc stock. The restricted shares are issued under the Twin Disc, Incorporated 2020 Stock Incentive Plan for Non-Employee Directors (the “2020 Directors’ Plan”). The mix of cash and stock is determined by the Board of Directors on an annual basis. The cash portion is paid quarterly, which the stock portion of the retainer is awarded annually, at the annual shareholders meeting in October. The restricted shares awarded at a shareholders meeting will vest as of the subsequent annual shareholders meeting.</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Under the 2020 Directors’ Plan, Directors have the option to elect to receive all or a portion of their quarterly base cash retainer in restricted shares of Twin Disc stock. The restricted shares will vest one year after the date that the quarterly cash retainer payment would have been made.</w:t>
      </w:r>
    </w:p>
    <w:p>
      <w:pPr>
        <w:spacing w:after="0" w:line="14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Committee chairs are paid an annual fee in addition to the annual retainer. The chair of the Audit Committee receives $20,000, the chair of the Compensation and Human Capital Committee receives $15,000 and the chair of the Governance Committee receives $10,000. The annual Chairman’s fee is $54,000.</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Human Capital Committee monitors compliance with this guideline, using its discretion to address nonattainment issues.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TWIN DISC, INCORPORATED 2023 ANNUAL REPORT | PROXY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spacing w:after="0" w:line="254" w:lineRule="auto"/>
        <w:rPr>
          <w:sz w:val="20"/>
          <w:szCs w:val="20"/>
          <w:color w:val="auto"/>
        </w:rPr>
      </w:pPr>
      <w:r>
        <w:rPr>
          <w:rFonts w:ascii="Arial" w:cs="Arial" w:eastAsia="Arial" w:hAnsi="Arial"/>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 In January of 2018, the Board voted to close this retirement program to new directors, with current participants continuing in the program, as described above, until their retirement. In May of 2020, the Board voted to cap the maximum annual benefit at $62,500 and cap the maximum service years equal to 15 years. For those Directors who already had more than fifteen years of service at the time of the change, their benefit immediately freezes at their current service years, with no additional accruals.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2023.</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the applicable requirements of the Public Company Accounting Oversight Board and the SEC.</w:t>
      </w:r>
    </w:p>
    <w:p>
      <w:pPr>
        <w:spacing w:after="0" w:line="16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RSM US LLP matters relating to its independence.</w:t>
      </w:r>
    </w:p>
    <w:p>
      <w:pPr>
        <w:spacing w:after="0" w:line="14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2023, for filing with the Securities and Exchange Commission.</w:t>
      </w:r>
    </w:p>
    <w:p>
      <w:pPr>
        <w:spacing w:after="0" w:line="18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David W. Johnson, Chair</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Janet P. Giesselman</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Juliann Larimer</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Kevin M. Olsen</w:t>
      </w:r>
    </w:p>
    <w:p>
      <w:pPr>
        <w:spacing w:after="0" w:line="21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August 2, 2023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20" w:right="560"/>
        <w:spacing w:after="0" w:line="277" w:lineRule="auto"/>
        <w:rPr>
          <w:sz w:val="20"/>
          <w:szCs w:val="20"/>
          <w:color w:val="auto"/>
        </w:rPr>
      </w:pPr>
      <w:r>
        <w:rPr>
          <w:rFonts w:ascii="Arial" w:cs="Arial" w:eastAsia="Arial" w:hAnsi="Arial"/>
          <w:sz w:val="18"/>
          <w:szCs w:val="18"/>
          <w:color w:val="auto"/>
        </w:rPr>
        <w:t>The following table summarizes certain information regarding the Corporation’s equity-based compensation plans as of the end of the most recently completed fiscal year:</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860" w:type="dxa"/>
            <w:vAlign w:val="bottom"/>
            <w:tcBorders>
              <w:top w:val="single" w:sz="8" w:color="auto"/>
              <w:left w:val="single" w:sz="8" w:color="auto"/>
              <w:right w:val="single" w:sz="8" w:color="auto"/>
            </w:tcBorders>
          </w:tcPr>
          <w:p>
            <w:pPr>
              <w:spacing w:after="0"/>
              <w:rPr>
                <w:sz w:val="18"/>
                <w:szCs w:val="18"/>
                <w:color w:val="auto"/>
              </w:rPr>
            </w:pPr>
          </w:p>
        </w:tc>
        <w:tc>
          <w:tcPr>
            <w:tcW w:w="2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 of Securities to be</w:t>
            </w:r>
          </w:p>
        </w:tc>
        <w:tc>
          <w:tcPr>
            <w:tcW w:w="2800" w:type="dxa"/>
            <w:vAlign w:val="bottom"/>
            <w:tcBorders>
              <w:top w:val="single" w:sz="8" w:color="auto"/>
              <w:right w:val="single" w:sz="8" w:color="auto"/>
            </w:tcBorders>
          </w:tcPr>
          <w:p>
            <w:pPr>
              <w:spacing w:after="0"/>
              <w:rPr>
                <w:sz w:val="18"/>
                <w:szCs w:val="18"/>
                <w:color w:val="auto"/>
              </w:rPr>
            </w:pP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 of Securities</w:t>
            </w:r>
          </w:p>
        </w:tc>
        <w:tc>
          <w:tcPr>
            <w:tcW w:w="0" w:type="dxa"/>
            <w:vAlign w:val="bottom"/>
          </w:tcPr>
          <w:p>
            <w:pPr>
              <w:spacing w:after="0"/>
              <w:rPr>
                <w:sz w:val="1"/>
                <w:szCs w:val="1"/>
                <w:color w:val="auto"/>
              </w:rPr>
            </w:pP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Issued Upon Exercise</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Weighted Average Price</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Remaining Available for</w:t>
            </w:r>
          </w:p>
        </w:tc>
        <w:tc>
          <w:tcPr>
            <w:tcW w:w="0" w:type="dxa"/>
            <w:vAlign w:val="bottom"/>
          </w:tcPr>
          <w:p>
            <w:pPr>
              <w:spacing w:after="0"/>
              <w:rPr>
                <w:sz w:val="1"/>
                <w:szCs w:val="1"/>
                <w:color w:val="auto"/>
              </w:rPr>
            </w:pP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Outstanding Options,</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Outstanding Options,</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Future Issuance Under</w:t>
            </w:r>
          </w:p>
        </w:tc>
        <w:tc>
          <w:tcPr>
            <w:tcW w:w="0" w:type="dxa"/>
            <w:vAlign w:val="bottom"/>
          </w:tcPr>
          <w:p>
            <w:pPr>
              <w:spacing w:after="0"/>
              <w:rPr>
                <w:sz w:val="1"/>
                <w:szCs w:val="1"/>
                <w:color w:val="auto"/>
              </w:rPr>
            </w:pPr>
          </w:p>
        </w:tc>
      </w:tr>
      <w:tr>
        <w:trPr>
          <w:trHeight w:val="227"/>
        </w:trPr>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 Category</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 and Rights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 and Rights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Equity Compensation Plans</w:t>
            </w:r>
          </w:p>
        </w:tc>
        <w:tc>
          <w:tcPr>
            <w:tcW w:w="0" w:type="dxa"/>
            <w:vAlign w:val="bottom"/>
          </w:tcPr>
          <w:p>
            <w:pPr>
              <w:spacing w:after="0"/>
              <w:rPr>
                <w:sz w:val="1"/>
                <w:szCs w:val="1"/>
                <w:color w:val="auto"/>
              </w:rPr>
            </w:pPr>
          </w:p>
        </w:tc>
      </w:tr>
      <w:tr>
        <w:trPr>
          <w:trHeight w:val="198"/>
        </w:trPr>
        <w:tc>
          <w:tcPr>
            <w:tcW w:w="286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w w:val="92"/>
              </w:rPr>
              <w:t>Equity Compensation Plans Approved</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344,954 (1)</w:t>
            </w:r>
          </w:p>
        </w:tc>
        <w:tc>
          <w:tcPr>
            <w:tcW w:w="2800" w:type="dxa"/>
            <w:vAlign w:val="bottom"/>
            <w:tcBorders>
              <w:right w:val="single" w:sz="8" w:color="auto"/>
            </w:tcBorders>
            <w:vMerge w:val="restart"/>
          </w:tcPr>
          <w:p>
            <w:pPr>
              <w:ind w:left="1220"/>
              <w:spacing w:after="0"/>
              <w:rPr>
                <w:sz w:val="20"/>
                <w:szCs w:val="20"/>
                <w:color w:val="auto"/>
              </w:rPr>
            </w:pPr>
            <w:r>
              <w:rPr>
                <w:rFonts w:ascii="Arial" w:cs="Arial" w:eastAsia="Arial" w:hAnsi="Arial"/>
                <w:sz w:val="18"/>
                <w:szCs w:val="18"/>
                <w:color w:val="auto"/>
              </w:rPr>
              <w:t>N/A</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793,801 (2)</w:t>
            </w: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by Shareholders</w:t>
            </w:r>
          </w:p>
        </w:tc>
        <w:tc>
          <w:tcPr>
            <w:tcW w:w="27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Borders>
              <w:bottom w:val="single" w:sz="8" w:color="auto"/>
              <w:right w:val="single" w:sz="8" w:color="auto"/>
            </w:tcBorders>
            <w:vMerge w:val="continue"/>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Equity Compensation Plans Not</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2800" w:type="dxa"/>
            <w:vAlign w:val="bottom"/>
            <w:tcBorders>
              <w:right w:val="single" w:sz="8" w:color="auto"/>
            </w:tcBorders>
            <w:vMerge w:val="restart"/>
          </w:tcPr>
          <w:p>
            <w:pPr>
              <w:ind w:left="1220"/>
              <w:spacing w:after="0"/>
              <w:rPr>
                <w:sz w:val="20"/>
                <w:szCs w:val="20"/>
                <w:color w:val="auto"/>
              </w:rPr>
            </w:pPr>
            <w:r>
              <w:rPr>
                <w:rFonts w:ascii="Arial" w:cs="Arial" w:eastAsia="Arial" w:hAnsi="Arial"/>
                <w:sz w:val="18"/>
                <w:szCs w:val="18"/>
                <w:color w:val="auto"/>
              </w:rPr>
              <w:t>N/A</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By Shareholders</w:t>
            </w:r>
          </w:p>
        </w:tc>
        <w:tc>
          <w:tcPr>
            <w:tcW w:w="27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Borders>
              <w:bottom w:val="single" w:sz="8" w:color="auto"/>
              <w:right w:val="single" w:sz="8" w:color="auto"/>
            </w:tcBorders>
            <w:vMerge w:val="continue"/>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344,954 (1)</w:t>
            </w:r>
          </w:p>
        </w:tc>
        <w:tc>
          <w:tcPr>
            <w:tcW w:w="2800" w:type="dxa"/>
            <w:vAlign w:val="bottom"/>
            <w:tcBorders>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N/A</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793,801 (2)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80" w:hanging="332"/>
        <w:spacing w:after="0" w:line="293"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96,660 shares of performance stock that may be issued as of June 30, 2024, 118,131 shares of performance stock that may be issued as of June 30, 2025, and 72,376 shares of stock that may be issued as of June 30, 2025 under restricted stock unit awards with performance conditions, all under the Twin Disc, Incorporated 2021 Long-Term Incentive Compensation Plan assuming the target performance goals are achieved. As of June 30, 2023, the Corporation believes that it is likely that the performance goals for the awards that may be issued as of June 30, 2024 and June 30, 2025 will be achieved at or near target. Also includes 55,944 restricted stock units that are scheduled to vest on August 4, 2024 and 1,843 restricted stock units scheduled to vest on October 18, 2023 issued under the Twin Disc, Incorporated 2021 Long-Term Incentive Compensation Plan.</w:t>
      </w:r>
    </w:p>
    <w:p>
      <w:pPr>
        <w:spacing w:after="0" w:line="164" w:lineRule="exact"/>
        <w:rPr>
          <w:rFonts w:ascii="Arial" w:cs="Arial" w:eastAsia="Arial" w:hAnsi="Arial"/>
          <w:sz w:val="16"/>
          <w:szCs w:val="16"/>
          <w:color w:val="auto"/>
        </w:rPr>
      </w:pPr>
    </w:p>
    <w:p>
      <w:pPr>
        <w:ind w:left="340" w:right="48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560,531 shares of the Corporation’s common stock issuable under the Twin Disc, Incorporated 2020 Stock Incentive Plan for Non-Employee Directors and 233,270 shares issuable under the Twin Disc, Incorporated Long Term Incentive Compensation Plan. Assumes that outstanding performance stock awards under the Twin Disc, Incorporated 2021 Long-Term Incentive Compensation Plan will be issued at target, which may not reflect the most probable outcome.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left="20" w:right="20"/>
        <w:spacing w:after="0" w:line="254"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a registered class of our equity securities, to file with the SEC initial reports of ownership and reports of changes in ownership of such securities. To our knowledge, based solely on a review of such reports filed with the SEC and written representations that no other reports were required, during fiscal 2023, we believe that all required reports were timely filed, except that, due to administrative error and turnover in personnel, certain Forms 4 filed on August 8, 2022 and November 1, 2022 were filed late. With respect to the Forms 4 filed on August 8, 2022, the Form 4 of Mr. Batten was filed one day late; the Form 4 of Mr. Knutson was filed two days late; and the Forms 4 of Messrs. Doar, Stratton, and Johnson were filed three days late. The November 1, 2022 Forms 4 of Messrs. Smiley, Olsen, Johnson, and Doar, and Mses. Larimer and Giesselman relating to awards of restricted stock for continued service on the Board of Directors were each filed one day late.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TWIN DISC, INCORPORATED 2023 ANNUAL REPORT | PROXY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Corporation will bear the cost of the solicitation of proxies. The firm of Georgeson Inc., New York, NY has been retained to assist in solicitation of proxies for the Annual Meeting at a fee not to exceed $11,000 plus expenses.</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If you do not contemplate attending the Annual Meeting, we respectfully request that you direct your vote via the Internet or by telephone, or (if you received paper copies of the proxy materials) by filling in, signing and returning the accompanying proxy at your earliest convenience. If you are a registered shareholder of the Corporation, you may transmit your voting instructions via the Internet by accessing </w:t>
      </w:r>
      <w:r>
        <w:rPr>
          <w:rFonts w:ascii="Arial" w:cs="Arial" w:eastAsia="Arial" w:hAnsi="Arial"/>
          <w:sz w:val="17"/>
          <w:szCs w:val="17"/>
          <w:b w:val="1"/>
          <w:bCs w:val="1"/>
          <w:u w:val="single" w:color="auto"/>
          <w:color w:val="auto"/>
        </w:rPr>
        <w:t>www.investorvote.com/ twin</w:t>
      </w:r>
      <w:r>
        <w:rPr>
          <w:rFonts w:ascii="Arial" w:cs="Arial" w:eastAsia="Arial" w:hAnsi="Arial"/>
          <w:sz w:val="17"/>
          <w:szCs w:val="17"/>
          <w:color w:val="auto"/>
        </w:rPr>
        <w:t xml:space="preserve"> or by telephone at 1-800-652-8683. If you hold your shares through an intermediary, such as a bank or brokerage firm, you may be eligible to vote your shares electronically via the Internet or by telephone – your voting form will provide you with instructions. If you are returning a paper copy of your proxy, it must be delivered to the Secretary either in person, by mail, or by messenger, and it must be received by the Secretary not less than forty-eight (48) hours prior to the date of the Annual Meeting.</w:t>
      </w: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TWIN DISC, INCORPORATED 2023 ANNUAL REPORT | PROXY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95820" cy="95586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5820" cy="9558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95820" cy="9532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5820" cy="953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95820" cy="9532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5820" cy="953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95820" cy="9532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5820" cy="953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95820" cy="9532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5820" cy="953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95820" cy="9317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195820" cy="93179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2"/>
    </w:lvl>
    <w:lvl w:ilvl="1">
      <w:lvlJc w:val="left"/>
      <w:lvlText w:val="%2."/>
      <w:numFmt w:val="lowerRoman"/>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2"/>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2"/>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2023-09-08T07:47:17Z</dcterms:created>
  <dcterms:modified xsi:type="dcterms:W3CDTF">2023-09-08T07:47:17Z</dcterms:modified>
</cp:coreProperties>
</file>