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 x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 Preliminary Proxy Statement</w:t>
      </w:r>
    </w:p>
    <w:p>
      <w:pPr>
        <w:spacing w:after="0" w:line="27" w:lineRule="exact"/>
        <w:rPr>
          <w:sz w:val="24"/>
          <w:szCs w:val="24"/>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Definitive Proxy Statement</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Definitive Additional Materials</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Section 240.14a-2.</w:t>
      </w:r>
    </w:p>
    <w:p>
      <w:pPr>
        <w:spacing w:after="0" w:line="2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Twin Disc, Incorporated</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 ] No fee required.</w:t>
      </w:r>
    </w:p>
    <w:p>
      <w:pPr>
        <w:spacing w:after="0" w:line="207"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14a-6(i)(4) and 0-11.</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transactions computed pursuant to Exchange Act Rule 0-11 (Set forth the amount on which the filing fee is calculated and state how it was determined):</w:t>
      </w:r>
    </w:p>
    <w:p>
      <w:pPr>
        <w:spacing w:after="0" w:line="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9" w:lineRule="exact"/>
        <w:rPr>
          <w:sz w:val="24"/>
          <w:szCs w:val="24"/>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7" w:lineRule="exact"/>
        <w:rPr>
          <w:sz w:val="24"/>
          <w:szCs w:val="24"/>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 Fee paid previously with preliminary materials.</w:t>
      </w:r>
    </w:p>
    <w:p>
      <w:pPr>
        <w:spacing w:after="0" w:line="225" w:lineRule="exact"/>
        <w:rPr>
          <w:sz w:val="24"/>
          <w:szCs w:val="24"/>
          <w:color w:val="auto"/>
        </w:rPr>
      </w:pPr>
    </w:p>
    <w:p>
      <w:pPr>
        <w:ind w:right="580" w:firstLine="8"/>
        <w:spacing w:after="0" w:line="261"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sz w:val="24"/>
          <w:szCs w:val="24"/>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47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22225</wp:posOffset>
            </wp:positionV>
            <wp:extent cx="1724025" cy="780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402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1328 Racine Street, Racine, Wisconsin 53403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 – OCTOBER 26,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IS HEREBY GIVEN TO THE SHAREHOLDERS OF TWIN DISC, INCORPORATED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of Shareholders of Twin Disc, Incorporated, a Wisconsin corporation (the “Corporation”), will be held at 2:00 P.M. (Central Time)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October 26, 2017, at the Corporate Offices, 1328 Racine Street, Racine, Wisconsin 53403 (the “Annual Meeting”) for the following purposes:</w:t>
      </w:r>
    </w:p>
    <w:p>
      <w:pPr>
        <w:spacing w:after="0" w:line="207" w:lineRule="exact"/>
        <w:rPr>
          <w:sz w:val="20"/>
          <w:szCs w:val="20"/>
          <w:color w:val="auto"/>
        </w:rPr>
      </w:pPr>
    </w:p>
    <w:p>
      <w:pPr>
        <w:ind w:left="680" w:hanging="186"/>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serve until the Annual Meeting of Shareholders in 2020.</w:t>
      </w:r>
    </w:p>
    <w:p>
      <w:pPr>
        <w:spacing w:after="0" w:line="225"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225"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on the frequency of the vote on compensation of the Corporation’s Named Executive Officers.</w:t>
      </w:r>
    </w:p>
    <w:p>
      <w:pPr>
        <w:spacing w:after="0" w:line="225" w:lineRule="exact"/>
        <w:rPr>
          <w:rFonts w:ascii="Times New Roman" w:cs="Times New Roman" w:eastAsia="Times New Roman" w:hAnsi="Times New Roman"/>
          <w:sz w:val="18"/>
          <w:szCs w:val="18"/>
          <w:color w:val="auto"/>
        </w:rPr>
      </w:pPr>
    </w:p>
    <w:p>
      <w:pPr>
        <w:ind w:left="500" w:right="140" w:hanging="6"/>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2018.</w:t>
      </w:r>
    </w:p>
    <w:p>
      <w:pPr>
        <w:spacing w:after="0" w:line="16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Only holders of record of shares of common stock of the Corporation at the close of business on August 24, 2017, shall be entitled to vote at the Annual Meeting.</w:t>
      </w:r>
    </w:p>
    <w:p>
      <w:pPr>
        <w:spacing w:after="0" w:line="162" w:lineRule="exact"/>
        <w:rPr>
          <w:sz w:val="20"/>
          <w:szCs w:val="20"/>
          <w:color w:val="auto"/>
        </w:rPr>
      </w:pPr>
    </w:p>
    <w:p>
      <w:pPr>
        <w:jc w:val="both"/>
        <w:ind w:right="400"/>
        <w:spacing w:after="0" w:line="257" w:lineRule="auto"/>
        <w:rPr>
          <w:sz w:val="20"/>
          <w:szCs w:val="20"/>
          <w:color w:val="auto"/>
        </w:rPr>
      </w:pPr>
      <w:r>
        <w:rPr>
          <w:rFonts w:ascii="Times New Roman" w:cs="Times New Roman" w:eastAsia="Times New Roman" w:hAnsi="Times New Roman"/>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October 26, 2017</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 xml:space="preserve">Our proxy materials, including the Proxy Statement and 2017 Annual Report on Form 10-K, are available over the internet at </w:t>
      </w:r>
      <w:r>
        <w:rPr>
          <w:rFonts w:ascii="Times New Roman" w:cs="Times New Roman" w:eastAsia="Times New Roman" w:hAnsi="Times New Roman"/>
          <w:sz w:val="18"/>
          <w:szCs w:val="18"/>
          <w:b w:val="1"/>
          <w:bCs w:val="1"/>
          <w:u w:val="single" w:color="auto"/>
          <w:color w:val="auto"/>
        </w:rPr>
        <w:t>http://ir.twindisc.com/proxy.cfm</w:t>
      </w:r>
      <w:r>
        <w:rPr>
          <w:rFonts w:ascii="Times New Roman" w:cs="Times New Roman" w:eastAsia="Times New Roman" w:hAnsi="Times New Roman"/>
          <w:sz w:val="18"/>
          <w:szCs w:val="18"/>
          <w:color w:val="auto"/>
        </w:rPr>
        <w:t>, and most of our stockholders will receive only a notice (“Notice”) containing instructions on how to access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2017 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14,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MEETING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Thursday, October 26, 2017, or any adjournment thereof. Holders of common stock of record at the close of business on August 24, 2017,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first send this proxy statement to shareholders on or about September 14, 2017.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APPOINTMENT AND REVOCATION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Shareholders may vote by delivery, either in person, by mail or by messenger, of the enclosed proxy appointment form. Appointment forms must be received by the Secretary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Shareholders may also vote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Wednesday, October 25, 2017. Shareholders that vote via the Internet should understand that there might be costs associated with electronic access that they must bear, such as usage charges from Internet access providers and telecommunications companies.</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record date with respect to this solicitation is August 24, 2017. On that date, there were outstanding 11,572,523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SHAREHOLDER PROPOSALS FOR 2018</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 shareholder wishes to present a proposal for consideration for inclusion in the Notice of the Meeting and Proxy Statement for the 2018 Annual Meeting of Shareholders, the proposal must be received at the Corporation’s principal executive offices no later than May 18, 2018. Shareholder proposals received later than July 17, 2018 will be considered untimely, and will not be considered at the Corporation’s 2018 Annual Meeting. Any such proposal must comply with the requirements of Section (14)(a) of the Corporation’s Restated Bylaws.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a shareholder wishes to nominate a person for election to the Board of Directors of the Corporation, such nomination shall be made pursuant to timely notice in writing to the Secretary of the Corporation. To be timely for the 2018 Annual Meeting, such notice must be delivered to or mailed and received at the principal executive offices of the Corporation no later than July 17, 2018. Any such notice must comply with the requirements of Section (14)(b) of the Corporation’s Restated Bylaws.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229"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7"/>
          <w:szCs w:val="17"/>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PROPOSALS AND HOW VOTES WILL BE COUNTED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the advisory vote on the frequency of future votes on the compensation of the Corporation’s Named Executive Officers (Proposal No. 3), votes may be cast for “Every Year” “Every 2 Years” or “Every 3 Years.” Whichever choice receives the most votes will be considered the frequency approved by the shareholders. This vote is not binding on the Corporation. The Board of Directors will take the results of the vote into consideration in making decisions about the frequency of future votes on the compensation of the Corporation’s Named Executive Officers.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the appointment of independent auditors (Proposal No. 4),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t>Brokers and other nominees may vote on the ratification of the appointment of RSM US LLP as our independent auditors for the fiscal year ending June 30, 2018 (Proposal No. 4) without specific instructions from beneficial owners. Therefore, no broker non-votes are expected to exist in connection with this proposal. However, brokers or other nominees may not vote on the election of Directors (Proposal No. 1), on the advisory vote on Named Executive Officer compensation (Proposal No. 2) or the frequency of the advisory vote on Named Executive Officer compensation (Proposal No. 3) without specific instructions from the beneficial owners of the shares. Therefore, an undetermined number of broker non-votes may occur on Proposals No. 1, 2 and 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 DIRECTORS AND EXECUTIVE OFFICERS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21, 2017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2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0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4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704 Waters Edge Rd.</w:t>
            </w:r>
          </w:p>
        </w:tc>
        <w:tc>
          <w:tcPr>
            <w:tcW w:w="24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Power to vote</w:t>
            </w:r>
          </w:p>
        </w:tc>
        <w:tc>
          <w:tcPr>
            <w:tcW w:w="2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2,535,647</w:t>
            </w:r>
            <w:r>
              <w:rPr>
                <w:rFonts w:ascii="Times New Roman" w:cs="Times New Roman" w:eastAsia="Times New Roman" w:hAnsi="Times New Roman"/>
                <w:sz w:val="30"/>
                <w:szCs w:val="30"/>
                <w:color w:val="auto"/>
                <w:vertAlign w:val="superscript"/>
              </w:rPr>
              <w:t>(1)</w:t>
            </w: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600" w:type="dxa"/>
            <w:vAlign w:val="bottom"/>
            <w:shd w:val="clear" w:color="auto" w:fill="CCEEFF"/>
          </w:tcPr>
          <w:p>
            <w:pPr>
              <w:spacing w:after="0"/>
              <w:rPr>
                <w:sz w:val="18"/>
                <w:szCs w:val="18"/>
                <w:color w:val="auto"/>
              </w:rPr>
            </w:pPr>
          </w:p>
        </w:tc>
        <w:tc>
          <w:tcPr>
            <w:tcW w:w="210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Racine, WI</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Beneficial</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194,384</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One Corporate Center</w:t>
            </w:r>
          </w:p>
        </w:tc>
        <w:tc>
          <w:tcPr>
            <w:tcW w:w="24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Power to vote &amp;</w:t>
            </w:r>
          </w:p>
        </w:tc>
        <w:tc>
          <w:tcPr>
            <w:tcW w:w="2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1,966,569</w:t>
            </w:r>
            <w:r>
              <w:rPr>
                <w:rFonts w:ascii="Times New Roman" w:cs="Times New Roman" w:eastAsia="Times New Roman" w:hAnsi="Times New Roman"/>
                <w:sz w:val="30"/>
                <w:szCs w:val="30"/>
                <w:color w:val="auto"/>
                <w:vertAlign w:val="superscript"/>
              </w:rPr>
              <w:t>(2)</w:t>
            </w: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GAMCO Investors, Inc.</w:t>
            </w:r>
          </w:p>
        </w:tc>
        <w:tc>
          <w:tcPr>
            <w:tcW w:w="600" w:type="dxa"/>
            <w:vAlign w:val="bottom"/>
            <w:shd w:val="clear" w:color="auto" w:fill="CCEEFF"/>
          </w:tcPr>
          <w:p>
            <w:pPr>
              <w:spacing w:after="0"/>
              <w:rPr>
                <w:sz w:val="18"/>
                <w:szCs w:val="18"/>
                <w:color w:val="auto"/>
              </w:rPr>
            </w:pPr>
          </w:p>
        </w:tc>
        <w:tc>
          <w:tcPr>
            <w:tcW w:w="210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Rye, NY</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dispose of stock</w:t>
            </w:r>
          </w:p>
        </w:tc>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Juniper Investments</w:t>
            </w: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555 Madison Avenue</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Power to vote &amp;</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672,894</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LLC</w:t>
            </w: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dispose of stock</w:t>
            </w:r>
          </w:p>
        </w:tc>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Neuberger Berman, LLC</w:t>
            </w:r>
          </w:p>
        </w:tc>
        <w:tc>
          <w:tcPr>
            <w:tcW w:w="2700" w:type="dxa"/>
            <w:vAlign w:val="bottom"/>
            <w:gridSpan w:val="2"/>
            <w:shd w:val="clear" w:color="auto" w:fill="CCEEFF"/>
          </w:tcPr>
          <w:p>
            <w:pPr>
              <w:ind w:left="600"/>
              <w:spacing w:after="0" w:line="198" w:lineRule="exact"/>
              <w:rPr>
                <w:sz w:val="20"/>
                <w:szCs w:val="20"/>
                <w:color w:val="auto"/>
              </w:rPr>
            </w:pPr>
            <w:r>
              <w:rPr>
                <w:rFonts w:ascii="Times New Roman" w:cs="Times New Roman" w:eastAsia="Times New Roman" w:hAnsi="Times New Roman"/>
                <w:sz w:val="18"/>
                <w:szCs w:val="18"/>
                <w:color w:val="auto"/>
              </w:rPr>
              <w:t>1290 Avenue of the</w:t>
            </w:r>
          </w:p>
        </w:tc>
        <w:tc>
          <w:tcPr>
            <w:tcW w:w="24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Power to vote &amp;</w:t>
            </w:r>
          </w:p>
        </w:tc>
        <w:tc>
          <w:tcPr>
            <w:tcW w:w="2020" w:type="dxa"/>
            <w:vAlign w:val="bottom"/>
            <w:shd w:val="clear" w:color="auto" w:fill="CCEEFF"/>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591,970</w:t>
            </w:r>
          </w:p>
        </w:tc>
        <w:tc>
          <w:tcPr>
            <w:tcW w:w="124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Americas</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dispose of stock</w:t>
            </w:r>
          </w:p>
        </w:tc>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New York, NY</w:t>
            </w:r>
          </w:p>
        </w:tc>
        <w:tc>
          <w:tcPr>
            <w:tcW w:w="24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Dimensional Fund</w:t>
            </w:r>
          </w:p>
        </w:tc>
        <w:tc>
          <w:tcPr>
            <w:tcW w:w="2700" w:type="dxa"/>
            <w:vAlign w:val="bottom"/>
            <w:gridSpan w:val="2"/>
            <w:shd w:val="clear" w:color="auto" w:fill="CCEEFF"/>
          </w:tcPr>
          <w:p>
            <w:pPr>
              <w:ind w:left="600"/>
              <w:spacing w:after="0" w:line="198" w:lineRule="exact"/>
              <w:rPr>
                <w:sz w:val="20"/>
                <w:szCs w:val="20"/>
                <w:color w:val="auto"/>
              </w:rPr>
            </w:pPr>
            <w:r>
              <w:rPr>
                <w:rFonts w:ascii="Times New Roman" w:cs="Times New Roman" w:eastAsia="Times New Roman" w:hAnsi="Times New Roman"/>
                <w:sz w:val="18"/>
                <w:szCs w:val="18"/>
                <w:color w:val="auto"/>
              </w:rPr>
              <w:t>6300 Bee Cave Road</w:t>
            </w:r>
          </w:p>
        </w:tc>
        <w:tc>
          <w:tcPr>
            <w:tcW w:w="24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Power to vote &amp;</w:t>
            </w:r>
          </w:p>
        </w:tc>
        <w:tc>
          <w:tcPr>
            <w:tcW w:w="2020" w:type="dxa"/>
            <w:vAlign w:val="bottom"/>
            <w:shd w:val="clear" w:color="auto" w:fill="CCEEFF"/>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590,302</w:t>
            </w:r>
          </w:p>
        </w:tc>
        <w:tc>
          <w:tcPr>
            <w:tcW w:w="124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Advisors, L.P.</w:t>
            </w:r>
          </w:p>
        </w:tc>
        <w:tc>
          <w:tcPr>
            <w:tcW w:w="2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Austin, TX</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dispose of stock</w:t>
            </w:r>
          </w:p>
        </w:tc>
        <w:tc>
          <w:tcPr>
            <w:tcW w:w="2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w:t>
            </w: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Howard Street</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Power to vote &amp;</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575,000</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Company, N.A.</w:t>
            </w:r>
          </w:p>
        </w:tc>
        <w:tc>
          <w:tcPr>
            <w:tcW w:w="6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Francisco, CA</w:t>
            </w: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dispose of stock</w:t>
            </w:r>
          </w:p>
        </w:tc>
        <w:tc>
          <w:tcPr>
            <w:tcW w:w="2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-2469515</wp:posOffset>
            </wp:positionV>
            <wp:extent cx="687768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68776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as trustee under various trusts and as guardian for non-immediate family member.</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held by various entities which are directly or indirectly controlled by Mario J. Gabelli and for which he acts as chief investment officer.</w:t>
      </w: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21, 2017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620" w:type="dxa"/>
            <w:vAlign w:val="bottom"/>
            <w:tcBorders>
              <w:bottom w:val="single" w:sz="8" w:color="auto"/>
            </w:tcBorders>
          </w:tcPr>
          <w:p>
            <w:pPr>
              <w:jc w:val="right"/>
              <w:ind w:right="30"/>
              <w:spacing w:after="0" w:line="262" w:lineRule="exact"/>
              <w:rPr>
                <w:sz w:val="20"/>
                <w:szCs w:val="20"/>
                <w:color w:val="auto"/>
              </w:rPr>
            </w:pPr>
            <w:r>
              <w:rPr>
                <w:rFonts w:ascii="Times New Roman" w:cs="Times New Roman" w:eastAsia="Times New Roman" w:hAnsi="Times New Roman"/>
                <w:sz w:val="18"/>
                <w:szCs w:val="18"/>
                <w:b w:val="1"/>
                <w:bCs w:val="1"/>
                <w:color w:val="auto"/>
              </w:rPr>
              <w:t xml:space="preserve">of Beneficial Ownership </w:t>
            </w:r>
            <w:r>
              <w:rPr>
                <w:rFonts w:ascii="Times New Roman" w:cs="Times New Roman" w:eastAsia="Times New Roman" w:hAnsi="Times New Roman"/>
                <w:sz w:val="30"/>
                <w:szCs w:val="30"/>
                <w:b w:val="1"/>
                <w:bCs w:val="1"/>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2,730,031</w:t>
            </w:r>
          </w:p>
        </w:tc>
        <w:tc>
          <w:tcPr>
            <w:tcW w:w="7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(2)</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Jeffrey S. Knutson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53,957</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(3)</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Malcolm F. Moore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7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(4)</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Donald J. Nelson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(5)</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J. Bratel</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7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(6)</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Michael Doar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P. Giesselman</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7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Rayburn</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7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Michael C. Smiley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M. Stratton II</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w:t>
            </w:r>
          </w:p>
        </w:tc>
        <w:tc>
          <w:tcPr>
            <w:tcW w:w="7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David R. Zimmer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26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3,185,197</w:t>
            </w:r>
          </w:p>
        </w:tc>
        <w:tc>
          <w:tcPr>
            <w:tcW w:w="7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(7)</w:t>
            </w:r>
          </w:p>
        </w:tc>
        <w:tc>
          <w:tcPr>
            <w:tcW w:w="230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(14 persons)</w:t>
            </w:r>
          </w:p>
        </w:tc>
        <w:tc>
          <w:tcPr>
            <w:tcW w:w="2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Denotes ownership of less than one percent of shares outstanding.</w:t>
      </w:r>
    </w:p>
    <w:p>
      <w:pPr>
        <w:spacing w:after="0" w:line="225" w:lineRule="exact"/>
        <w:rPr>
          <w:sz w:val="20"/>
          <w:szCs w:val="20"/>
          <w:color w:val="auto"/>
        </w:rPr>
      </w:pPr>
    </w:p>
    <w:p>
      <w:pPr>
        <w:ind w:left="500" w:right="1460" w:hanging="6"/>
        <w:spacing w:after="0" w:line="261"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00" w:right="1080" w:hanging="6"/>
        <w:spacing w:after="0" w:line="250"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2,535,647 shares held by Mr. Batten as trustee under various family trusts and as guardian for non-immediate family member. Also includes restricted stock grants of 20,519 shares that vest in fiscal 2019, 33,496 shares that vest in fiscal 2020, and 19,259 shares that vest in fiscal 2021.</w:t>
      </w:r>
    </w:p>
    <w:p>
      <w:pPr>
        <w:spacing w:after="0" w:line="1" w:lineRule="exact"/>
        <w:rPr>
          <w:rFonts w:ascii="Times New Roman" w:cs="Times New Roman" w:eastAsia="Times New Roman" w:hAnsi="Times New Roman"/>
          <w:sz w:val="18"/>
          <w:szCs w:val="18"/>
          <w:color w:val="auto"/>
        </w:rPr>
      </w:pPr>
    </w:p>
    <w:p>
      <w:pPr>
        <w:ind w:left="500" w:right="1260" w:hanging="6"/>
        <w:spacing w:after="0" w:line="250"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8,648 shares that vest in fiscal 2019, 14,117 shares that vest in fiscal 2020, and 8,117 shares that vest in fiscal 2021.</w:t>
      </w:r>
    </w:p>
    <w:p>
      <w:pPr>
        <w:ind w:left="500" w:right="1420" w:hanging="6"/>
        <w:spacing w:after="0" w:line="250"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18,149 shares that vest in fiscal 2019 and 19,386 shares that vest in fiscal 2020. Also includes 3,600 shares subject to currently exercisable stock options.</w:t>
      </w:r>
    </w:p>
    <w:p>
      <w:pPr>
        <w:ind w:left="500" w:right="1360" w:hanging="6"/>
        <w:spacing w:after="0" w:line="250"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14,000 shares that vest in fiscal 2018, 14,000 shares that vest in fiscal 2019, 10,000 shares that vest in fiscal 2020 and 8,734 shares that vest in fiscal 2021.</w:t>
      </w:r>
    </w:p>
    <w:p>
      <w:pPr>
        <w:ind w:left="500" w:right="1280" w:hanging="6"/>
        <w:spacing w:after="0" w:line="250"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7,862 shares that vest in fiscal 2019, 12,834 shares that vest in fiscal 2020 and 7,379 shares that vest in fiscal 2021.</w:t>
      </w:r>
    </w:p>
    <w:p>
      <w:pPr>
        <w:ind w:left="500" w:right="1120" w:hanging="6"/>
        <w:spacing w:after="0" w:line="254"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currently exercisable stock options included in the above are as follows: Mr. Doar 2,400, Mr. Rayburn 3,600, Mr. Stratton 3,600 and all Directors and executive officers as a group 13,200. Also included above are unvested restricted shares as follows: Mr. Doar 6,080, Ms. Giesselman 6,080, Mr. Johnson 6,080, Mr. Rayburn 6,080, Mr. Smiley 6,080, Mr. Stratton 6,080 and Mr. Zimmer 6,080.</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Board of Directors has nominated the following persons to serve as Directors for the Corporation, each for a term to expire at the Annual Meeting of Shareholders following the fiscal year ending June 30, 2020, as indicated below. Shares of common stock represented by properly executed proxy appointments in the accompanying form or electronic proxy vote will be voted for the two nominees listed unless authority to do so is withheld.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300" w:type="dxa"/>
            <w:vAlign w:val="bottom"/>
          </w:tcPr>
          <w:p>
            <w:pPr>
              <w:spacing w:after="0"/>
              <w:rPr>
                <w:sz w:val="18"/>
                <w:szCs w:val="18"/>
                <w:color w:val="auto"/>
              </w:rPr>
            </w:pPr>
          </w:p>
        </w:tc>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Served as Director</w:t>
            </w:r>
          </w:p>
        </w:tc>
        <w:tc>
          <w:tcPr>
            <w:tcW w:w="40" w:type="dxa"/>
            <w:vAlign w:val="bottom"/>
          </w:tcPr>
          <w:p>
            <w:pPr>
              <w:spacing w:after="0"/>
              <w:rPr>
                <w:sz w:val="18"/>
                <w:szCs w:val="18"/>
                <w:color w:val="auto"/>
              </w:rPr>
            </w:pPr>
          </w:p>
        </w:tc>
      </w:tr>
      <w:tr>
        <w:trPr>
          <w:trHeight w:val="23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Continuously Since</w:t>
            </w:r>
          </w:p>
        </w:tc>
        <w:tc>
          <w:tcPr>
            <w:tcW w:w="40" w:type="dxa"/>
            <w:vAlign w:val="bottom"/>
          </w:tcPr>
          <w:p>
            <w:pPr>
              <w:spacing w:after="0"/>
              <w:rPr>
                <w:sz w:val="20"/>
                <w:szCs w:val="20"/>
                <w:color w:val="auto"/>
              </w:rPr>
            </w:pPr>
          </w:p>
        </w:tc>
      </w:tr>
      <w:tr>
        <w:trPr>
          <w:trHeight w:val="42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TERMS EXPIRE IN 2020:</w:t>
            </w:r>
          </w:p>
        </w:tc>
        <w:tc>
          <w:tcPr>
            <w:tcW w:w="3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Michael Doar</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and Chief</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Mr. Doar is a sitting CEO of a</w:t>
            </w: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October 2008</w:t>
            </w:r>
          </w:p>
        </w:tc>
        <w:tc>
          <w:tcPr>
            <w:tcW w:w="40" w:type="dxa"/>
            <w:vAlign w:val="bottom"/>
          </w:tcPr>
          <w:p>
            <w:pPr>
              <w:spacing w:after="0"/>
              <w:rPr>
                <w:sz w:val="24"/>
                <w:szCs w:val="24"/>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 62</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company. His experience</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Hurco Companies, Inc.</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includes strategic planning,</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Indianapolis, Indiana</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oversight, compensation and</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global manufacturer of machine tools)</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organizational competencies.</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His career in the capital goods</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industry has exposed him to complex</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manufacturing and engineering</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solutions on a global basis.</w:t>
            </w: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David R. Zimmer</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Retired Managing Partner,</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Mr. Zimmer is a former CEO of</w:t>
            </w:r>
          </w:p>
        </w:tc>
        <w:tc>
          <w:tcPr>
            <w:tcW w:w="2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July 1995</w:t>
            </w:r>
          </w:p>
        </w:tc>
        <w:tc>
          <w:tcPr>
            <w:tcW w:w="40" w:type="dxa"/>
            <w:vAlign w:val="bottom"/>
          </w:tcPr>
          <w:p>
            <w:pPr>
              <w:spacing w:after="0"/>
              <w:rPr>
                <w:sz w:val="24"/>
                <w:szCs w:val="24"/>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 71</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Stonebridge Equity LLC,</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public company and has also</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Troy, Michigan,</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held a CFO position in a public</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merger, acquisition and</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His skill sets include</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 consulting firm);</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planning, financial</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Formerly Chief Executive</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oversight, compensation, and</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Twitchell Corporation,</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organizational development.</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Dothan, AL (A privately held</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His career includes international</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manufacturer and marketer of</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in complex</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highly engineered synthetic</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manufacturing related</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yarns, fabrics, extrusions, and</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industries, as well as</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coatings);</w:t>
            </w: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Also Director, Detrex Corp.</w:t>
            </w:r>
          </w:p>
        </w:tc>
        <w:tc>
          <w:tcPr>
            <w:tcW w:w="3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Strattec Security Corp.</w:t>
            </w:r>
          </w:p>
        </w:tc>
        <w:tc>
          <w:tcPr>
            <w:tcW w:w="3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75"/>
        </w:trPr>
        <w:tc>
          <w:tcPr>
            <w:tcW w:w="2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2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220" w:type="dxa"/>
            <w:vAlign w:val="bottom"/>
            <w:shd w:val="clear" w:color="auto" w:fill="808080"/>
          </w:tcPr>
          <w:p>
            <w:pPr>
              <w:spacing w:after="0"/>
              <w:rPr>
                <w:sz w:val="5"/>
                <w:szCs w:val="5"/>
                <w:color w:val="auto"/>
              </w:rPr>
            </w:pPr>
          </w:p>
        </w:tc>
        <w:tc>
          <w:tcPr>
            <w:tcW w:w="334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2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7" w:name="page8"/>
    <w:bookmarkEnd w:id="7"/>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380" w:type="dxa"/>
            <w:vAlign w:val="bottom"/>
          </w:tcPr>
          <w:p>
            <w:pPr>
              <w:spacing w:after="0"/>
              <w:rPr>
                <w:sz w:val="18"/>
                <w:szCs w:val="18"/>
                <w:color w:val="auto"/>
              </w:rPr>
            </w:pPr>
          </w:p>
        </w:tc>
        <w:tc>
          <w:tcPr>
            <w:tcW w:w="2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Served as Director</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Continuously Since</w:t>
            </w:r>
          </w:p>
        </w:tc>
      </w:tr>
      <w:tr>
        <w:trPr>
          <w:trHeight w:val="426"/>
        </w:trPr>
        <w:tc>
          <w:tcPr>
            <w:tcW w:w="5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CONTINUING DIRECTORS WHOSE TERMS EXPIRE IN 2018:</w:t>
            </w:r>
          </w:p>
        </w:tc>
        <w:tc>
          <w:tcPr>
            <w:tcW w:w="33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David B. Rayburn</w:t>
            </w: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Retired President and</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a former CEO of a public</w:t>
            </w:r>
          </w:p>
        </w:tc>
        <w:tc>
          <w:tcPr>
            <w:tcW w:w="27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96"/>
              </w:rPr>
              <w:t>July 2000</w:t>
            </w: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 69</w:t>
            </w: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Executive Officer,</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 Mr. Rayburn has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Modine Manufacturing</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experience and skill sets in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strategic planning, financial</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Racine, Wisconsin</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oversight, compensation policy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manufacturer of heat</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practices as well as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 equipment)</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organizational structure. In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Also, Director Lindsay</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 Mr. Rayburn’s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Corporation (a provider</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background includes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irrigation and water</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international business, mergers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management systems).</w:t>
            </w: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acquisitions, engineering and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manufacturing in an industry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related to the Corporation.</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460"/>
          </w:cols>
          <w:pgMar w:left="240" w:top="576" w:right="199" w:bottom="1440" w:gutter="0" w:footer="0" w:header="0"/>
        </w:sect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Janet P. Giesselman</w:t>
      </w:r>
      <w:r>
        <w:rPr>
          <w:sz w:val="20"/>
          <w:szCs w:val="20"/>
          <w:color w:val="auto"/>
        </w:rPr>
        <w:tab/>
      </w:r>
      <w:r>
        <w:rPr>
          <w:rFonts w:ascii="Times New Roman" w:cs="Times New Roman" w:eastAsia="Times New Roman" w:hAnsi="Times New Roman"/>
          <w:sz w:val="17"/>
          <w:szCs w:val="17"/>
          <w:color w:val="auto"/>
        </w:rPr>
        <w:t>Retired President and General</w:t>
      </w:r>
    </w:p>
    <w:p>
      <w:pPr>
        <w:spacing w:after="0" w:line="27" w:lineRule="exact"/>
        <w:rPr>
          <w:sz w:val="20"/>
          <w:szCs w:val="20"/>
          <w:color w:val="auto"/>
        </w:rPr>
      </w:pPr>
    </w:p>
    <w:p>
      <w:pPr>
        <w:ind w:left="180"/>
        <w:spacing w:after="0"/>
        <w:tabs>
          <w:tab w:leader="none" w:pos="2440" w:val="left"/>
        </w:tabs>
        <w:rPr>
          <w:sz w:val="20"/>
          <w:szCs w:val="20"/>
          <w:color w:val="auto"/>
        </w:rPr>
      </w:pPr>
      <w:r>
        <w:rPr>
          <w:rFonts w:ascii="Times New Roman" w:cs="Times New Roman" w:eastAsia="Times New Roman" w:hAnsi="Times New Roman"/>
          <w:sz w:val="18"/>
          <w:szCs w:val="18"/>
          <w:color w:val="auto"/>
        </w:rPr>
        <w:t>Age 63</w:t>
      </w:r>
      <w:r>
        <w:rPr>
          <w:sz w:val="20"/>
          <w:szCs w:val="20"/>
          <w:color w:val="auto"/>
        </w:rPr>
        <w:tab/>
      </w:r>
      <w:r>
        <w:rPr>
          <w:rFonts w:ascii="Times New Roman" w:cs="Times New Roman" w:eastAsia="Times New Roman" w:hAnsi="Times New Roman"/>
          <w:sz w:val="17"/>
          <w:szCs w:val="17"/>
          <w:color w:val="auto"/>
        </w:rPr>
        <w:t>Manager of Dow Oil &amp; Gas,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business unit of The Dow</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Chemical Company,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Midland, Michigan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Also, Director Ag Growth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International (A global provider</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grain handling and storage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equipment) and Director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Omnova Solutions (A global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provider of emulsion polymers,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specialty chemicals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decorative and functional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surfaces).</w:t>
      </w:r>
    </w:p>
    <w:p>
      <w:pPr>
        <w:spacing w:after="0" w:line="20" w:lineRule="exact"/>
        <w:rPr>
          <w:sz w:val="20"/>
          <w:szCs w:val="20"/>
          <w:color w:val="auto"/>
        </w:rPr>
      </w:pPr>
      <w:r>
        <w:rPr>
          <w:sz w:val="20"/>
          <w:szCs w:val="20"/>
          <w:color w:val="auto"/>
        </w:rPr>
        <w:br w:type="column"/>
      </w:r>
    </w:p>
    <w:p>
      <w:pPr>
        <w:spacing w:after="0"/>
        <w:tabs>
          <w:tab w:leader="none" w:pos="4880" w:val="left"/>
        </w:tabs>
        <w:rPr>
          <w:sz w:val="20"/>
          <w:szCs w:val="20"/>
          <w:color w:val="auto"/>
        </w:rPr>
      </w:pPr>
      <w:r>
        <w:rPr>
          <w:rFonts w:ascii="Times New Roman" w:cs="Times New Roman" w:eastAsia="Times New Roman" w:hAnsi="Times New Roman"/>
          <w:sz w:val="18"/>
          <w:szCs w:val="18"/>
          <w:color w:val="auto"/>
        </w:rPr>
        <w:t>Ms. Giesselman is a retired senior</w:t>
      </w:r>
      <w:r>
        <w:rPr>
          <w:sz w:val="20"/>
          <w:szCs w:val="20"/>
          <w:color w:val="auto"/>
        </w:rPr>
        <w:tab/>
      </w:r>
      <w:r>
        <w:rPr>
          <w:rFonts w:ascii="Times New Roman" w:cs="Times New Roman" w:eastAsia="Times New Roman" w:hAnsi="Times New Roman"/>
          <w:sz w:val="18"/>
          <w:szCs w:val="18"/>
          <w:color w:val="auto"/>
        </w:rPr>
        <w:t>June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 a global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 background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strategic planning,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oversight,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start ups, mergers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acquisitions and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expertise. 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Giesselman has extensive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experience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 background in the oil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 and the agricultural sectors.</w:t>
      </w:r>
    </w:p>
    <w:p>
      <w:pPr>
        <w:spacing w:after="0" w:line="632" w:lineRule="exact"/>
        <w:rPr>
          <w:sz w:val="20"/>
          <w:szCs w:val="20"/>
          <w:color w:val="auto"/>
        </w:rPr>
      </w:pPr>
    </w:p>
    <w:p>
      <w:pPr>
        <w:sectPr>
          <w:pgSz w:w="11900" w:h="16838" w:orient="portrait"/>
          <w:cols w:equalWidth="0" w:num="2">
            <w:col w:w="5060" w:space="720"/>
            <w:col w:w="5680"/>
          </w:cols>
          <w:pgMar w:left="240" w:top="576" w:right="19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3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 and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Johnson is a sitting</w:t>
            </w:r>
          </w:p>
        </w:tc>
        <w:tc>
          <w:tcPr>
            <w:tcW w:w="19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July 2016</w:t>
            </w: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 54</w:t>
            </w:r>
          </w:p>
        </w:tc>
        <w:tc>
          <w:tcPr>
            <w:tcW w:w="3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CFO of a public company.</w:t>
            </w:r>
          </w:p>
        </w:tc>
        <w:tc>
          <w:tcPr>
            <w:tcW w:w="19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Johnson Outdoors, Inc.,</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His strengths include</w:t>
            </w:r>
          </w:p>
        </w:tc>
        <w:tc>
          <w:tcPr>
            <w:tcW w:w="19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Racine, Wisconsin</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financial leadership, new</w:t>
            </w:r>
          </w:p>
        </w:tc>
        <w:tc>
          <w:tcPr>
            <w:tcW w:w="19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 global provider of outdoor</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 development, operational</w:t>
            </w:r>
          </w:p>
        </w:tc>
        <w:tc>
          <w:tcPr>
            <w:tcW w:w="19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recreation products).</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restructuring , cost saving and</w:t>
            </w:r>
          </w:p>
        </w:tc>
        <w:tc>
          <w:tcPr>
            <w:tcW w:w="1980" w:type="dxa"/>
            <w:vAlign w:val="bottom"/>
          </w:tcPr>
          <w:p>
            <w:pPr>
              <w:spacing w:after="0"/>
              <w:rPr>
                <w:sz w:val="18"/>
                <w:szCs w:val="18"/>
                <w:color w:val="auto"/>
              </w:rPr>
            </w:pPr>
          </w:p>
        </w:tc>
      </w:tr>
      <w:tr>
        <w:trPr>
          <w:trHeight w:val="234"/>
        </w:trPr>
        <w:tc>
          <w:tcPr>
            <w:tcW w:w="18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strategic analysis.</w:t>
            </w:r>
          </w:p>
        </w:tc>
        <w:tc>
          <w:tcPr>
            <w:tcW w:w="1980" w:type="dxa"/>
            <w:vAlign w:val="bottom"/>
          </w:tcPr>
          <w:p>
            <w:pPr>
              <w:spacing w:after="0"/>
              <w:rPr>
                <w:sz w:val="20"/>
                <w:szCs w:val="20"/>
                <w:color w:val="auto"/>
              </w:rPr>
            </w:pPr>
          </w:p>
        </w:tc>
      </w:tr>
      <w:tr>
        <w:trPr>
          <w:trHeight w:val="729"/>
        </w:trPr>
        <w:tc>
          <w:tcPr>
            <w:tcW w:w="1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1980" w:type="dxa"/>
            <w:vAlign w:val="bottom"/>
          </w:tcPr>
          <w:p>
            <w:pPr>
              <w:spacing w:after="0"/>
              <w:rPr>
                <w:sz w:val="24"/>
                <w:szCs w:val="24"/>
                <w:color w:val="auto"/>
              </w:rPr>
            </w:pPr>
          </w:p>
        </w:tc>
      </w:tr>
      <w:tr>
        <w:trPr>
          <w:trHeight w:val="105"/>
        </w:trPr>
        <w:tc>
          <w:tcPr>
            <w:tcW w:w="18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980" w:type="dxa"/>
            <w:vAlign w:val="bottom"/>
          </w:tcPr>
          <w:p>
            <w:pPr>
              <w:spacing w:after="0"/>
              <w:rPr>
                <w:sz w:val="9"/>
                <w:szCs w:val="9"/>
                <w:color w:val="auto"/>
              </w:rPr>
            </w:pPr>
          </w:p>
        </w:tc>
      </w:tr>
      <w:tr>
        <w:trPr>
          <w:trHeight w:val="61"/>
        </w:trPr>
        <w:tc>
          <w:tcPr>
            <w:tcW w:w="1880" w:type="dxa"/>
            <w:vAlign w:val="bottom"/>
            <w:shd w:val="clear" w:color="auto" w:fill="808080"/>
          </w:tcPr>
          <w:p>
            <w:pPr>
              <w:spacing w:after="0"/>
              <w:rPr>
                <w:sz w:val="5"/>
                <w:szCs w:val="5"/>
                <w:color w:val="auto"/>
              </w:rPr>
            </w:pPr>
          </w:p>
        </w:tc>
        <w:tc>
          <w:tcPr>
            <w:tcW w:w="3260" w:type="dxa"/>
            <w:vAlign w:val="bottom"/>
            <w:shd w:val="clear" w:color="auto" w:fill="808080"/>
          </w:tcPr>
          <w:p>
            <w:pPr>
              <w:spacing w:after="0"/>
              <w:rPr>
                <w:sz w:val="5"/>
                <w:szCs w:val="5"/>
                <w:color w:val="auto"/>
              </w:rPr>
            </w:pPr>
          </w:p>
        </w:tc>
        <w:tc>
          <w:tcPr>
            <w:tcW w:w="43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3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1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120" w:type="dxa"/>
            <w:vAlign w:val="bottom"/>
          </w:tcPr>
          <w:p>
            <w:pPr>
              <w:spacing w:after="0"/>
              <w:rPr>
                <w:sz w:val="18"/>
                <w:szCs w:val="18"/>
                <w:color w:val="auto"/>
              </w:rPr>
            </w:pPr>
          </w:p>
        </w:tc>
        <w:tc>
          <w:tcPr>
            <w:tcW w:w="3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Served as Director</w:t>
            </w:r>
          </w:p>
        </w:tc>
      </w:tr>
      <w:tr>
        <w:trPr>
          <w:trHeight w:val="234"/>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5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1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3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Continuously Since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DIRECTORS WHOSE TERMS EXPIRE IN 2019:</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John H. Batten</w:t>
      </w:r>
      <w:r>
        <w:rPr>
          <w:sz w:val="20"/>
          <w:szCs w:val="20"/>
          <w:color w:val="auto"/>
        </w:rPr>
        <w:tab/>
      </w:r>
      <w:r>
        <w:rPr>
          <w:rFonts w:ascii="Times New Roman" w:cs="Times New Roman" w:eastAsia="Times New Roman" w:hAnsi="Times New Roman"/>
          <w:sz w:val="17"/>
          <w:szCs w:val="17"/>
          <w:color w:val="auto"/>
        </w:rPr>
        <w:t>President and</w:t>
      </w:r>
    </w:p>
    <w:p>
      <w:pPr>
        <w:spacing w:after="0" w:line="27" w:lineRule="exact"/>
        <w:rPr>
          <w:sz w:val="20"/>
          <w:szCs w:val="20"/>
          <w:color w:val="auto"/>
        </w:rPr>
      </w:pPr>
    </w:p>
    <w:p>
      <w:pPr>
        <w:ind w:left="180"/>
        <w:spacing w:after="0"/>
        <w:tabs>
          <w:tab w:leader="none" w:pos="2440" w:val="left"/>
        </w:tabs>
        <w:rPr>
          <w:sz w:val="20"/>
          <w:szCs w:val="20"/>
          <w:color w:val="auto"/>
        </w:rPr>
      </w:pPr>
      <w:r>
        <w:rPr>
          <w:rFonts w:ascii="Times New Roman" w:cs="Times New Roman" w:eastAsia="Times New Roman" w:hAnsi="Times New Roman"/>
          <w:sz w:val="18"/>
          <w:szCs w:val="18"/>
          <w:color w:val="auto"/>
        </w:rPr>
        <w:t>Age 52</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since July 2013;</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formerly Chief Operating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Officer since July 2008,</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and Executive Vice President</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since October 2004.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Mr. Batten is a sitting</w:t>
      </w:r>
      <w:r>
        <w:rPr>
          <w:sz w:val="20"/>
          <w:szCs w:val="20"/>
          <w:color w:val="auto"/>
        </w:rPr>
        <w:tab/>
      </w:r>
      <w:r>
        <w:rPr>
          <w:rFonts w:ascii="Times New Roman" w:cs="Times New Roman" w:eastAsia="Times New Roman" w:hAnsi="Times New Roman"/>
          <w:sz w:val="17"/>
          <w:szCs w:val="17"/>
          <w:color w:val="auto"/>
        </w:rPr>
        <w:t>December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CEO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company. His skill 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strategic and operational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planning, financial oversight,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organizational development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extensive domestic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experience in 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gineered products and a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environment.</w:t>
      </w:r>
    </w:p>
    <w:p>
      <w:pPr>
        <w:spacing w:after="0" w:line="200" w:lineRule="exact"/>
        <w:rPr>
          <w:sz w:val="20"/>
          <w:szCs w:val="20"/>
          <w:color w:val="auto"/>
        </w:rPr>
      </w:pPr>
    </w:p>
    <w:p>
      <w:pPr>
        <w:sectPr>
          <w:pgSz w:w="11900" w:h="16838" w:orient="portrait"/>
          <w:cols w:equalWidth="0" w:num="2">
            <w:col w:w="5060" w:space="720"/>
            <w:col w:w="5640"/>
          </w:cols>
          <w:pgMar w:left="240" w:top="580" w:right="239" w:bottom="1440" w:gutter="0" w:footer="0" w:header="0"/>
          <w:type w:val="continuous"/>
        </w:sectPr>
      </w:pPr>
    </w:p>
    <w:p>
      <w:pPr>
        <w:spacing w:after="0" w:line="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Harold M. Stratton II</w:t>
      </w:r>
      <w:r>
        <w:rPr>
          <w:sz w:val="20"/>
          <w:szCs w:val="20"/>
          <w:color w:val="auto"/>
        </w:rPr>
        <w:tab/>
      </w:r>
      <w:r>
        <w:rPr>
          <w:rFonts w:ascii="Times New Roman" w:cs="Times New Roman" w:eastAsia="Times New Roman" w:hAnsi="Times New Roman"/>
          <w:sz w:val="17"/>
          <w:szCs w:val="17"/>
          <w:color w:val="auto"/>
        </w:rPr>
        <w:t>Chairman of the Board and</w:t>
      </w:r>
    </w:p>
    <w:p>
      <w:pPr>
        <w:spacing w:after="0" w:line="27" w:lineRule="exact"/>
        <w:rPr>
          <w:sz w:val="20"/>
          <w:szCs w:val="20"/>
          <w:color w:val="auto"/>
        </w:rPr>
      </w:pPr>
    </w:p>
    <w:p>
      <w:pPr>
        <w:ind w:left="180"/>
        <w:spacing w:after="0"/>
        <w:tabs>
          <w:tab w:leader="none" w:pos="2440" w:val="left"/>
        </w:tabs>
        <w:rPr>
          <w:sz w:val="20"/>
          <w:szCs w:val="20"/>
          <w:color w:val="auto"/>
        </w:rPr>
      </w:pPr>
      <w:r>
        <w:rPr>
          <w:rFonts w:ascii="Times New Roman" w:cs="Times New Roman" w:eastAsia="Times New Roman" w:hAnsi="Times New Roman"/>
          <w:sz w:val="18"/>
          <w:szCs w:val="18"/>
          <w:color w:val="auto"/>
        </w:rPr>
        <w:t>Age 69</w:t>
      </w:r>
      <w:r>
        <w:rPr>
          <w:sz w:val="20"/>
          <w:szCs w:val="20"/>
          <w:color w:val="auto"/>
        </w:rPr>
        <w:tab/>
      </w:r>
      <w:r>
        <w:rPr>
          <w:rFonts w:ascii="Times New Roman" w:cs="Times New Roman" w:eastAsia="Times New Roman" w:hAnsi="Times New Roman"/>
          <w:sz w:val="17"/>
          <w:szCs w:val="17"/>
          <w:color w:val="auto"/>
        </w:rPr>
        <w:t>retired Chief Executive Officer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Strattec Security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 leading manufacturer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mechanical and electro-mechan-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ical locks, latches, power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opening/closing systems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related security/access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control products for global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automotive manufacturers).</w:t>
      </w:r>
    </w:p>
    <w:p>
      <w:pPr>
        <w:spacing w:after="0" w:line="20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18"/>
          <w:szCs w:val="18"/>
          <w:color w:val="auto"/>
        </w:rPr>
        <w:t>Michael C. Smiley</w:t>
      </w:r>
      <w:r>
        <w:rPr>
          <w:sz w:val="20"/>
          <w:szCs w:val="20"/>
          <w:color w:val="auto"/>
        </w:rPr>
        <w:tab/>
      </w:r>
      <w:r>
        <w:rPr>
          <w:rFonts w:ascii="Times New Roman" w:cs="Times New Roman" w:eastAsia="Times New Roman" w:hAnsi="Times New Roman"/>
          <w:sz w:val="17"/>
          <w:szCs w:val="17"/>
          <w:color w:val="auto"/>
        </w:rPr>
        <w:t>Former Chief Financial Officer,</w:t>
      </w:r>
    </w:p>
    <w:p>
      <w:pPr>
        <w:spacing w:after="0" w:line="27" w:lineRule="exact"/>
        <w:rPr>
          <w:sz w:val="20"/>
          <w:szCs w:val="20"/>
          <w:color w:val="auto"/>
        </w:rPr>
      </w:pPr>
    </w:p>
    <w:p>
      <w:pPr>
        <w:ind w:left="180"/>
        <w:spacing w:after="0"/>
        <w:tabs>
          <w:tab w:leader="none" w:pos="2440" w:val="left"/>
        </w:tabs>
        <w:rPr>
          <w:sz w:val="20"/>
          <w:szCs w:val="20"/>
          <w:color w:val="auto"/>
        </w:rPr>
      </w:pPr>
      <w:r>
        <w:rPr>
          <w:rFonts w:ascii="Times New Roman" w:cs="Times New Roman" w:eastAsia="Times New Roman" w:hAnsi="Times New Roman"/>
          <w:sz w:val="18"/>
          <w:szCs w:val="18"/>
          <w:color w:val="auto"/>
        </w:rPr>
        <w:t>Age 58</w:t>
      </w:r>
      <w:r>
        <w:rPr>
          <w:sz w:val="20"/>
          <w:szCs w:val="20"/>
          <w:color w:val="auto"/>
        </w:rPr>
        <w:tab/>
      </w:r>
      <w:r>
        <w:rPr>
          <w:rFonts w:ascii="Times New Roman" w:cs="Times New Roman" w:eastAsia="Times New Roman" w:hAnsi="Times New Roman"/>
          <w:sz w:val="17"/>
          <w:szCs w:val="17"/>
          <w:color w:val="auto"/>
        </w:rPr>
        <w:t>Zebra Technologies Corp.,</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Lincolnshire, Illinois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 global provider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enterprise asset intelligence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solutions to identify, track,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manage the deployment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critical assets for improved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business efficiency).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Mr. Stratton is Board Chairman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2004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and retired CEO of a public</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company. He is skilled in</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strategic planning, financial</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oversight, compensation</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and organizational matters.</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he has experience</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 international markets and in</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 industry involving complex</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products with</w:t>
            </w:r>
          </w:p>
        </w:tc>
        <w:tc>
          <w:tcPr>
            <w:tcW w:w="20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high engineering content.</w:t>
            </w:r>
          </w:p>
        </w:tc>
        <w:tc>
          <w:tcPr>
            <w:tcW w:w="2020" w:type="dxa"/>
            <w:vAlign w:val="bottom"/>
          </w:tcPr>
          <w:p>
            <w:pPr>
              <w:spacing w:after="0"/>
              <w:rPr>
                <w:sz w:val="20"/>
                <w:szCs w:val="20"/>
                <w:color w:val="auto"/>
              </w:rPr>
            </w:pP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Mr. Smiley is a former CFO of 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2010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public company. His</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competencies include strategic</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planning, financial oversight,</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mergers and acquisitions,</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extensive domestic and</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experience in</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complex manufacturing and</w:t>
            </w:r>
          </w:p>
        </w:tc>
        <w:tc>
          <w:tcPr>
            <w:tcW w:w="20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engineered and technology</w:t>
            </w:r>
          </w:p>
        </w:tc>
        <w:tc>
          <w:tcPr>
            <w:tcW w:w="20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2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060" w:space="720"/>
            <w:col w:w="5640"/>
          </w:cols>
          <w:pgMar w:left="240" w:top="580"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CORPORATION’S NAMED EXECUTIVE OFFICERS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2017 compensation practices and programs for the Named Executive Officers by voting on the following resolution:</w:t>
      </w:r>
    </w:p>
    <w:p>
      <w:pPr>
        <w:spacing w:after="0" w:line="176" w:lineRule="exact"/>
        <w:rPr>
          <w:sz w:val="20"/>
          <w:szCs w:val="20"/>
          <w:color w:val="auto"/>
        </w:rPr>
      </w:pPr>
    </w:p>
    <w:p>
      <w:pPr>
        <w:ind w:left="660" w:right="780"/>
        <w:spacing w:after="0" w:line="317" w:lineRule="auto"/>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compensation paid to the Corporation’s Named Executive Officers, as disclosed pursuant to Item 402 of Regulation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S-K, including the Compensation Discussion and Analysis, compensation tables and narrative discussion, is hereby </w:t>
      </w:r>
      <w:r>
        <w:rPr>
          <w:rFonts w:ascii="Times New Roman" w:cs="Times New Roman" w:eastAsia="Times New Roman" w:hAnsi="Times New Roman"/>
          <w:sz w:val="17"/>
          <w:szCs w:val="17"/>
          <w:b w:val="1"/>
          <w:bCs w:val="1"/>
          <w:color w:val="auto"/>
        </w:rPr>
        <w:t>APPROVED</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and performance stock unit awards that were granted in 2014 subject to a three-year profitability objective expired unvested in 2017, based on the cumulative profitability of the Corporation over the past three fiscal years.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b w:val="1"/>
          <w:bCs w:val="1"/>
          <w:color w:val="auto"/>
        </w:rPr>
        <w:t>PROPOSAL 3: ADVISORY VOTE ON THE FREQUENCY OF THE VOTE ON NAMED EXECUTIVE OFFICER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Board of Directors is also holding a separate, non-binding advisory vote on how frequently the advisory vote on the compensation of the Corporation’s Named Executive Officers (the “Say on Pay” vote) should be held. As set forth on the proxy card, shareholders may vote to have a “Say on Pay” vote every one, two or three years, or they may abstain from voting.</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holding the “Say on Pay” vote EVERY YEAR is the best approach for the Corporation. Holding this vote every year will enhance shareholder communication by providing shareholders a clear, simple way to express their sentiment regarding the Corporation’s executive compensation practices.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shareholder vote is advisory, and therefore not binding on the Corporation. However, the Board of Directors will take the results of the vote into consideration in addressing the frequency of future “Say on Pay” votes.</w:t>
      </w:r>
    </w:p>
    <w:p>
      <w:pPr>
        <w:spacing w:after="0" w:line="15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“EVERY YEAR” AS TO THE FREQUENCY OF THE SHAREHOLDER ADVISORY VOTE ON THE COMPENSATION OF THE CORPORATION’S NAMED EXECUTIVE OFFICERS. UNLESS YOU INDICATE OTHERWISE ON YOUR PROXY, YOUR SHARES WILL BE VOTED IN FAVOR OF AN “EVERY YEAR” FREQUENCY OF THE SAY ON PAY VOTE.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 RATIFICATION OF APPOINTMENT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Audit Committee has selected RSM US LLP (“RSM”) as our independent registered public accounting firm for the fiscal year ending June 30, 2018, including service to our consolidated subsidiaries, following a competitive proposal process involving multiple firms. A representative of RSM will be present at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 PricewaterhouseCoopers LLP (“PwC”) was the Company’s independent registered public accounting firm through the fiscal year ending June 30, 2017. A representative of PwC will be present at the Annual Meeting, will be given the opportunity to make a statement if he or she so desires, and will be available to respond to appropriate questions.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27, 2017, the Company dismissed PwC as its independent registered public accounting firm effective upon the issuance by PwC of their reports on the consolidated financial statements as of and for the year ended June 30, 2017 and the effectiveness of internal control over financial reporting as of June 30, 2017, to be included in the filing of the related Form 10-K. The Company’s decision to change its independent registered public accounting firm was recommended by management and approved by the Audit Committee of the Company’s Board of Directors.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audit reports of PwC on the Company’s consolidated financial statements for the fiscal years ended June 30, 2016 and June 30, 2015 contained no adverse opinion or disclaimer of opinion and were not qualified or modified as to uncertainty, audit scope or accounting principle.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Company’s fiscal years ended June 30, 2016 and June 30, 2015, and for the subsequent interim period through February 27, 2017, (i) there were no “disagreements” (as defined in Item 304(a)(1)(iv) of Regulation S-K) with PwC on any matter of accounting principles or practices, financial statement disclosure or auditing scope or procedure, which disagreements, if not resolved to the satisfaction of PwC, would have caused PwC to make reference thereto in their reports on the consolidated financial statements for such years; and (ii) there were no “reportable events” (as defined in Item 304(a)(1)(v) of Regulation S-K).</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accordance with Item 304(a)(3) of Regulation S-K, the Company provided PwC with a copy of the Company’s Current Report on Form 8-K filed with the U.S. Securities and Exchange Commission (“SEC”) and requested that PwC furnish it with a letter addressed to the SEC stating whether it agrees with the statements made by the Company therein and if not, stating the respects in which it does not agree. A copy of PwC’s letter, dated March 2, 2017, is filed as Exhibit 16.1 to the Company’s Current Report on Form 8-K filed with the SEC on March 2,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February 24, 2017, the Company approved the appointment of RSM US LLP (“RSM”) as its new independent registered public accounting firm, contingent upon completion of RSM's acceptance procedures. RSM subsequently completed its acceptance procedures, and the Company entered into an Audit Engagement Letter with RSM dated April 24, 2017.</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Company’s fiscal years ended June 30, 2016 and June 30, 2015, and for the subsequent interim period through February 24, 2017, neither the Company nor anyone on its behalf consulted RSM regarding (i) the application of accounting principles to a specified transaction, either completed or proposed; or on the type of audit opinion that might be rendered on the consolidated financial statements of the Company, and neither a written report nor oral advice was provided to the Company that RSM concluded was an important factor considered by the Company in reaching a decision as to the accounting, auditing or financial reporting issue; or (ii) any matter that was either the subject of a disagreement as defined in Item 304(a)(1)(iv) of Regulation S-K or a reportable event as described in Item 304(a)(1)(v) of Regulation S-K.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Fees to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Aggregate fees billed or expected to be billed for professional services rendered by PwC in connection with (i) the audit of the Corporation’s consolidated financial statements as of and for the years ended June 30, 2017 and June 30, 2016, including statutory audits of the financial statements of the Corporation’s affiliates, and (ii) the reviews of the Corporation’s quarterly financial statements were $1,335,600 and $1,538,600,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Aggregate fees billed for professional services rendered by PwC for assurance and services reasonably related to the performance of the audit or review of the Corporation’s financial statements not included in audit fees above were $0 and $0 for the years ended June 30, 2017 and 2016,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to the other fees described above, aggregate fees of $64,800 and $84,200 were billed by PwC during the years ended June 30, 2017 and 2016, respectively, pertaining to tax compliance, tax advice, and tax planning. Included in this amount are fees for tax compliance services of $64,800 and $84,200 during the years ended June 30, 2017 and 2016,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June 30, 2017 and 2016, $0 and $0 were billed by PwC for products and services other than those listed above.</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provision of services rendered above that were not related to its audit of the Corporation’s financial statements were at all times compatible with maintaining PricewaterhouseCoopers’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2017, 100% of audit-related, tax and other fees were pre-approved.</w:t>
      </w:r>
    </w:p>
    <w:p>
      <w:pPr>
        <w:spacing w:after="0" w:line="17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THE SELECTION OF RSM US LLP AS OUR INDEPENDENT AUDITORS FOR THE FISCAL YEAR ENDING JUNE 30, 2018. UNLESS YOU INDICATE OTHERWISE, YOUR PROXY WILL BE VOTED "FOR" RATIFICATION.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and/or through appropriate mailings.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has determined that the following Directors are independent within the meaning of SEC regulations, the listing standards of the NASDAQ Stock Market and the Corporation's Guidelines for Corporate Governance: Messrs. Doar, Johnson, Rayburn, Smiley, Stratton and Zimmer, and Ms. Giesselman.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his death on May 6, 2015, Michael E. Batten, the former Chief Executive Officer and the father of then and current Chief Executive Officer Mr. John Batten, served as Chairman of the Board of Directors. The Board of Directors viewed these divided roles as in the best interests of the Corporation, as Mr. J. Batten’s long tenure with the Corporation prepared him well to assume the leadership responsibilities of Chief Executive Officer, and the Board continued to have the historical knowledge and guidance that Mr. M. Batten was able to provide.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Mr. M. Batten’s death, the Board of Directors decided to name Mr. Rayburn, an independent outside director of the Corporation, as Chairman of the Board. The Board determined that this leadership structure is appropriate in light of evolving standards of corporate governance, which place a strong value on having an independent director serve as Chairman, and also in light of Mr. Rayburn’s long tenure on the Board and high standing in the Wisconsin business community.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8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Various committees of the Board also have roles in the oversight of risk management. In particular, the Finance and Risk Management Committee oversees the Company’s risk management framework and strategy, management’s proposed financial policies and actions, and the financial status of the Company’s defined benefit pension plans.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 for Business Conduct and Ethics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Times New Roman" w:cs="Times New Roman" w:eastAsia="Times New Roman" w:hAnsi="Times New Roman"/>
          <w:sz w:val="18"/>
          <w:szCs w:val="18"/>
          <w:u w:val="single" w:color="auto"/>
          <w:color w:val="auto"/>
        </w:rPr>
        <w:t>www.twindisc.com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2017 requiring disclosure under the rules of the Securities and Exchange Commission.</w:t>
      </w:r>
    </w:p>
    <w:p>
      <w:pPr>
        <w:spacing w:after="0" w:line="1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Board Committees; Attendance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Corporation’s Board of Directors met six times during the year ended June 30, 2017. Among incumbent Directors, there was one excused absence from these meetings. The Audit Committee met six times during the year. The Nominating and Governance Committee met two times during the year. The Compensation and Executive Development Committee met four times during the year. The Finance and Risk Management Committee met three times during the year. Each incumbent Director attended at least 75% of the aggregate of the total number of meetings of the Board of Directors and of the Committees on which the Director served.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Committee Functions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has a separately-designated Audit Committee established in accordance with Section 3(a)(58)(A) of the Securities Exchange Act of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charter of the Audit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It was most recently reviewed on May 3, 2017.</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(Chair), Mr. Doar, Ms. Giesselman, Mr. Johnson and Mr. Smiley) qualifies as an “audit committee financial expert” within the meaning of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purpose is to assist the Board of Directors in monitoring the:</w:t>
      </w:r>
    </w:p>
    <w:p>
      <w:pPr>
        <w:spacing w:after="0" w:line="225" w:lineRule="exact"/>
        <w:rPr>
          <w:sz w:val="20"/>
          <w:szCs w:val="20"/>
          <w:color w:val="auto"/>
        </w:rPr>
      </w:pPr>
    </w:p>
    <w:p>
      <w:pPr>
        <w:ind w:left="1140" w:hanging="160"/>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Corporation's financial statements;</w:t>
      </w:r>
    </w:p>
    <w:p>
      <w:pPr>
        <w:spacing w:after="0" w:line="27"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qualifications and independence;</w:t>
      </w:r>
    </w:p>
    <w:p>
      <w:pPr>
        <w:spacing w:after="0" w:line="9"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Corporation's internal audit function and the independent auditors; and</w:t>
      </w:r>
    </w:p>
    <w:p>
      <w:pPr>
        <w:spacing w:after="0" w:line="9"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compliance with legal and regulatory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carrying out these responsibilities, the Audit Committee, among other things:</w:t>
      </w:r>
    </w:p>
    <w:p>
      <w:pPr>
        <w:spacing w:after="0" w:line="225" w:lineRule="exact"/>
        <w:rPr>
          <w:sz w:val="20"/>
          <w:szCs w:val="20"/>
          <w:color w:val="auto"/>
        </w:rPr>
      </w:pPr>
    </w:p>
    <w:p>
      <w:pPr>
        <w:ind w:left="1140" w:right="100" w:hanging="160"/>
        <w:spacing w:after="0" w:line="261" w:lineRule="auto"/>
        <w:tabs>
          <w:tab w:leader="none" w:pos="11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independent auditor for the purpose of preparing and issuing an audit report and to perform related work, and discusses with the independent auditor appropriate staffing and compensation;</w:t>
      </w:r>
    </w:p>
    <w:p>
      <w:pPr>
        <w:ind w:left="1140" w:hanging="160"/>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as necessary or appropriate, independent legal, accounting or other advisors;</w:t>
      </w:r>
    </w:p>
    <w:p>
      <w:pPr>
        <w:spacing w:after="0" w:line="9" w:lineRule="exact"/>
        <w:rPr>
          <w:rFonts w:ascii="Times New Roman" w:cs="Times New Roman" w:eastAsia="Times New Roman" w:hAnsi="Times New Roman"/>
          <w:sz w:val="18"/>
          <w:szCs w:val="18"/>
          <w:color w:val="auto"/>
        </w:rPr>
      </w:pPr>
    </w:p>
    <w:p>
      <w:pPr>
        <w:ind w:left="1140" w:right="140" w:hanging="160"/>
        <w:spacing w:after="0" w:line="250" w:lineRule="auto"/>
        <w:tabs>
          <w:tab w:leader="none" w:pos="11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1140" w:right="100" w:hanging="160"/>
        <w:spacing w:after="0" w:line="250" w:lineRule="auto"/>
        <w:tabs>
          <w:tab w:leader="none" w:pos="11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1140" w:right="20" w:hanging="160"/>
        <w:spacing w:after="0" w:line="250" w:lineRule="auto"/>
        <w:tabs>
          <w:tab w:leader="none" w:pos="11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Times New Roman" w:cs="Times New Roman" w:eastAsia="Times New Roman" w:hAnsi="Times New Roman"/>
          <w:sz w:val="18"/>
          <w:szCs w:val="18"/>
          <w:color w:val="auto"/>
        </w:rPr>
      </w:pPr>
    </w:p>
    <w:p>
      <w:pPr>
        <w:ind w:left="1120" w:hanging="140"/>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management's programs to monitor compliance with the Corporation's Guidelines for Business Conduct and Ethics.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Finance and Risk Management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Finance and Risk Management Committee assists the Board in fulfilling its oversight responsibilities for considering management’s proposed financial policies and actions, and making appropriate recommendations to the Board regarding: debt and capital structure, acquisitions, capital budgets, dividend policy, pension funding, cyber security and other financial and risk management matters. The Committee also oversees the Company’s risk management framework and strategy.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The independence of the Committee is in compliance with SEC regulations, the listing standards of the NASDAQ Stock Market and the Corporation’s Guidelines for Corporate Governance.</w:t>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Shareholder recommendations to the Committee for Director candidates shall follow the following procedures:</w:t>
      </w:r>
    </w:p>
    <w:p>
      <w:pPr>
        <w:spacing w:after="0" w:line="184"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must receive any such shareholder recommendations for Director candidates on or before the last business day in the month of March preceding that year's annual meeting.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recommendation for nomination shall be in writing and shall include the following information: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shareholder, whether an entity or an individual, making the recommendation;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shareholder’s beneficial ownership of the Corporation's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individual recommended for consideration as a Director nominee;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why such recommended candidate would be able to fulfill the duties of a Director;</w:t>
      </w:r>
    </w:p>
    <w:p>
      <w:pPr>
        <w:ind w:left="1300" w:hanging="644"/>
        <w:spacing w:after="0" w:line="250"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how the recommended candidate meets the independence requirements established by the SEC and the NASDAQ Stock Market;</w:t>
      </w: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the recommended candidate's beneficial ownership of the Corporation's securities;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relationships between the recommended candidate and the Corporation which may constitute a conflict of interest; and</w:t>
      </w:r>
    </w:p>
    <w:p>
      <w:pPr>
        <w:ind w:left="1300" w:hanging="644"/>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recommended candidate that would be required to be disclosed in solicitations of proxies for the election of Directors under the Securities Exchange 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7" w:name="page18"/>
    <w:bookmarkEnd w:id="17"/>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for nomination must be sent to the attention of the Committee via the U.S. Mail or by expedited delivery service, addressed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Secretary of Twin Disc, Incorporated</w:t>
      </w:r>
    </w:p>
    <w:p>
      <w:pPr>
        <w:spacing w:after="0" w:line="20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Executive Development Committee</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xml:space="preserve"> - The primary purpose of the Compensation and Executive Development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in accordance with the rules of the NASDAQ Stock Market.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charter of the Compensation and Executive Development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The Corporation last updated the Compensation and Executive Development Committee charter on May 3, 2017.</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Role of Consultants</w:t>
      </w:r>
      <w:r>
        <w:rPr>
          <w:rFonts w:ascii="Times New Roman" w:cs="Times New Roman" w:eastAsia="Times New Roman" w:hAnsi="Times New Roman"/>
          <w:sz w:val="18"/>
          <w:szCs w:val="18"/>
          <w:color w:val="auto"/>
        </w:rPr>
        <w:t xml:space="preserve"> - The Compensation and Executive Development Committee periodically engages an independent consultant to review its compensation program for the officers of the Corporation, in order to ensure market competitiveness. Historically, the Committee engaged an independent compensation consultant for this purpose every two years. Toward the end of FY2013, the Committee engaged Willis Towers Watson (“WTW”), a global human resources consulting firm, for this review for purposes of setting executive compensation for FY2014. WTW provides the Committee with information regarding market compensation practices and alternatives to consider when making compensation decisions for the executives. The Committee did not engage a compensation consultant in connection with setting executive compensation for FY2015, but it did review updated WTW survey information, which was increased by 3% for the base salary information and by 4% for long-term incentive compensation to reflect current compensation trends in the market. For FY2016, the Corporation again engaged WTW to provide a detailed review of the officer’s compensation program. The results of that review were used by the Committee for informational purposes only. Due to a global salary and wage freeze at all operations, the Committee maintained officer salaries at their then-current levels, and in November 2015, all Corporation officers participated in a Racine-based salary reduction program. For FY2017, the Committee did not engage a compensation consultant for review of competitive compensation data. Due to the continuing wage and salary freeze at all operations, all executive officers’ salaries were maintained at their reduced FY2016 levels, with the exception of Mr. Moore who received a 6.4% increase due to his promotion to Executive Vice President, Chief Operating Officer. For FY2018, the Committee did not engage a compensation consultant for a review of competitive compensation data, but used the FY2016 WTW study for reference only in determining officer compensation.</w:t>
      </w:r>
    </w:p>
    <w:p>
      <w:pPr>
        <w:spacing w:after="0" w:line="1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Role of Executive Officers</w:t>
      </w:r>
      <w:r>
        <w:rPr>
          <w:rFonts w:ascii="Times New Roman" w:cs="Times New Roman" w:eastAsia="Times New Roman" w:hAnsi="Times New Roman"/>
          <w:sz w:val="18"/>
          <w:szCs w:val="18"/>
          <w:color w:val="auto"/>
        </w:rPr>
        <w:t xml:space="preserve"> - The Compensation and Executive Development Committee makes all compensation decisions for the President and CEO, Mr. J. Batten, and approves recommendations for compensation actions for all other elected officers of the Corporation. As President and CEO, Mr. J.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President and CEO. It alone determines the salary adjustment, bonus payment and equity awards for Mr. J. Batten.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Compensation Committee Interlocks and Insider Participation</w:t>
      </w:r>
      <w:r>
        <w:rPr>
          <w:rFonts w:ascii="Times New Roman" w:cs="Times New Roman" w:eastAsia="Times New Roman" w:hAnsi="Times New Roman"/>
          <w:sz w:val="18"/>
          <w:szCs w:val="18"/>
          <w:color w:val="auto"/>
        </w:rPr>
        <w:t xml:space="preserve"> – During FY2017, the members of the Compensation and Executive Development Committee were Janet Giesselman (chair), Michael C. Smiley, Harold M. Stratton II and David R. Zimmer. None of the Compensation and Executive Development Committee members are former executive officers of the Corporation. See the “Board Independence” section for additional information concerning Director independence. The Corporation had no “Compensation Committee Interlocks” as described by the SEC during fiscal 2017.</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Committee Membership</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Finance</w:t>
            </w:r>
          </w:p>
        </w:tc>
        <w:tc>
          <w:tcPr>
            <w:tcW w:w="5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 &amp;</w:t>
            </w:r>
          </w:p>
        </w:tc>
        <w:tc>
          <w:tcPr>
            <w:tcW w:w="5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Risk</w:t>
            </w:r>
          </w:p>
        </w:tc>
        <w:tc>
          <w:tcPr>
            <w:tcW w:w="5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w:t>
            </w:r>
          </w:p>
        </w:tc>
        <w:tc>
          <w:tcPr>
            <w:tcW w:w="5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Nominating and</w:t>
            </w:r>
          </w:p>
        </w:tc>
      </w:tr>
      <w:tr>
        <w:trPr>
          <w:trHeight w:val="234"/>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Audit</w:t>
            </w:r>
          </w:p>
        </w:tc>
        <w:tc>
          <w:tcPr>
            <w:tcW w:w="56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Management</w:t>
            </w:r>
          </w:p>
        </w:tc>
        <w:tc>
          <w:tcPr>
            <w:tcW w:w="54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54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r>
      <w:tr>
        <w:trPr>
          <w:trHeight w:val="21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Zimmer</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Stratton</w:t>
            </w:r>
          </w:p>
        </w:tc>
        <w:tc>
          <w:tcPr>
            <w:tcW w:w="5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Giesselman</w:t>
            </w:r>
          </w:p>
        </w:tc>
        <w:tc>
          <w:tcPr>
            <w:tcW w:w="5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Doar</w:t>
            </w: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Doar</w:t>
            </w: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Doar</w:t>
            </w:r>
          </w:p>
        </w:tc>
        <w:tc>
          <w:tcPr>
            <w:tcW w:w="5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Smiley</w:t>
            </w:r>
          </w:p>
        </w:tc>
        <w:tc>
          <w:tcPr>
            <w:tcW w:w="5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Giesselman</w:t>
            </w:r>
          </w:p>
        </w:tc>
      </w:tr>
      <w:tr>
        <w:trPr>
          <w:trHeight w:val="216"/>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Johnson</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Johnson</w:t>
            </w:r>
          </w:p>
        </w:tc>
        <w:tc>
          <w:tcPr>
            <w:tcW w:w="54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Stratton</w:t>
            </w:r>
          </w:p>
        </w:tc>
        <w:tc>
          <w:tcPr>
            <w:tcW w:w="54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Johnson</w:t>
            </w: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Giesselman</w:t>
            </w: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Smiley</w:t>
            </w:r>
          </w:p>
        </w:tc>
        <w:tc>
          <w:tcPr>
            <w:tcW w:w="5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Zimmer</w:t>
            </w:r>
          </w:p>
        </w:tc>
        <w:tc>
          <w:tcPr>
            <w:tcW w:w="5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Stratton</w:t>
            </w:r>
          </w:p>
        </w:tc>
      </w:tr>
      <w:tr>
        <w:trPr>
          <w:trHeight w:val="216"/>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Smiley</w:t>
            </w:r>
          </w:p>
        </w:tc>
        <w:tc>
          <w:tcPr>
            <w:tcW w:w="5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Zimmer</w:t>
            </w:r>
          </w:p>
        </w:tc>
        <w:tc>
          <w:tcPr>
            <w:tcW w:w="5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with the exception of Mr. Doar, attended last year's annual meeting. The Board of Directors conducts its annual meeting in conjunction with the Annual Meeting of Shareholders at the Corporation's headquarters.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62" w:lineRule="exact"/>
        <w:rPr>
          <w:sz w:val="20"/>
          <w:szCs w:val="20"/>
          <w:color w:val="auto"/>
        </w:rPr>
      </w:pPr>
    </w:p>
    <w:p>
      <w:pPr>
        <w:ind w:firstLine="8"/>
        <w:spacing w:after="0" w:line="282" w:lineRule="auto"/>
        <w:tabs>
          <w:tab w:leader="none" w:pos="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Chairman of the Board of Directors</w:t>
      </w:r>
    </w:p>
    <w:p>
      <w:pPr>
        <w:spacing w:after="0" w:line="207" w:lineRule="exact"/>
        <w:rPr>
          <w:sz w:val="20"/>
          <w:szCs w:val="20"/>
          <w:color w:val="auto"/>
        </w:rPr>
      </w:pPr>
    </w:p>
    <w:p>
      <w:pPr>
        <w:ind w:firstLine="8"/>
        <w:spacing w:after="0" w:line="282" w:lineRule="auto"/>
        <w:tabs>
          <w:tab w:leader="none" w:pos="4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[Name of Individual Director]</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From time to time, the Board may change the process by which stockholders may communicate with the Board or its members. Please refer to the Corporation's website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any changes to this process.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describes the material components of compensation paid to the Corporation’s Chief Executive Officer, Chief Financial Officer, and its three most highly compensated executive officers for the fiscal year ended June 30, 2017 (the “Named Executive Officers”). For the fiscal year ended June 30, 2017, the Named Executive Officers are: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 Batten, President and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 Knutson, Vice President – Finance, Chief Financial Officer, Treasurer and Secretary;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Malcolm F. Moore, Executive Vice President, Chief Operating Officer;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J. Nelson, Vice President, Operations;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J. Bratel, Vice President – Sales and Applied Technology.</w:t>
      </w:r>
    </w:p>
    <w:p>
      <w:pPr>
        <w:spacing w:after="0" w:line="20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we will also explain the objectives of our compensation programs, why we pay the compensation we do and how that fits with the Corporation’s commitment to provide value to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Summary</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85"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38" w:lineRule="exact"/>
        <w:rPr>
          <w:sz w:val="20"/>
          <w:szCs w:val="20"/>
          <w:color w:val="auto"/>
        </w:rPr>
      </w:pPr>
    </w:p>
    <w:p>
      <w:pPr>
        <w:ind w:left="660" w:right="14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left="660" w:right="28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stock ownership guidelines for each of its Named Executive Officers, thereby aligning their long-term interests with those of shareholders.</w:t>
      </w:r>
    </w:p>
    <w:p>
      <w:pPr>
        <w:spacing w:after="0" w:line="161"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FY2017, the Corporation added earnings per share as one of the performance goals in its long-term incentive awards. The Corporation also awarded only performance stock and restricted stock as long-term incentive awards in FY2017, in order to promote additional equity ownership beyond the performance period for the long-term incentive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also maintains compensation practices that we believe are consistent with good governance. For example:</w:t>
      </w:r>
    </w:p>
    <w:p>
      <w:pPr>
        <w:spacing w:after="0" w:line="225" w:lineRule="exact"/>
        <w:rPr>
          <w:sz w:val="20"/>
          <w:szCs w:val="20"/>
          <w:color w:val="auto"/>
        </w:rPr>
      </w:pPr>
    </w:p>
    <w:p>
      <w:pPr>
        <w:ind w:left="660" w:right="5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long-term incentive compensation plan (i) is designed to maximize the deduction for performance-based compensation under Section 162(m) of the Internal Revenue Code; (ii) prohibits repricing of stock options and the repurchase of underwater options; (iii) limits the recycling of shares that may be awarded under the plan; (iv) states that neither the Corporation nor the Committee may exercise discretion to increase awards that are intended to qualify as performance-based compensation under Section 162(m) of the Internal Revenue Code; and (v) states that all awards are subject to the clawback requirements of any applicable law and the listing standards of the NASDAQ Stock Market, and provides mechanisms for the Corporation to enforce its recovery rights.</w:t>
      </w:r>
    </w:p>
    <w:p>
      <w:pPr>
        <w:spacing w:after="0" w:line="18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considers internal pay equity when making compensation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Corporate Incentive Plan is performance-based and has caps on bonus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annually evaluates the Corporation’s compensation programs to ensure that they do not encourage unnecessary risk-taking.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brief overview of the highlights of the compensation received by the Corporation’s Named Executive Officers for the fiscal year that ended June 30, 2017:</w:t>
      </w:r>
    </w:p>
    <w:p>
      <w:pPr>
        <w:spacing w:after="0" w:line="162" w:lineRule="exact"/>
        <w:rPr>
          <w:sz w:val="20"/>
          <w:szCs w:val="20"/>
          <w:color w:val="auto"/>
        </w:rPr>
      </w:pPr>
    </w:p>
    <w:p>
      <w:pPr>
        <w:ind w:left="660" w:right="8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beginning of FY2016, due to a continued weakening of the Corporation’s performance, the Committee decided to reduce the base salaries of all of the Corporation’s Named Executive Officers. All Named Executive Officers received a 6% reduction in base salary, except the CEO and President, whose base salary was reduced 10%. In November 2016, the Committee decided to reinstate 50% of the salary reduction to the Named Executive Officers, after one year of a reduced salary. In May of 2017, all salaries were reinstated to their 2014 levels after eighteen months of wage reductions.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ind w:left="660" w:right="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achieved above its threshold EBITDA goal under the Corporate Incentive Plan (“CIP”) for FY2017, but did not achieve its sales or trade working capital goals. Certain Named Executive Officers also attained their individual goals under the CIP. As a result, bonus payments were made to each of the Named Executive Officers under the CIP, but below the target bonus percentage.</w:t>
      </w:r>
    </w:p>
    <w:p>
      <w:pPr>
        <w:spacing w:after="0" w:line="1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did not achieve the cumulative profitability objective for performance stock and performance stock units granted in 2014 under the Twin Disc, Incorporated 2010 Long-Term Incentive Compensation Plan. As a result, the performance stock and performance stock unit awards did not vest.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the Corporation held its sixth shareholder advisory vote on executive compensation at its October 28, 2016, Annual Meeting of Shareholders. For the sixth year in a row, the shareholders overwhelmingly approved the say on pay proposal, with more than 96% of the votes cast in favor of the compensation paid to the Corporation’s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and Executive Development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Times New Roman" w:cs="Times New Roman" w:eastAsia="Times New Roman" w:hAnsi="Times New Roman"/>
          <w:sz w:val="18"/>
          <w:szCs w:val="18"/>
          <w:u w:val="single" w:color="auto"/>
          <w:color w:val="auto"/>
        </w:rPr>
        <w:t>http://ir.twindisc.com/corporate-governance.cfm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Philosophy and Objectives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President and CEO, two times annual base salary for the CFO and Executive Vice President and COO, and one times annual base salary for the remainder of the officer team. Officers have a period of four years to attain their targeted ownership level. The Committee monitors compliance with this guideline, using its discretion to address non-attainment issues. Compliance is reviewed annually.</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long-term compensation amounts and plans to meet the deductibility requirements under this provision.</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Role of Executive Officers in Compensation Decisions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Committee makes all compensation decisions for the President and CEO (Mr. Batten) and approves recommendations for compensation actions for all other elected officers of the Corporation.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President and CEO, Mr. Batten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Committee reviews the performance of the President and CEO. It alone determines the salary adjustment, bonus payment and equity compensation awards for Mr. Batten.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Setting Executive Compensation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76" w:lineRule="exact"/>
        <w:rPr>
          <w:sz w:val="20"/>
          <w:szCs w:val="20"/>
          <w:color w:val="auto"/>
        </w:rPr>
      </w:pPr>
    </w:p>
    <w:p>
      <w:pPr>
        <w:ind w:right="260"/>
        <w:spacing w:after="0" w:line="210" w:lineRule="auto"/>
        <w:rPr>
          <w:sz w:val="20"/>
          <w:szCs w:val="20"/>
          <w:color w:val="auto"/>
        </w:rPr>
      </w:pPr>
      <w:r>
        <w:rPr>
          <w:rFonts w:ascii="Times New Roman" w:cs="Times New Roman" w:eastAsia="Times New Roman" w:hAnsi="Times New Roman"/>
          <w:sz w:val="18"/>
          <w:szCs w:val="18"/>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percentile) for companies of a similar size and industry. The Committee believes an executive’s target compensation is competitive if it falls within a band of plus or minus 15% from the competitive median of</w:t>
      </w:r>
    </w:p>
    <w:p>
      <w:pPr>
        <w:spacing w:after="0" w:line="3"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a compensation consultant has been engaged to conduct a detailed review of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8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For FY2014, the Committee engaged Willis Towers Watson (formerly Towers Watson), a global human resources firm, to conduct a detailed review of competitive compensation levels for similar positions in similar industries. For this analysis, Willis Towers Watson referenced several data sources, including:</w:t>
      </w:r>
    </w:p>
    <w:p>
      <w:pPr>
        <w:spacing w:after="0" w:line="13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Towers Watson Compensation Databank (CDB)</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Towers Watson U.S. Top Management Compensation Study</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spacing w:after="0" w:line="266" w:lineRule="auto"/>
        <w:rPr>
          <w:sz w:val="20"/>
          <w:szCs w:val="20"/>
          <w:color w:val="auto"/>
        </w:rPr>
      </w:pPr>
      <w:r>
        <w:rPr>
          <w:rFonts w:ascii="Times New Roman" w:cs="Times New Roman" w:eastAsia="Times New Roman" w:hAnsi="Times New Roman"/>
          <w:sz w:val="18"/>
          <w:szCs w:val="18"/>
          <w:color w:val="auto"/>
        </w:rPr>
        <w:t>Relative to each of the data sources, Willis Towers Watson referenced a broad sample of both general industry companies with revenues of less than $1 billion (CDB survey) and durable goods manufacturing companies with revenues between $100 million and $450 million (U.S. Top Management Compensation Study). The complete survey participant lists for each of the data sources are provided in Appendix B.</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received information on the 25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percentiles of each element of executive compensation for comparable executive</w:t>
      </w:r>
    </w:p>
    <w:p>
      <w:pPr>
        <w:ind w:right="40"/>
        <w:spacing w:after="0" w:line="254" w:lineRule="auto"/>
        <w:rPr>
          <w:sz w:val="20"/>
          <w:szCs w:val="20"/>
          <w:color w:val="auto"/>
        </w:rPr>
      </w:pPr>
      <w:r>
        <w:rPr>
          <w:rFonts w:ascii="Times New Roman" w:cs="Times New Roman" w:eastAsia="Times New Roman" w:hAnsi="Times New Roman"/>
          <w:sz w:val="18"/>
          <w:szCs w:val="18"/>
          <w:color w:val="auto"/>
        </w:rPr>
        <w:t>positions. Because the samples included companies of similar size, only tabular data was used in the analysis, and not regression analysis as had been used in past analyses.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FY2014, the base salaries of Messrs. Batten and Knutson were set within 10% of the competitive median. The base salary of Mr. Bratel was set slightly below 25% of the competitive median due to his lack of tenure in the new position. The target annual incentive bonus as a percent of base salary was set at the competitive median for each of Messrs. Batten, Knutson and Bratel. The target total cash compensation (consisting of base salary and annual incentive bonus payments) and target total direct compensation (consisting of base salary, annual incentive bonus and long-term incentive payments) of each named executive officer for FY2014 was set within 15% of the competitive median, with the exception of Mr. Bratel, whose target total cash compensation and target total direct compensation were 24% and 20% below the competitive median, respectively. In addition, the target total direct compensation of Mr. Batten was 17% higher than the competitive median due to several factors that included his impending promotion to CEO, the value of the position to the organization and internal equity considerations.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FY2015, the Committee followed the above-described historic practice and did not engage a compensation consultant to conduct a detailed review of competitive compensation data. It reviewed updated Willis Towers Watson survey information which was increased by 3% for the base salary information and by 4% for long-term incentive compensation, to reflect compensation trends in the market. It used that information, along with the recommendations from Mr. Batten as described above, the company-wide merit pool, and the FY2014 shareholder advisory vote on executive compensation, in determining the elements of each executive’s compensation package for FY2015.</w:t>
      </w:r>
    </w:p>
    <w:p>
      <w:pPr>
        <w:spacing w:after="0" w:line="18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For FY2016, the Corporation again engaged Willis Towers Watson to provide a detailed review of the officer’s compensation program. The results of that review were used by the Committee for informational purposes only. Due to a global salary and wage freeze at all operations, the Committee voted to maintain officer salaries at their then-current levels. In November of 2015, due to continued weakening in the Corporation’s performance, all company officers participated in a Racine-based salary reduction program. Named Executive Officers received a 6% reduction in their base salary, except for Mr. Batten, who received a 10% reduction.</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FY2017, the Committee did not engage a compensation consultant for review of competitive compensation data. Due to the continuing wage and salary freeze at all operations, all Named Executive Officers’ salaries were maintained at their reduced FY2016 levels, with the exception of Mr. Moore who received a 6.4% increase due to his promotion to Executive Vice President, Chief Operating Officer. Mr. Moore’s salary increase was recommended by Mr. Batten and approved by the Committee. Willis Towers Watson provided updated COO salary information for companies of similar size, which was used for informational purposes only and not to benchmark Mr. Moore’s salary to a specific target. In November 2016, salaries were partially reinstated and in May 2017, all reductions in salaries were fully reinstated. When Mr. Nelson was hired to his position as Vice President – Operations in December 2016, his base salary, target annual incentive bonus and long-term incentive bonus were determined by management, in consultation with members of the Committee, based on internal pay equities and through negotiations with Mr. Nelson.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For FY2018, the Committee did not engage a compensation consultant for review of competitive compensation data. The Committee referred to the Company’s FY2018 merit guidelines, using the FY2016 Willis Towers Watson study for reference only. Messrs. Batten and Moores’ salaries were maintained at their restored FY2017 levels, Mr. Knutson received a 3.0% increase, and Messrs. Nelson and Bratel each received a 2.2%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57"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8"/>
          <w:szCs w:val="18"/>
          <w:color w:val="auto"/>
        </w:rPr>
        <w:t>Base salaries are reviewed each year by the Committee. As discussed above, salary levels have historically been compared to the market median (i.e. 50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percentile), as determined by using survey data and as determined by external consultants, in order to ensure executives are paid a competitive salary, aiding in attraction and retention. However, due to the Racine-based salary reduction program referenced earlier, the Committee has not engaged an external compensation consultant to conduct a detailed review of competitive compensation data since setting compensation for FY2014.</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Committee determines and approves base salary adjustments for the President and CEO, and approves base salary adjustments for the members of the executive officer team based on the recommendations from the President and CEO. Generally, executive base salaries are increased at rates comparable to the increases provided at other comparable companies and are at or near market levels.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July 2015, the Committee decided to maintain base salaries at then-current levels in FY2016 for the Named Executive Officers due to a global salary and wage freeze at all operations. Effective in November 2015, the Named Executive Officers participated in a Racine-based salary reduction program. All Officers received a 6% reduction in base salary, with the exception of Mr. Batten who received a 10% reduction.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FY2017, the Committee maintained all Named Executive Officers’ then-current base salaries, with the exception of Mr. Moore, at their current levels, due to a continuing salary and wage freeze at all operations. Mr. Moore received a 6.4% salary increase due to his promotion to Executive Vice President, Chief Operating Officer.</w:t>
      </w:r>
    </w:p>
    <w:p>
      <w:pPr>
        <w:spacing w:after="0" w:line="176"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In November 2016, the Committee decided to reinstate 50% of the salary reductions to the Named Executive Officers, after one year of reduced salaries. In May of 2017, the Committee reinstated the remainder of the salary reductions for the Named Executive Officers, after eighteen months of reduced salaries.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For FY2018, the Committee maintained the base salaries of Messrs Batten and Moore, and increased the base salaries of Mr. Knutson by 3.0% and Messrs.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Nelson and Bratel by 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FY2017, the target bonuses as a percentage of base salary were set at 65% for Mr. Batten and 50% for Messrs. Knutson, Moore, Nelson and Bratel. The CIP targets for the Named Executive Officers were set as listed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Objective</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w:t>
            </w:r>
          </w:p>
        </w:tc>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4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Results</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6"/>
                <w:szCs w:val="16"/>
                <w:color w:val="auto"/>
              </w:rPr>
            </w:pPr>
          </w:p>
        </w:tc>
        <w:tc>
          <w:tcPr>
            <w:tcW w:w="3900" w:type="dxa"/>
            <w:vAlign w:val="bottom"/>
            <w:gridSpan w:val="3"/>
            <w:shd w:val="clear" w:color="auto" w:fill="CCEEFF"/>
          </w:tcPr>
          <w:p>
            <w:pPr>
              <w:ind w:left="240"/>
              <w:spacing w:after="0" w:line="191" w:lineRule="exact"/>
              <w:rPr>
                <w:sz w:val="20"/>
                <w:szCs w:val="20"/>
                <w:color w:val="auto"/>
              </w:rPr>
            </w:pPr>
            <w:r>
              <w:rPr>
                <w:rFonts w:ascii="Times New Roman" w:cs="Times New Roman" w:eastAsia="Times New Roman" w:hAnsi="Times New Roman"/>
                <w:sz w:val="18"/>
                <w:szCs w:val="18"/>
                <w:color w:val="auto"/>
              </w:rPr>
              <w:t>Target:  $8,051,000</w:t>
            </w:r>
          </w:p>
        </w:tc>
        <w:tc>
          <w:tcPr>
            <w:tcW w:w="4380" w:type="dxa"/>
            <w:vAlign w:val="bottom"/>
            <w:gridSpan w:val="3"/>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$3,843,000</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Threshold: $2,160,400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6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$20,000,000</w:t>
            </w:r>
          </w:p>
        </w:tc>
        <w:tc>
          <w:tcPr>
            <w:tcW w:w="3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3500" w:type="dxa"/>
            <w:vAlign w:val="bottom"/>
            <w:tcBorders>
              <w:bottom w:val="single" w:sz="8" w:color="auto"/>
            </w:tcBorders>
            <w:shd w:val="clear" w:color="auto" w:fill="CCEEFF"/>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Trade Working Capital</w:t>
            </w:r>
          </w:p>
        </w:tc>
        <w:tc>
          <w:tcPr>
            <w:tcW w:w="5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6"/>
                <w:szCs w:val="16"/>
                <w:color w:val="auto"/>
              </w:rPr>
            </w:pPr>
          </w:p>
        </w:tc>
        <w:tc>
          <w:tcPr>
            <w:tcW w:w="3900" w:type="dxa"/>
            <w:vAlign w:val="bottom"/>
            <w:gridSpan w:val="3"/>
          </w:tcPr>
          <w:p>
            <w:pPr>
              <w:ind w:left="240"/>
              <w:spacing w:after="0" w:line="191" w:lineRule="exact"/>
              <w:rPr>
                <w:sz w:val="20"/>
                <w:szCs w:val="20"/>
                <w:color w:val="auto"/>
              </w:rPr>
            </w:pPr>
            <w:r>
              <w:rPr>
                <w:rFonts w:ascii="Times New Roman" w:cs="Times New Roman" w:eastAsia="Times New Roman" w:hAnsi="Times New Roman"/>
                <w:sz w:val="18"/>
                <w:szCs w:val="18"/>
                <w:color w:val="auto"/>
              </w:rPr>
              <w:t>Target = 46.30%</w:t>
            </w:r>
          </w:p>
        </w:tc>
        <w:tc>
          <w:tcPr>
            <w:tcW w:w="88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8"/>
                <w:szCs w:val="18"/>
                <w:color w:val="auto"/>
              </w:rPr>
              <w:t>50.6%</w:t>
            </w:r>
          </w:p>
        </w:tc>
        <w:tc>
          <w:tcPr>
            <w:tcW w:w="3500" w:type="dxa"/>
            <w:vAlign w:val="bottom"/>
          </w:tcPr>
          <w:p>
            <w:pPr>
              <w:spacing w:after="0"/>
              <w:rPr>
                <w:sz w:val="16"/>
                <w:szCs w:val="16"/>
                <w:color w:val="auto"/>
              </w:rPr>
            </w:pP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Sales)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Threshold = 49.30%</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Maximum = 43.30%</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Sales Revenue</w:t>
            </w:r>
          </w:p>
        </w:tc>
        <w:tc>
          <w:tcPr>
            <w:tcW w:w="520" w:type="dxa"/>
            <w:vAlign w:val="bottom"/>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6"/>
                <w:szCs w:val="16"/>
                <w:color w:val="auto"/>
              </w:rPr>
            </w:pPr>
          </w:p>
        </w:tc>
        <w:tc>
          <w:tcPr>
            <w:tcW w:w="3900" w:type="dxa"/>
            <w:vAlign w:val="bottom"/>
            <w:gridSpan w:val="3"/>
            <w:shd w:val="clear" w:color="auto" w:fill="CCEEFF"/>
          </w:tcPr>
          <w:p>
            <w:pPr>
              <w:ind w:left="240"/>
              <w:spacing w:after="0" w:line="191" w:lineRule="exact"/>
              <w:rPr>
                <w:sz w:val="20"/>
                <w:szCs w:val="20"/>
                <w:color w:val="auto"/>
              </w:rPr>
            </w:pPr>
            <w:r>
              <w:rPr>
                <w:rFonts w:ascii="Times New Roman" w:cs="Times New Roman" w:eastAsia="Times New Roman" w:hAnsi="Times New Roman"/>
                <w:sz w:val="18"/>
                <w:szCs w:val="18"/>
                <w:color w:val="auto"/>
              </w:rPr>
              <w:t>Target = $200,533,000</w:t>
            </w:r>
          </w:p>
        </w:tc>
        <w:tc>
          <w:tcPr>
            <w:tcW w:w="4380" w:type="dxa"/>
            <w:vAlign w:val="bottom"/>
            <w:gridSpan w:val="3"/>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$168,182,000</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Threshold = $185,000,000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 $235,000,000</w:t>
            </w: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Strategic Objectives</w:t>
            </w:r>
          </w:p>
        </w:tc>
        <w:tc>
          <w:tcPr>
            <w:tcW w:w="5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7"/>
                <w:szCs w:val="17"/>
                <w:color w:val="auto"/>
              </w:rPr>
            </w:pPr>
          </w:p>
        </w:tc>
        <w:tc>
          <w:tcPr>
            <w:tcW w:w="390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Discretionary award based on select individual</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initiatives for FY2017</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for purposes of bonus measurement to the Corporation’s net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(6,115,000)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Tax Expense (Benefit)</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(3,414,000)</w:t>
            </w:r>
          </w:p>
        </w:tc>
      </w:tr>
      <w:tr>
        <w:trPr>
          <w:trHeight w:val="216"/>
        </w:trPr>
        <w:tc>
          <w:tcPr>
            <w:tcW w:w="5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7,017,000</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&amp; Impairment Charges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4,437,000</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1,615,000</w:t>
            </w:r>
          </w:p>
        </w:tc>
        <w:tc>
          <w:tcPr>
            <w:tcW w:w="8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amounts payable based on achievement of individual initiatives were discretionary and were largely based on qualitative performance goals that varied among the Named Executive Officers. For FY2017, the Named Executive Officers received payments under this portion of the CIP in the range of 60% - 85% of target.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right="300"/>
        <w:spacing w:after="0" w:line="266" w:lineRule="auto"/>
        <w:rPr>
          <w:sz w:val="20"/>
          <w:szCs w:val="20"/>
          <w:color w:val="auto"/>
        </w:rPr>
      </w:pPr>
      <w:r>
        <w:rPr>
          <w:rFonts w:ascii="Times New Roman" w:cs="Times New Roman" w:eastAsia="Times New Roman" w:hAnsi="Times New Roman"/>
          <w:sz w:val="18"/>
          <w:szCs w:val="18"/>
          <w:color w:val="auto"/>
        </w:rPr>
        <w:t>An executive’s incentive payment under the CIP may be increased or decreased by up to 20%, at the discretion of the Committee, based on the recommendations of the President and CEO, if the executive’s individual performance goals are either exceeded or not achieved and other factors deemed important by the Committee. The Committee alone makes decisions regarding adjustments to the President and CEO’s annual incentive award.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FY2018, the Committee reviewed and approved the performance goals recommended for the CIP. The CIP will pay out if certain EBITDA, trade working capital, sales growth, and strategic objectives (individual achievement) are achieved.</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Committee reviewed the recommendations and approved the target bonus percentages for each officer. The Committee discussed and determined the bonus percentage amount for Mr. Batten. For FY2018, the target bonus percentage of base salary will be 75% for Mr. Batten and 50% for Messrs. Knutson, Moore, Nelson and Bratel.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Twin Disc, Incorporated 2010 Long-Term Incentive Compensation Plan (“2010 LTI Plan”), which was amended and restated on July 31, 2015 and approved by the Corporation’s shareholders at the annual meeting in October 2015,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granting of performance stock encourages a pay for performance approach, aligning the interests of the executive with the economic goals of the Corporation and the shareholders. 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FY2017, all of the Named Executive Officers received awards of performance stock. The Committee determined that the long-term incentive awards granted in FY2017 would use a combination of the following performance goals and weightings for the three-year performance period ending in FY2019: (i) return on invested capital (40%); average annual sales revenue (30%), and (iii) earnings per share (30%). In addition, the possible range of long-term incentive payments for each performance goal was established as 50% - 150% of the target. These shares will vest on June 30, 2019 if the specific measures are achieved within the payout range.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9" w:name="page30"/>
    <w:bookmarkEnd w:id="29"/>
    <w:p>
      <w:pPr>
        <w:ind w:right="340"/>
        <w:spacing w:after="0" w:line="282" w:lineRule="auto"/>
        <w:rPr>
          <w:sz w:val="20"/>
          <w:szCs w:val="20"/>
          <w:color w:val="auto"/>
        </w:rPr>
      </w:pPr>
      <w:r>
        <w:rPr>
          <w:rFonts w:ascii="Times New Roman" w:cs="Times New Roman" w:eastAsia="Times New Roman" w:hAnsi="Times New Roman"/>
          <w:sz w:val="18"/>
          <w:szCs w:val="18"/>
          <w:color w:val="auto"/>
        </w:rPr>
        <w:t>In order to incent and retain the Corporation’s executives, shares of restricted stock were also granted to all Named Executive Officers in FY2017. These shares will vest July 28, 2019 provided the executive remains employed with the Corporation until the vesting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July 2017, the Committee reviewed the performance objective established in July of 2014 for the vesting of performance stock and performance stock units granted in July 2014 under the LTI Plan. The objective is listed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Performance Objective is the Company’s economic profit for the cumulative three fiscal year period ending June 30, 2017, as specified below:</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Objective as</w:t>
            </w:r>
          </w:p>
        </w:tc>
      </w:tr>
      <w:tr>
        <w:trPr>
          <w:trHeight w:val="234"/>
        </w:trPr>
        <w:tc>
          <w:tcPr>
            <w:tcW w:w="1920" w:type="dxa"/>
            <w:vAlign w:val="bottom"/>
          </w:tcPr>
          <w:p>
            <w:pPr>
              <w:spacing w:after="0"/>
              <w:rPr>
                <w:sz w:val="20"/>
                <w:szCs w:val="20"/>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June 30, 2017</w:t>
            </w:r>
          </w:p>
        </w:tc>
      </w:tr>
      <w:tr>
        <w:trPr>
          <w:trHeight w:val="210"/>
        </w:trPr>
        <w:tc>
          <w:tcPr>
            <w:tcW w:w="19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Economic profit is calculated by taking Net Operating Profit after Tax (“NOPAT”) less (or as a percentage of) a Capital Charge (Average Invested Capital x Cost of Capital).</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Average Invested Capital is defined as total assets less non-interest bearing liabilities less accrued retirement benefits less excess cash, computed on monthly trailing 13 month basis. For FY2015-FY2017, excess cash was defined as cash in excess of approximately 1.5% of net sales.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Capital is defined as the weighted average expectation of Twin Disc’s sources of capital, debt and equity. Cost of Capital has been calculated at 10% in FY2015, 9% in FY2016, and 7% in FY 2017, after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determined, subject to audit, that the Corporation’s economic profit for the cumulative three year period ending June 30, 2017 was</w:t>
      </w:r>
    </w:p>
    <w:p>
      <w:pPr>
        <w:spacing w:after="0" w:line="2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$(32,126,158). As a result, both the performance stock and performance stock units granted to Named Executive Officers in July 2014 did not meet the threshold objective and therefore did not vest.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FY2018, the Committee used performance measures that had been used in setting the long-term incentive plan for FY2017. The long-term incentive awards granted in FY2018 use a combination of the following performance goals and weightings for the three fiscal year performance period ending June 30, 2020: (i) average return on invested capital (also known as average return on total capital) (40%), (ii) average sales revenue (30%), and (iii) average earnings per share (30%). In addition, the possible range of long-term incentive payments for each performance goal will be 50% - 150% of the target. The Committee awarded only performance stock and restricted stock as long-term incentive awards in FY2018.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i w:val="1"/>
          <w:iCs w:val="1"/>
          <w:color w:val="auto"/>
        </w:rPr>
        <w:t>Qualified Retirement Plans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Savings Plan for Salaried Employees</w:t>
      </w:r>
      <w:r>
        <w:rPr>
          <w:rFonts w:ascii="Times New Roman" w:cs="Times New Roman" w:eastAsia="Times New Roman" w:hAnsi="Times New Roman"/>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7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Savings Plan does not allow employee contributions. Employer contributions, which are made annually, are 100% vested.</w:t>
      </w:r>
    </w:p>
    <w:p>
      <w:pPr>
        <w:spacing w:after="0" w:line="225" w:lineRule="exact"/>
        <w:rPr>
          <w:sz w:val="20"/>
          <w:szCs w:val="20"/>
          <w:color w:val="auto"/>
        </w:rPr>
      </w:pPr>
    </w:p>
    <w:p>
      <w:pPr>
        <w:jc w:val="both"/>
        <w:ind w:right="320"/>
        <w:spacing w:after="0" w:line="313" w:lineRule="auto"/>
        <w:rPr>
          <w:sz w:val="20"/>
          <w:szCs w:val="20"/>
          <w:color w:val="auto"/>
        </w:rPr>
      </w:pPr>
      <w:r>
        <w:rPr>
          <w:rFonts w:ascii="Times New Roman" w:cs="Times New Roman" w:eastAsia="Times New Roman" w:hAnsi="Times New Roman"/>
          <w:sz w:val="17"/>
          <w:szCs w:val="17"/>
          <w:u w:val="single" w:color="auto"/>
          <w:color w:val="auto"/>
        </w:rPr>
        <w:t>The Twin Disc, Incorporated Retirement Plan for Salaried Employees</w:t>
      </w:r>
      <w:r>
        <w:rPr>
          <w:rFonts w:ascii="Times New Roman" w:cs="Times New Roman" w:eastAsia="Times New Roman" w:hAnsi="Times New Roman"/>
          <w:sz w:val="17"/>
          <w:szCs w:val="17"/>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 eligible for an accrued benefit under the pre-1997 Retirement Plan with 9.5 years of pre-January 1, 1997 credited service.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 The Accelerator 401(k) Savings Plan (“401(k) Plan”)</w:t>
      </w:r>
      <w:r>
        <w:rPr>
          <w:rFonts w:ascii="Times New Roman" w:cs="Times New Roman" w:eastAsia="Times New Roman" w:hAnsi="Times New Roman"/>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(including Mr. Batten and Mr. Bratel)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1" w:name="page32"/>
    <w:bookmarkEnd w:id="31"/>
    <w:p>
      <w:pPr>
        <w:ind w:right="80"/>
        <w:spacing w:after="0" w:line="261" w:lineRule="auto"/>
        <w:rPr>
          <w:sz w:val="20"/>
          <w:szCs w:val="20"/>
          <w:color w:val="auto"/>
        </w:rPr>
      </w:pPr>
      <w:r>
        <w:rPr>
          <w:rFonts w:ascii="Times New Roman" w:cs="Times New Roman" w:eastAsia="Times New Roman" w:hAnsi="Times New Roman"/>
          <w:sz w:val="18"/>
          <w:szCs w:val="18"/>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Executive Life Insurance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Corporation has change in control severance agreements with each of its executive officers, which were most recently updated in July 2014.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and Mr. Moore, and 1.5 for Mr. Nelson and Mr. Bratel).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Personal Benefits and Perquisites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compensation” of the Corporation’s Chief Executive Officer, Chief Financial Officer, and its three most highly compensated executive officers for the fiscal year ended June 30, 2017.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300" w:type="dxa"/>
            <w:vAlign w:val="bottom"/>
            <w:tcBorders>
              <w:top w:val="single" w:sz="8" w:color="auto"/>
              <w:left w:val="single" w:sz="8" w:color="auto"/>
              <w:right w:val="single" w:sz="8" w:color="auto"/>
            </w:tcBorders>
          </w:tcPr>
          <w:p>
            <w:pPr>
              <w:spacing w:after="0"/>
              <w:rPr>
                <w:sz w:val="21"/>
                <w:szCs w:val="21"/>
                <w:color w:val="auto"/>
              </w:rPr>
            </w:pPr>
          </w:p>
        </w:tc>
        <w:tc>
          <w:tcPr>
            <w:tcW w:w="780" w:type="dxa"/>
            <w:vAlign w:val="bottom"/>
            <w:tcBorders>
              <w:top w:val="single" w:sz="8" w:color="auto"/>
              <w:right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5"/>
              </w:rPr>
              <w:t>(4)</w:t>
            </w: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right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spacing w:after="0"/>
              <w:rPr>
                <w:sz w:val="21"/>
                <w:szCs w:val="21"/>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Change in</w:t>
            </w:r>
          </w:p>
        </w:tc>
        <w:tc>
          <w:tcPr>
            <w:tcW w:w="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Pension</w:t>
            </w:r>
          </w:p>
        </w:tc>
        <w:tc>
          <w:tcPr>
            <w:tcW w:w="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 and</w:t>
            </w:r>
          </w:p>
        </w:tc>
        <w:tc>
          <w:tcPr>
            <w:tcW w:w="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5"/>
              </w:rPr>
              <w:t>(3)</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Nonqualified</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1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Non-Equity</w:t>
            </w:r>
          </w:p>
        </w:tc>
        <w:tc>
          <w:tcPr>
            <w:tcW w:w="260" w:type="dxa"/>
            <w:vAlign w:val="bottom"/>
          </w:tcPr>
          <w:p>
            <w:pPr>
              <w:spacing w:after="0"/>
              <w:rPr>
                <w:sz w:val="18"/>
                <w:szCs w:val="18"/>
                <w:color w:val="auto"/>
              </w:rPr>
            </w:pPr>
          </w:p>
        </w:tc>
        <w:tc>
          <w:tcPr>
            <w:tcW w:w="112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Deferred</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All Other</w:t>
            </w:r>
          </w:p>
        </w:tc>
        <w:tc>
          <w:tcPr>
            <w:tcW w:w="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and Principal</w:t>
            </w:r>
          </w:p>
        </w:tc>
        <w:tc>
          <w:tcPr>
            <w:tcW w:w="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Stock</w:t>
            </w:r>
          </w:p>
        </w:tc>
        <w:tc>
          <w:tcPr>
            <w:tcW w:w="14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Compens-</w:t>
            </w:r>
          </w:p>
        </w:tc>
        <w:tc>
          <w:tcPr>
            <w:tcW w:w="3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2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Position</w:t>
            </w:r>
          </w:p>
        </w:tc>
        <w:tc>
          <w:tcPr>
            <w:tcW w:w="7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Pr>
          <w:p>
            <w:pPr>
              <w:spacing w:after="0"/>
              <w:rPr>
                <w:sz w:val="18"/>
                <w:szCs w:val="18"/>
                <w:color w:val="auto"/>
              </w:rPr>
            </w:pPr>
          </w:p>
        </w:tc>
        <w:tc>
          <w:tcPr>
            <w:tcW w:w="106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Salary</w:t>
            </w:r>
          </w:p>
        </w:tc>
        <w:tc>
          <w:tcPr>
            <w:tcW w:w="300" w:type="dxa"/>
            <w:vAlign w:val="bottom"/>
          </w:tcPr>
          <w:p>
            <w:pPr>
              <w:spacing w:after="0"/>
              <w:rPr>
                <w:sz w:val="18"/>
                <w:szCs w:val="18"/>
                <w:color w:val="auto"/>
              </w:rPr>
            </w:pPr>
          </w:p>
        </w:tc>
        <w:tc>
          <w:tcPr>
            <w:tcW w:w="108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Awards</w:t>
            </w:r>
          </w:p>
        </w:tc>
        <w:tc>
          <w:tcPr>
            <w:tcW w:w="14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260" w:type="dxa"/>
            <w:vAlign w:val="bottom"/>
          </w:tcPr>
          <w:p>
            <w:pPr>
              <w:spacing w:after="0"/>
              <w:rPr>
                <w:sz w:val="18"/>
                <w:szCs w:val="18"/>
                <w:color w:val="auto"/>
              </w:rPr>
            </w:pPr>
          </w:p>
        </w:tc>
        <w:tc>
          <w:tcPr>
            <w:tcW w:w="112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Earnings</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ation</w:t>
            </w:r>
          </w:p>
        </w:tc>
        <w:tc>
          <w:tcPr>
            <w:tcW w:w="360" w:type="dxa"/>
            <w:vAlign w:val="bottom"/>
          </w:tcPr>
          <w:p>
            <w:pPr>
              <w:spacing w:after="0"/>
              <w:rPr>
                <w:sz w:val="18"/>
                <w:szCs w:val="18"/>
                <w:color w:val="auto"/>
              </w:rPr>
            </w:pPr>
          </w:p>
        </w:tc>
        <w:tc>
          <w:tcPr>
            <w:tcW w:w="1020" w:type="dxa"/>
            <w:vAlign w:val="bottom"/>
            <w:tcBorders>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2300" w:type="dxa"/>
            <w:vAlign w:val="bottom"/>
            <w:tcBorders>
              <w:left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64"/>
        </w:trPr>
        <w:tc>
          <w:tcPr>
            <w:tcW w:w="2300" w:type="dxa"/>
            <w:vAlign w:val="bottom"/>
            <w:tcBorders>
              <w:left w:val="single" w:sz="8" w:color="auto"/>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r>
      <w:tr>
        <w:trPr>
          <w:trHeight w:val="269"/>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H. Batten</w:t>
            </w: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488,463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489,377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133,250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67,523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1,182,831</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469,232</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495,542</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4,581</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95,404</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1,064,759</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486,540</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587,287</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290,550</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4,426</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86,091</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1,454,924</w:t>
            </w:r>
          </w:p>
        </w:tc>
      </w:tr>
      <w:tr>
        <w:trPr>
          <w:trHeight w:val="264"/>
        </w:trPr>
        <w:tc>
          <w:tcPr>
            <w:tcW w:w="2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80" w:type="dxa"/>
            <w:vAlign w:val="bottom"/>
            <w:tcBorders>
              <w:top w:val="single" w:sz="8" w:color="auto"/>
              <w:bottom w:val="single" w:sz="8" w:color="auto"/>
              <w:right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right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right w:val="single" w:sz="8" w:color="auto"/>
            </w:tcBorders>
          </w:tcPr>
          <w:p>
            <w:pPr>
              <w:spacing w:after="0"/>
              <w:rPr>
                <w:sz w:val="22"/>
                <w:szCs w:val="22"/>
                <w:color w:val="auto"/>
              </w:rPr>
            </w:pPr>
          </w:p>
        </w:tc>
      </w:tr>
      <w:tr>
        <w:trPr>
          <w:trHeight w:val="269"/>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Jeffrey S. Knutson</w:t>
            </w: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315,484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206,254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67,725</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33,247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622,710</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Vice President – Finance,</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303,368</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208,849</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32,856</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545,073</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CFO, Treasurer and Sec’y</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248,748</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197,361</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140,805</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32,018</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618,932</w:t>
            </w:r>
          </w:p>
        </w:tc>
      </w:tr>
      <w:tr>
        <w:trPr>
          <w:trHeight w:val="264"/>
        </w:trPr>
        <w:tc>
          <w:tcPr>
            <w:tcW w:w="2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80" w:type="dxa"/>
            <w:vAlign w:val="bottom"/>
            <w:tcBorders>
              <w:top w:val="single" w:sz="8" w:color="auto"/>
              <w:bottom w:val="single" w:sz="8" w:color="auto"/>
              <w:right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right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right w:val="single" w:sz="8" w:color="auto"/>
            </w:tcBorders>
          </w:tcPr>
          <w:p>
            <w:pPr>
              <w:spacing w:after="0"/>
              <w:rPr>
                <w:sz w:val="22"/>
                <w:szCs w:val="22"/>
                <w:color w:val="auto"/>
              </w:rPr>
            </w:pPr>
          </w:p>
        </w:tc>
      </w:tr>
      <w:tr>
        <w:trPr>
          <w:trHeight w:val="269"/>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Malcolm F. Moore</w:t>
            </w: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396,347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283,229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79,500</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55,568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814,644</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351,057</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323,219</w:t>
            </w: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39,759</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714,035</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7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64"/>
        </w:trPr>
        <w:tc>
          <w:tcPr>
            <w:tcW w:w="2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80" w:type="dxa"/>
            <w:vAlign w:val="bottom"/>
            <w:tcBorders>
              <w:top w:val="single" w:sz="8" w:color="auto"/>
              <w:bottom w:val="single" w:sz="8" w:color="auto"/>
              <w:right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right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right w:val="single" w:sz="8" w:color="auto"/>
            </w:tcBorders>
          </w:tcPr>
          <w:p>
            <w:pPr>
              <w:spacing w:after="0"/>
              <w:rPr>
                <w:sz w:val="22"/>
                <w:szCs w:val="22"/>
                <w:color w:val="auto"/>
              </w:rPr>
            </w:pPr>
          </w:p>
        </w:tc>
      </w:tr>
      <w:tr>
        <w:trPr>
          <w:trHeight w:val="269"/>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Donald J. Nelson</w:t>
            </w: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181,250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640,270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66,625</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4,127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892,272</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Vice President –</w:t>
            </w:r>
          </w:p>
        </w:tc>
        <w:tc>
          <w:tcPr>
            <w:tcW w:w="7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64"/>
        </w:trPr>
        <w:tc>
          <w:tcPr>
            <w:tcW w:w="2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80" w:type="dxa"/>
            <w:vAlign w:val="bottom"/>
            <w:tcBorders>
              <w:top w:val="single" w:sz="8" w:color="auto"/>
              <w:bottom w:val="single" w:sz="8" w:color="auto"/>
              <w:right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right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right w:val="single" w:sz="8" w:color="auto"/>
            </w:tcBorders>
          </w:tcPr>
          <w:p>
            <w:pPr>
              <w:spacing w:after="0"/>
              <w:rPr>
                <w:sz w:val="22"/>
                <w:szCs w:val="22"/>
                <w:color w:val="auto"/>
              </w:rPr>
            </w:pPr>
          </w:p>
        </w:tc>
      </w:tr>
      <w:tr>
        <w:trPr>
          <w:trHeight w:val="269"/>
        </w:trPr>
        <w:tc>
          <w:tcPr>
            <w:tcW w:w="2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Dean J. Bratel</w:t>
            </w: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275,424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187,505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52,250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51,777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571,177</w:t>
            </w:r>
          </w:p>
        </w:tc>
      </w:tr>
      <w:tr>
        <w:trPr>
          <w:trHeight w:val="269"/>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Vice President – Sales</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264,847</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189,867</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15,515</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60,236</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530,465</w:t>
            </w:r>
          </w:p>
        </w:tc>
      </w:tr>
      <w:tr>
        <w:trPr>
          <w:trHeight w:val="244"/>
        </w:trPr>
        <w:tc>
          <w:tcPr>
            <w:tcW w:w="2300" w:type="dxa"/>
            <w:vAlign w:val="bottom"/>
            <w:tcBorders>
              <w:top w:val="single" w:sz="8" w:color="auto"/>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Applied Technology</w:t>
            </w: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268,273</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225,036</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122,925</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6,861</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51,459</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674,554</w:t>
            </w:r>
          </w:p>
        </w:tc>
      </w:tr>
      <w:tr>
        <w:trPr>
          <w:trHeight w:val="20"/>
        </w:trPr>
        <w:tc>
          <w:tcPr>
            <w:tcW w:w="2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-2882900</wp:posOffset>
            </wp:positionV>
            <wp:extent cx="72294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-2162810</wp:posOffset>
            </wp:positionV>
            <wp:extent cx="722947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-1442085</wp:posOffset>
            </wp:positionV>
            <wp:extent cx="72294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-721995</wp:posOffset>
            </wp:positionV>
            <wp:extent cx="72294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7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27 pay periods in FY2017, instead of the normal 26, due to the schedule of bi-weekly pay periods from July 1, 2016 through 6/30/2017.</w:t>
      </w:r>
    </w:p>
    <w:p>
      <w:pPr>
        <w:spacing w:after="0" w:line="225"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fiscal 2017, assuming the maximum performance goal is achieved, are as follows: Mr. Batten, $489,377; Mr. Knutson, $206,254; Mr. Moore, $283,229; Mr. Nelson $223,350, and Mr. Bratel, $187,505. These calculations are based on the closing share price on the date of grant of $9.74 for those shares granted on 7/28/16. For those shares granted on 12/12/16 (to Mr. Nelson), the calculation is based on the closing share price of the date of grant of $14.89. Mr. Nelson received this grant on his first day of employment. The amount shown for Mr. Moore in FY2016 includes the value of 2,942 fully-vested shares of the Corporation’s stock awarded to him on July 1, 2015, the first day of his employment as an executive officer of the Corporation, valued at the closing share price of $18.29 on that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ind w:left="332" w:right="140"/>
        <w:spacing w:after="0" w:line="261" w:lineRule="auto"/>
        <w:rPr>
          <w:sz w:val="20"/>
          <w:szCs w:val="20"/>
          <w:color w:val="auto"/>
        </w:rPr>
      </w:pPr>
      <w:r>
        <w:rPr>
          <w:rFonts w:ascii="Times New Roman" w:cs="Times New Roman" w:eastAsia="Times New Roman" w:hAnsi="Times New Roman"/>
          <w:sz w:val="18"/>
          <w:szCs w:val="18"/>
          <w:color w:val="auto"/>
        </w:rPr>
        <w:t>The following table presents separately the compensation expense recognized in FY2017, 2016, and 2015 for outstanding awards of performance stock, performance stock units and restricted stock for Messrs. Batten, Knutson, and Bratel; the compensation expense recognized in FY2017 and FY2016 for outstanding awards of performance stock, performance stock units and restricted stock for Mr. Moore; and the compensation expense recognized in FY2017 for awards of performance stock and restricted stock to Mr. Nelson:</w:t>
      </w:r>
    </w:p>
    <w:p>
      <w:pPr>
        <w:spacing w:after="0" w:line="175" w:lineRule="exact"/>
        <w:rPr>
          <w:sz w:val="20"/>
          <w:szCs w:val="20"/>
          <w:color w:val="auto"/>
        </w:rPr>
      </w:pPr>
    </w:p>
    <w:tbl>
      <w:tblPr>
        <w:tblLayout w:type="fixed"/>
        <w:tblInd w:w="322" w:type="dxa"/>
        <w:tblCellMar>
          <w:top w:w="0" w:type="dxa"/>
          <w:left w:w="0" w:type="dxa"/>
          <w:bottom w:w="0" w:type="dxa"/>
          <w:right w:w="0" w:type="dxa"/>
        </w:tblCellMar>
      </w:tblPr>
      <w:tr>
        <w:trPr>
          <w:trHeight w:val="233"/>
        </w:trPr>
        <w:tc>
          <w:tcPr>
            <w:tcW w:w="26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Name</w:t>
            </w:r>
          </w:p>
        </w:tc>
        <w:tc>
          <w:tcPr>
            <w:tcW w:w="74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Year</w:t>
            </w:r>
          </w:p>
        </w:tc>
        <w:tc>
          <w:tcPr>
            <w:tcW w:w="380" w:type="dxa"/>
            <w:vAlign w:val="bottom"/>
            <w:tcBorders>
              <w:top w:val="single" w:sz="8" w:color="auto"/>
              <w:bottom w:val="single" w:sz="8" w:color="auto"/>
            </w:tcBorders>
          </w:tcPr>
          <w:p>
            <w:pPr>
              <w:spacing w:after="0"/>
              <w:rPr>
                <w:sz w:val="20"/>
                <w:szCs w:val="20"/>
                <w:color w:val="auto"/>
              </w:rPr>
            </w:pPr>
          </w:p>
        </w:tc>
        <w:tc>
          <w:tcPr>
            <w:tcW w:w="210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Performance Stock</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Performance Stock Units</w:t>
            </w:r>
          </w:p>
        </w:tc>
        <w:tc>
          <w:tcPr>
            <w:tcW w:w="280" w:type="dxa"/>
            <w:vAlign w:val="bottom"/>
            <w:tcBorders>
              <w:top w:val="single" w:sz="8" w:color="auto"/>
              <w:bottom w:val="single" w:sz="8" w:color="auto"/>
              <w:right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08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Restricted Stock</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20,225</w:t>
            </w:r>
          </w:p>
        </w:tc>
        <w:tc>
          <w:tcPr>
            <w:tcW w:w="2220" w:type="dxa"/>
            <w:vAlign w:val="bottom"/>
            <w:tcBorders>
              <w:bottom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329,938</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18,539</w:t>
            </w:r>
          </w:p>
        </w:tc>
        <w:tc>
          <w:tcPr>
            <w:tcW w:w="2220" w:type="dxa"/>
            <w:vAlign w:val="bottom"/>
            <w:tcBorders>
              <w:bottom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313,785</w:t>
            </w:r>
          </w:p>
        </w:tc>
      </w:tr>
      <w:tr>
        <w:trPr>
          <w:trHeight w:val="210"/>
        </w:trPr>
        <w:tc>
          <w:tcPr>
            <w:tcW w:w="26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tcBorders>
              <w:bottom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290,098</w:t>
            </w:r>
          </w:p>
        </w:tc>
      </w:tr>
      <w:tr>
        <w:trPr>
          <w:trHeight w:val="210"/>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8,526</w:t>
            </w:r>
          </w:p>
        </w:tc>
        <w:tc>
          <w:tcPr>
            <w:tcW w:w="2220" w:type="dxa"/>
            <w:vAlign w:val="bottom"/>
            <w:tcBorders>
              <w:bottom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141,004</w:t>
            </w:r>
          </w:p>
        </w:tc>
      </w:tr>
      <w:tr>
        <w:trPr>
          <w:trHeight w:val="210"/>
        </w:trPr>
        <w:tc>
          <w:tcPr>
            <w:tcW w:w="26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w:t>
            </w:r>
          </w:p>
        </w:tc>
        <w:tc>
          <w:tcPr>
            <w:tcW w:w="2220" w:type="dxa"/>
            <w:vAlign w:val="bottom"/>
            <w:tcBorders>
              <w:bottom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128,208</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tcBorders>
              <w:bottom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100,646</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Malcolm F. Moore</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11,001</w:t>
            </w:r>
          </w:p>
        </w:tc>
        <w:tc>
          <w:tcPr>
            <w:tcW w:w="2220" w:type="dxa"/>
            <w:vAlign w:val="bottom"/>
            <w:tcBorders>
              <w:bottom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119,204</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10,084</w:t>
            </w:r>
          </w:p>
        </w:tc>
        <w:tc>
          <w:tcPr>
            <w:tcW w:w="2220" w:type="dxa"/>
            <w:vAlign w:val="bottom"/>
            <w:tcBorders>
              <w:bottom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109,695</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Donald J. Nelson</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tcBorders>
              <w:bottom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209,849</w:t>
            </w:r>
          </w:p>
        </w:tc>
      </w:tr>
      <w:tr>
        <w:trPr>
          <w:trHeight w:val="210"/>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Dean J. Bratel</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7,746</w:t>
            </w:r>
          </w:p>
        </w:tc>
        <w:tc>
          <w:tcPr>
            <w:tcW w:w="2220" w:type="dxa"/>
            <w:vAlign w:val="bottom"/>
            <w:tcBorders>
              <w:bottom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126,869</w:t>
            </w:r>
          </w:p>
        </w:tc>
      </w:tr>
      <w:tr>
        <w:trPr>
          <w:trHeight w:val="210"/>
        </w:trPr>
        <w:tc>
          <w:tcPr>
            <w:tcW w:w="26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7,101</w:t>
            </w:r>
          </w:p>
        </w:tc>
        <w:tc>
          <w:tcPr>
            <w:tcW w:w="2220" w:type="dxa"/>
            <w:vAlign w:val="bottom"/>
            <w:tcBorders>
              <w:bottom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125,600</w:t>
            </w:r>
          </w:p>
        </w:tc>
      </w:tr>
      <w:tr>
        <w:trPr>
          <w:trHeight w:val="206"/>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tcBorders>
              <w:bottom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-1896745</wp:posOffset>
            </wp:positionV>
            <wp:extent cx="686054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-1605280</wp:posOffset>
            </wp:positionV>
            <wp:extent cx="686054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-1313815</wp:posOffset>
            </wp:positionV>
            <wp:extent cx="686054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-1021715</wp:posOffset>
            </wp:positionV>
            <wp:extent cx="686054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-730250</wp:posOffset>
            </wp:positionV>
            <wp:extent cx="68605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-438785</wp:posOffset>
            </wp:positionV>
            <wp:extent cx="686054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-147320</wp:posOffset>
            </wp:positionV>
            <wp:extent cx="686054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174" w:lineRule="exact"/>
        <w:rPr>
          <w:sz w:val="20"/>
          <w:szCs w:val="20"/>
          <w:color w:val="auto"/>
        </w:rPr>
      </w:pPr>
    </w:p>
    <w:p>
      <w:pPr>
        <w:ind w:left="332" w:right="280" w:hanging="332"/>
        <w:spacing w:after="0" w:line="261"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bonuses earned in connection with achievement of specific performance targets under the Corporate Incentive Plan, described under the “Annual Incentive Compensation” portion of the Compensation Discussion and Analysis, above.</w:t>
      </w:r>
    </w:p>
    <w:p>
      <w:pPr>
        <w:ind w:left="332" w:hanging="332"/>
        <w:spacing w:after="0" w:line="250"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reflect the change in qualified pension amounts for each of the Named Executive Officers. The figures for FY2017 also include above-market earnings on the SERP benefits of $178 and $39 for Mr. Batten and Mr. Bratel, respectively.</w:t>
      </w:r>
    </w:p>
    <w:p>
      <w:pPr>
        <w:ind w:left="332" w:hanging="332"/>
        <w:spacing w:after="0"/>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w:t>
      </w:r>
    </w:p>
    <w:p>
      <w:pPr>
        <w:spacing w:after="0" w:line="200" w:lineRule="exact"/>
        <w:rPr>
          <w:sz w:val="20"/>
          <w:szCs w:val="20"/>
          <w:color w:val="auto"/>
        </w:rPr>
      </w:pPr>
    </w:p>
    <w:p>
      <w:pPr>
        <w:spacing w:after="0" w:line="218" w:lineRule="exact"/>
        <w:rPr>
          <w:sz w:val="20"/>
          <w:szCs w:val="20"/>
          <w:color w:val="auto"/>
        </w:rPr>
      </w:pPr>
    </w:p>
    <w:tbl>
      <w:tblPr>
        <w:tblLayout w:type="fixed"/>
        <w:tblInd w:w="1142" w:type="dxa"/>
        <w:tblCellMar>
          <w:top w:w="0" w:type="dxa"/>
          <w:left w:w="0" w:type="dxa"/>
          <w:bottom w:w="0" w:type="dxa"/>
          <w:right w:w="0" w:type="dxa"/>
        </w:tblCellMar>
      </w:tblPr>
      <w:tr>
        <w:trPr>
          <w:trHeight w:val="214"/>
        </w:trPr>
        <w:tc>
          <w:tcPr>
            <w:tcW w:w="118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Retirement</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Defined</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Perquisites and</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401(k)</w:t>
            </w:r>
          </w:p>
        </w:tc>
        <w:tc>
          <w:tcPr>
            <w:tcW w:w="24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Savings</w:t>
            </w:r>
          </w:p>
        </w:tc>
        <w:tc>
          <w:tcPr>
            <w:tcW w:w="220" w:type="dxa"/>
            <w:vAlign w:val="bottom"/>
          </w:tcPr>
          <w:p>
            <w:pPr>
              <w:spacing w:after="0"/>
              <w:rPr>
                <w:sz w:val="18"/>
                <w:szCs w:val="18"/>
                <w:color w:val="auto"/>
              </w:rPr>
            </w:pPr>
          </w:p>
        </w:tc>
        <w:tc>
          <w:tcPr>
            <w:tcW w:w="12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Contribution</w:t>
            </w:r>
          </w:p>
        </w:tc>
        <w:tc>
          <w:tcPr>
            <w:tcW w:w="2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Personal</w:t>
            </w:r>
          </w:p>
        </w:tc>
        <w:tc>
          <w:tcPr>
            <w:tcW w:w="3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Company</w:t>
            </w:r>
          </w:p>
        </w:tc>
        <w:tc>
          <w:tcPr>
            <w:tcW w:w="24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Plan</w:t>
            </w:r>
          </w:p>
        </w:tc>
        <w:tc>
          <w:tcPr>
            <w:tcW w:w="220" w:type="dxa"/>
            <w:vAlign w:val="bottom"/>
          </w:tcPr>
          <w:p>
            <w:pPr>
              <w:spacing w:after="0"/>
              <w:rPr>
                <w:sz w:val="18"/>
                <w:szCs w:val="18"/>
                <w:color w:val="auto"/>
              </w:rPr>
            </w:pPr>
          </w:p>
        </w:tc>
        <w:tc>
          <w:tcPr>
            <w:tcW w:w="12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SERP</w:t>
            </w:r>
          </w:p>
        </w:tc>
        <w:tc>
          <w:tcPr>
            <w:tcW w:w="260" w:type="dxa"/>
            <w:vAlign w:val="bottom"/>
          </w:tcPr>
          <w:p>
            <w:pPr>
              <w:spacing w:after="0"/>
              <w:rPr>
                <w:sz w:val="18"/>
                <w:szCs w:val="18"/>
                <w:color w:val="auto"/>
              </w:rPr>
            </w:pPr>
          </w:p>
        </w:tc>
        <w:tc>
          <w:tcPr>
            <w:tcW w:w="1160" w:type="dxa"/>
            <w:vAlign w:val="bottom"/>
            <w:tcBorders>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Life</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Benefits</w:t>
            </w:r>
          </w:p>
        </w:tc>
        <w:tc>
          <w:tcPr>
            <w:tcW w:w="3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34"/>
        </w:trPr>
        <w:tc>
          <w:tcPr>
            <w:tcW w:w="118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Match</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Contribution</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J.H. Batten</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29,000</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67,523</w:t>
            </w:r>
          </w:p>
        </w:tc>
      </w:tr>
      <w:tr>
        <w:trPr>
          <w:trHeight w:val="210"/>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 Knutson</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8,477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24,770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33,247</w:t>
            </w:r>
          </w:p>
        </w:tc>
      </w:tr>
      <w:tr>
        <w:trPr>
          <w:trHeight w:val="210"/>
        </w:trPr>
        <w:tc>
          <w:tcPr>
            <w:tcW w:w="1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 Moore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12,821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31,350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55,568</w:t>
            </w:r>
          </w:p>
        </w:tc>
      </w:tr>
      <w:tr>
        <w:trPr>
          <w:trHeight w:val="210"/>
        </w:trPr>
        <w:tc>
          <w:tcPr>
            <w:tcW w:w="1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D.J. Nelson</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r>
      <w:tr>
        <w:trPr>
          <w:trHeight w:val="208"/>
        </w:trPr>
        <w:tc>
          <w:tcPr>
            <w:tcW w:w="1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 Bratel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26,660</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-584835</wp:posOffset>
            </wp:positionV>
            <wp:extent cx="614045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40450" cy="14605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-292735</wp:posOffset>
            </wp:positionV>
            <wp:extent cx="614045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40450" cy="146050"/>
                    </a:xfrm>
                    <a:prstGeom prst="rect">
                      <a:avLst/>
                    </a:prstGeom>
                    <a:noFill/>
                  </pic:spPr>
                </pic:pic>
              </a:graphicData>
            </a:graphic>
          </wp:anchor>
        </w:drawing>
      </w:r>
    </w:p>
    <w:p>
      <w:pPr>
        <w:spacing w:after="0" w:line="391" w:lineRule="exact"/>
        <w:rPr>
          <w:sz w:val="20"/>
          <w:szCs w:val="20"/>
          <w:color w:val="auto"/>
        </w:rPr>
      </w:pPr>
    </w:p>
    <w:p>
      <w:pPr>
        <w:ind w:left="332" w:right="360"/>
        <w:spacing w:after="0" w:line="282" w:lineRule="auto"/>
        <w:rPr>
          <w:sz w:val="20"/>
          <w:szCs w:val="20"/>
          <w:color w:val="auto"/>
        </w:rPr>
      </w:pPr>
      <w:r>
        <w:rPr>
          <w:rFonts w:ascii="Times New Roman" w:cs="Times New Roman" w:eastAsia="Times New Roman" w:hAnsi="Times New Roman"/>
          <w:sz w:val="18"/>
          <w:szCs w:val="18"/>
          <w:color w:val="auto"/>
        </w:rPr>
        <w:t>The Corporation’s Supplemental Executive Retirement Plan (“SERP”) was restated during FY2011 to provide a defined contribution formula for the benefits of Messrs. Batten and Bratel. Mr. Knutson, Mr. Moore and Mr. Nelson do not participate in the SERP.</w:t>
      </w:r>
    </w:p>
    <w:p>
      <w:pPr>
        <w:spacing w:after="0" w:line="162" w:lineRule="exact"/>
        <w:rPr>
          <w:sz w:val="20"/>
          <w:szCs w:val="20"/>
          <w:color w:val="auto"/>
        </w:rPr>
      </w:pPr>
    </w:p>
    <w:p>
      <w:pPr>
        <w:ind w:left="332" w:right="280"/>
        <w:spacing w:after="0" w:line="282" w:lineRule="auto"/>
        <w:rPr>
          <w:sz w:val="20"/>
          <w:szCs w:val="20"/>
          <w:color w:val="auto"/>
        </w:rPr>
      </w:pPr>
      <w:r>
        <w:rPr>
          <w:rFonts w:ascii="Times New Roman" w:cs="Times New Roman" w:eastAsia="Times New Roman" w:hAnsi="Times New Roman"/>
          <w:sz w:val="18"/>
          <w:szCs w:val="18"/>
          <w:color w:val="auto"/>
        </w:rPr>
        <w:t>Messrs. Batten, Knutson, and Bratel participate in an endorsement split-dollar life insurance plan. Mr. Moore participates in a term life insurance plan and Mr. Nelson participates in the group life insurance program available to all employees.</w:t>
      </w:r>
    </w:p>
    <w:p>
      <w:pPr>
        <w:spacing w:after="0" w:line="162"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Perquisites and Personal Benefits for Mr. Moore for FY2017 consist of temporary housing benefits ($25,962), premiums paid for supplemental long-term disability insurance, personal use of the company plane and a QNEC contribution to his 401(k). The aggregate total of perquisites and personal benefits for each of the remaining Named Executive Officers was less than $10,000 for FY2017, and therefore need not be disclosed or included in such Named Executive Officers’ “Other Compensation” total.</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incentive awards granted to our Named Executive Officers during FY2017.</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80" w:type="dxa"/>
            <w:vAlign w:val="bottom"/>
            <w:tcBorders>
              <w:top w:val="single" w:sz="8" w:color="auto"/>
              <w:left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Estimated Future Cash Incentive</w:t>
            </w:r>
          </w:p>
        </w:tc>
        <w:tc>
          <w:tcPr>
            <w:tcW w:w="120" w:type="dxa"/>
            <w:vAlign w:val="bottom"/>
            <w:tcBorders>
              <w:top w:val="single" w:sz="8" w:color="auto"/>
              <w:right w:val="single" w:sz="8" w:color="auto"/>
            </w:tcBorders>
          </w:tcPr>
          <w:p>
            <w:pPr>
              <w:spacing w:after="0"/>
              <w:rPr>
                <w:sz w:val="20"/>
                <w:szCs w:val="20"/>
                <w:color w:val="auto"/>
              </w:rPr>
            </w:pPr>
          </w:p>
        </w:tc>
        <w:tc>
          <w:tcPr>
            <w:tcW w:w="34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Future Share or</w:t>
            </w:r>
          </w:p>
        </w:tc>
        <w:tc>
          <w:tcPr>
            <w:tcW w:w="11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Payouts Under Non-Equity</w:t>
            </w:r>
          </w:p>
        </w:tc>
        <w:tc>
          <w:tcPr>
            <w:tcW w:w="12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 Payouts Under Equity</w:t>
            </w:r>
          </w:p>
        </w:tc>
        <w:tc>
          <w:tcPr>
            <w:tcW w:w="1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480" w:type="dxa"/>
            <w:vAlign w:val="bottom"/>
            <w:tcBorders>
              <w:left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Incentive Plan Awards</w:t>
            </w: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Plan Awards</w:t>
            </w:r>
          </w:p>
        </w:tc>
        <w:tc>
          <w:tcPr>
            <w:tcW w:w="1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All other</w:t>
            </w:r>
          </w:p>
        </w:tc>
        <w:tc>
          <w:tcPr>
            <w:tcW w:w="11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40" w:type="dxa"/>
            <w:vAlign w:val="bottom"/>
          </w:tcPr>
          <w:p>
            <w:pPr>
              <w:spacing w:after="0"/>
              <w:rPr>
                <w:sz w:val="18"/>
                <w:szCs w:val="18"/>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w:t>
            </w:r>
          </w:p>
        </w:tc>
        <w:tc>
          <w:tcPr>
            <w:tcW w:w="11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40" w:type="dxa"/>
            <w:vAlign w:val="bottom"/>
          </w:tcPr>
          <w:p>
            <w:pPr>
              <w:spacing w:after="0"/>
              <w:rPr>
                <w:sz w:val="18"/>
                <w:szCs w:val="18"/>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awards;</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3"/>
              </w:rPr>
              <w:t>of</w:t>
            </w:r>
          </w:p>
        </w:tc>
        <w:tc>
          <w:tcPr>
            <w:tcW w:w="40" w:type="dxa"/>
            <w:vAlign w:val="bottom"/>
          </w:tcPr>
          <w:p>
            <w:pPr>
              <w:spacing w:after="0"/>
              <w:rPr>
                <w:sz w:val="18"/>
                <w:szCs w:val="18"/>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Stock and</w:t>
            </w:r>
          </w:p>
        </w:tc>
        <w:tc>
          <w:tcPr>
            <w:tcW w:w="40" w:type="dxa"/>
            <w:vAlign w:val="bottom"/>
          </w:tcPr>
          <w:p>
            <w:pPr>
              <w:spacing w:after="0"/>
              <w:rPr>
                <w:sz w:val="18"/>
                <w:szCs w:val="18"/>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of</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Option</w:t>
            </w:r>
          </w:p>
        </w:tc>
        <w:tc>
          <w:tcPr>
            <w:tcW w:w="40" w:type="dxa"/>
            <w:vAlign w:val="bottom"/>
          </w:tcPr>
          <w:p>
            <w:pPr>
              <w:spacing w:after="0"/>
              <w:rPr>
                <w:sz w:val="18"/>
                <w:szCs w:val="18"/>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Grant</w:t>
            </w:r>
          </w:p>
        </w:tc>
        <w:tc>
          <w:tcPr>
            <w:tcW w:w="1180" w:type="dxa"/>
            <w:vAlign w:val="bottom"/>
            <w:tcBorders>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Threshold</w:t>
            </w:r>
          </w:p>
        </w:tc>
        <w:tc>
          <w:tcPr>
            <w:tcW w:w="280" w:type="dxa"/>
            <w:vAlign w:val="bottom"/>
          </w:tcPr>
          <w:p>
            <w:pPr>
              <w:spacing w:after="0"/>
              <w:rPr>
                <w:sz w:val="18"/>
                <w:szCs w:val="18"/>
                <w:color w:val="auto"/>
              </w:rPr>
            </w:pPr>
          </w:p>
        </w:tc>
        <w:tc>
          <w:tcPr>
            <w:tcW w:w="90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3"/>
              </w:rPr>
              <w:t>Target</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Maximum</w:t>
            </w:r>
          </w:p>
        </w:tc>
        <w:tc>
          <w:tcPr>
            <w:tcW w:w="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Threshold</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11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Maximum</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or</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Awards</w:t>
            </w:r>
          </w:p>
        </w:tc>
        <w:tc>
          <w:tcPr>
            <w:tcW w:w="40" w:type="dxa"/>
            <w:vAlign w:val="bottom"/>
          </w:tcPr>
          <w:p>
            <w:pPr>
              <w:spacing w:after="0"/>
              <w:rPr>
                <w:sz w:val="18"/>
                <w:szCs w:val="18"/>
                <w:color w:val="auto"/>
              </w:rPr>
            </w:pPr>
          </w:p>
        </w:tc>
      </w:tr>
      <w:tr>
        <w:trPr>
          <w:trHeight w:val="234"/>
        </w:trPr>
        <w:tc>
          <w:tcPr>
            <w:tcW w:w="1480" w:type="dxa"/>
            <w:vAlign w:val="bottom"/>
            <w:tcBorders>
              <w:left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40" w:type="dxa"/>
            <w:vAlign w:val="bottom"/>
          </w:tcPr>
          <w:p>
            <w:pPr>
              <w:spacing w:after="0"/>
              <w:rPr>
                <w:sz w:val="20"/>
                <w:szCs w:val="20"/>
                <w:color w:val="auto"/>
              </w:rPr>
            </w:pPr>
          </w:p>
        </w:tc>
        <w:tc>
          <w:tcPr>
            <w:tcW w:w="840" w:type="dxa"/>
            <w:vAlign w:val="bottom"/>
            <w:tcBorders>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5"/>
              </w:rPr>
              <w:t>($)</w:t>
            </w:r>
          </w:p>
        </w:tc>
        <w:tc>
          <w:tcPr>
            <w:tcW w:w="360" w:type="dxa"/>
            <w:vAlign w:val="bottom"/>
          </w:tcPr>
          <w:p>
            <w:pPr>
              <w:spacing w:after="0"/>
              <w:rPr>
                <w:sz w:val="20"/>
                <w:szCs w:val="20"/>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4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(3)</w:t>
            </w:r>
          </w:p>
        </w:tc>
        <w:tc>
          <w:tcPr>
            <w:tcW w:w="200" w:type="dxa"/>
            <w:vAlign w:val="bottom"/>
          </w:tcPr>
          <w:p>
            <w:pPr>
              <w:spacing w:after="0"/>
              <w:rPr>
                <w:sz w:val="20"/>
                <w:szCs w:val="20"/>
                <w:color w:val="auto"/>
              </w:rPr>
            </w:pPr>
          </w:p>
        </w:tc>
        <w:tc>
          <w:tcPr>
            <w:tcW w:w="9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14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J.H. Batten</w:t>
            </w: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1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Cash Incentive</w:t>
            </w:r>
          </w:p>
        </w:tc>
        <w:tc>
          <w:tcPr>
            <w:tcW w:w="70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162,500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325,000</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14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 Stock</w:t>
            </w:r>
          </w:p>
        </w:tc>
        <w:tc>
          <w:tcPr>
            <w:tcW w:w="7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66"/>
        </w:trPr>
        <w:tc>
          <w:tcPr>
            <w:tcW w:w="1480" w:type="dxa"/>
            <w:vAlign w:val="bottom"/>
            <w:tcBorders>
              <w:left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Awards (1)</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16,748</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33,496</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50,244</w:t>
            </w: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163,126</w:t>
            </w:r>
          </w:p>
        </w:tc>
        <w:tc>
          <w:tcPr>
            <w:tcW w:w="40" w:type="dxa"/>
            <w:vAlign w:val="bottom"/>
          </w:tcPr>
          <w:p>
            <w:pPr>
              <w:spacing w:after="0"/>
              <w:rPr>
                <w:sz w:val="22"/>
                <w:szCs w:val="22"/>
                <w:color w:val="auto"/>
              </w:rPr>
            </w:pPr>
          </w:p>
        </w:tc>
      </w:tr>
      <w:tr>
        <w:trPr>
          <w:trHeight w:val="218"/>
        </w:trPr>
        <w:tc>
          <w:tcPr>
            <w:tcW w:w="148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Restricted Stock</w:t>
            </w:r>
          </w:p>
        </w:tc>
        <w:tc>
          <w:tcPr>
            <w:tcW w:w="7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33,496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326,251</w:t>
            </w: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14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J.S. Knutson</w:t>
            </w: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1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Cash Incentive</w:t>
            </w:r>
          </w:p>
        </w:tc>
        <w:tc>
          <w:tcPr>
            <w:tcW w:w="70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78,750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157,500</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1480" w:type="dxa"/>
            <w:vAlign w:val="bottom"/>
            <w:tcBorders>
              <w:left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Performance Stock</w:t>
            </w:r>
          </w:p>
        </w:tc>
        <w:tc>
          <w:tcPr>
            <w:tcW w:w="7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66"/>
        </w:trPr>
        <w:tc>
          <w:tcPr>
            <w:tcW w:w="1480" w:type="dxa"/>
            <w:vAlign w:val="bottom"/>
            <w:tcBorders>
              <w:left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Awards (1)</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7,059</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14,117</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21,176</w:t>
            </w: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68,755</w:t>
            </w:r>
          </w:p>
        </w:tc>
        <w:tc>
          <w:tcPr>
            <w:tcW w:w="40" w:type="dxa"/>
            <w:vAlign w:val="bottom"/>
          </w:tcPr>
          <w:p>
            <w:pPr>
              <w:spacing w:after="0"/>
              <w:rPr>
                <w:sz w:val="22"/>
                <w:szCs w:val="22"/>
                <w:color w:val="auto"/>
              </w:rPr>
            </w:pPr>
          </w:p>
        </w:tc>
      </w:tr>
      <w:tr>
        <w:trPr>
          <w:trHeight w:val="218"/>
        </w:trPr>
        <w:tc>
          <w:tcPr>
            <w:tcW w:w="148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Restricted Stock</w:t>
            </w:r>
          </w:p>
        </w:tc>
        <w:tc>
          <w:tcPr>
            <w:tcW w:w="7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14,117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137,500</w:t>
            </w: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14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M.F. Moore</w:t>
            </w: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1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Cash Incentive</w:t>
            </w:r>
          </w:p>
        </w:tc>
        <w:tc>
          <w:tcPr>
            <w:tcW w:w="70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99,375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198,750</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397,500</w:t>
            </w:r>
          </w:p>
        </w:tc>
        <w:tc>
          <w:tcPr>
            <w:tcW w:w="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1480" w:type="dxa"/>
            <w:vAlign w:val="bottom"/>
            <w:tcBorders>
              <w:left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Performance Stock</w:t>
            </w:r>
          </w:p>
        </w:tc>
        <w:tc>
          <w:tcPr>
            <w:tcW w:w="7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66"/>
        </w:trPr>
        <w:tc>
          <w:tcPr>
            <w:tcW w:w="1480" w:type="dxa"/>
            <w:vAlign w:val="bottom"/>
            <w:tcBorders>
              <w:left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Awards (1)</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9,693</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19,386</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29,079</w:t>
            </w: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94,410</w:t>
            </w:r>
          </w:p>
        </w:tc>
        <w:tc>
          <w:tcPr>
            <w:tcW w:w="40" w:type="dxa"/>
            <w:vAlign w:val="bottom"/>
          </w:tcPr>
          <w:p>
            <w:pPr>
              <w:spacing w:after="0"/>
              <w:rPr>
                <w:sz w:val="22"/>
                <w:szCs w:val="22"/>
                <w:color w:val="auto"/>
              </w:rPr>
            </w:pPr>
          </w:p>
        </w:tc>
      </w:tr>
      <w:tr>
        <w:trPr>
          <w:trHeight w:val="218"/>
        </w:trPr>
        <w:tc>
          <w:tcPr>
            <w:tcW w:w="148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Restricted Stock</w:t>
            </w:r>
          </w:p>
        </w:tc>
        <w:tc>
          <w:tcPr>
            <w:tcW w:w="7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19,386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188,820</w:t>
            </w: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14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D.J. Nelson</w:t>
            </w: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1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Cash Incentive</w:t>
            </w:r>
          </w:p>
        </w:tc>
        <w:tc>
          <w:tcPr>
            <w:tcW w:w="70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81,250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162,500</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1480" w:type="dxa"/>
            <w:vAlign w:val="bottom"/>
            <w:tcBorders>
              <w:left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Performance Stock</w:t>
            </w:r>
          </w:p>
        </w:tc>
        <w:tc>
          <w:tcPr>
            <w:tcW w:w="7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66"/>
        </w:trPr>
        <w:tc>
          <w:tcPr>
            <w:tcW w:w="1480" w:type="dxa"/>
            <w:vAlign w:val="bottom"/>
            <w:tcBorders>
              <w:left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Awards (1)</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12/12/16</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74,450</w:t>
            </w:r>
          </w:p>
        </w:tc>
        <w:tc>
          <w:tcPr>
            <w:tcW w:w="40" w:type="dxa"/>
            <w:vAlign w:val="bottom"/>
          </w:tcPr>
          <w:p>
            <w:pPr>
              <w:spacing w:after="0"/>
              <w:rPr>
                <w:sz w:val="22"/>
                <w:szCs w:val="22"/>
                <w:color w:val="auto"/>
              </w:rPr>
            </w:pPr>
          </w:p>
        </w:tc>
      </w:tr>
      <w:tr>
        <w:trPr>
          <w:trHeight w:val="218"/>
        </w:trPr>
        <w:tc>
          <w:tcPr>
            <w:tcW w:w="148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Restricted Stock</w:t>
            </w:r>
          </w:p>
        </w:tc>
        <w:tc>
          <w:tcPr>
            <w:tcW w:w="7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Award(2)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12/12/16</w:t>
            </w:r>
          </w:p>
        </w:tc>
        <w:tc>
          <w:tcPr>
            <w:tcW w:w="3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565,820</w:t>
            </w: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14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D.J. Bratel</w:t>
            </w:r>
          </w:p>
        </w:tc>
        <w:tc>
          <w:tcPr>
            <w:tcW w:w="700" w:type="dxa"/>
            <w:vAlign w:val="bottom"/>
            <w:tcBorders>
              <w:bottom w:val="single" w:sz="8" w:color="CCEEFF"/>
              <w:right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1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Cash Incentive</w:t>
            </w:r>
          </w:p>
        </w:tc>
        <w:tc>
          <w:tcPr>
            <w:tcW w:w="700" w:type="dxa"/>
            <w:vAlign w:val="bottom"/>
            <w:tcBorders>
              <w:top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68,750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137,500</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1480" w:type="dxa"/>
            <w:vAlign w:val="bottom"/>
            <w:tcBorders>
              <w:left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Performance Stock</w:t>
            </w:r>
          </w:p>
        </w:tc>
        <w:tc>
          <w:tcPr>
            <w:tcW w:w="7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66"/>
        </w:trPr>
        <w:tc>
          <w:tcPr>
            <w:tcW w:w="1480" w:type="dxa"/>
            <w:vAlign w:val="bottom"/>
            <w:tcBorders>
              <w:left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Awards (1)</w:t>
            </w:r>
          </w:p>
        </w:tc>
        <w:tc>
          <w:tcPr>
            <w:tcW w:w="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auto"/>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6,417</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12,834</w:t>
            </w:r>
          </w:p>
        </w:tc>
        <w:tc>
          <w:tcPr>
            <w:tcW w:w="114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19,251</w:t>
            </w:r>
          </w:p>
        </w:tc>
        <w:tc>
          <w:tcPr>
            <w:tcW w:w="1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62,502</w:t>
            </w:r>
          </w:p>
        </w:tc>
        <w:tc>
          <w:tcPr>
            <w:tcW w:w="40" w:type="dxa"/>
            <w:vAlign w:val="bottom"/>
          </w:tcPr>
          <w:p>
            <w:pPr>
              <w:spacing w:after="0"/>
              <w:rPr>
                <w:sz w:val="22"/>
                <w:szCs w:val="22"/>
                <w:color w:val="auto"/>
              </w:rPr>
            </w:pPr>
          </w:p>
        </w:tc>
      </w:tr>
      <w:tr>
        <w:trPr>
          <w:trHeight w:val="218"/>
        </w:trPr>
        <w:tc>
          <w:tcPr>
            <w:tcW w:w="1480" w:type="dxa"/>
            <w:vAlign w:val="bottom"/>
            <w:tcBorders>
              <w:top w:val="single" w:sz="8" w:color="auto"/>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Restricted Stock</w:t>
            </w:r>
          </w:p>
        </w:tc>
        <w:tc>
          <w:tcPr>
            <w:tcW w:w="7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7/28/16</w:t>
            </w:r>
          </w:p>
        </w:tc>
        <w:tc>
          <w:tcPr>
            <w:tcW w:w="3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12,834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125,003</w:t>
            </w:r>
          </w:p>
        </w:tc>
        <w:tc>
          <w:tcPr>
            <w:tcW w:w="40" w:type="dxa"/>
            <w:vAlign w:val="bottom"/>
          </w:tcPr>
          <w:p>
            <w:pPr>
              <w:spacing w:after="0"/>
              <w:rPr>
                <w:sz w:val="20"/>
                <w:szCs w:val="20"/>
                <w:color w:val="auto"/>
              </w:rPr>
            </w:pPr>
          </w:p>
        </w:tc>
      </w:tr>
      <w:tr>
        <w:trPr>
          <w:trHeight w:val="24"/>
        </w:trPr>
        <w:tc>
          <w:tcPr>
            <w:tcW w:w="148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72"/>
        </w:trPr>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w w:val="99"/>
              </w:rPr>
              <w:t>34</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480" w:type="dxa"/>
            <w:vAlign w:val="bottom"/>
            <w:tcBorders>
              <w:left w:val="single" w:sz="8" w:color="808080"/>
              <w:right w:val="single" w:sz="8" w:color="808080"/>
            </w:tcBorders>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120" w:type="dxa"/>
            <w:vAlign w:val="bottom"/>
            <w:tcBorders>
              <w:right w:val="single" w:sz="8" w:color="808080"/>
            </w:tcBorders>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-5327015</wp:posOffset>
            </wp:positionV>
            <wp:extent cx="722947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-4829810</wp:posOffset>
            </wp:positionV>
            <wp:extent cx="722947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31750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-4331970</wp:posOffset>
            </wp:positionV>
            <wp:extent cx="722947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-3834765</wp:posOffset>
            </wp:positionV>
            <wp:extent cx="7229475" cy="31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31750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-3337560</wp:posOffset>
            </wp:positionV>
            <wp:extent cx="722947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-2839720</wp:posOffset>
            </wp:positionV>
            <wp:extent cx="7229475"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31750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-2342515</wp:posOffset>
            </wp:positionV>
            <wp:extent cx="722947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-1845310</wp:posOffset>
            </wp:positionV>
            <wp:extent cx="7229475"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31750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-1348105</wp:posOffset>
            </wp:positionV>
            <wp:extent cx="722947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-850265</wp:posOffset>
            </wp:positionV>
            <wp:extent cx="7229475"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ectPr>
          <w:pgSz w:w="11900" w:h="16838" w:orient="portrait"/>
          <w:cols w:equalWidth="0" w:num="1">
            <w:col w:w="11460"/>
          </w:cols>
          <w:pgMar w:left="240" w:top="576" w:right="199" w:bottom="1440" w:gutter="0" w:footer="0" w:header="0"/>
        </w:sectPr>
      </w:pPr>
    </w:p>
    <w:bookmarkStart w:id="35" w:name="page36"/>
    <w:bookmarkEnd w:id="35"/>
    <w:p>
      <w:pPr>
        <w:ind w:left="328" w:right="240" w:hanging="328"/>
        <w:spacing w:after="0" w:line="261"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awards with performance-based vesting criteria, as discussed in the “Long-Term Compensation” section of the Compensation Discussion and Analysis; eligible for vesting in 2019.</w:t>
      </w:r>
    </w:p>
    <w:p>
      <w:pPr>
        <w:ind w:left="328" w:right="140" w:hanging="328"/>
        <w:spacing w:after="0" w:line="250"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that will vest over three years, provided Mr. Nelson is employed on the vesting dates: 14,000 shares vest 12/12/2017, 14,000 shares vest 12/12/2018, and 10,000 shares vest on 7/28/2019.</w:t>
      </w: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with a vesting date of July 28, 2019. This stock will vest if the executive remains employed through the vesting date.</w:t>
      </w:r>
    </w:p>
    <w:p>
      <w:pPr>
        <w:spacing w:after="0" w:line="9" w:lineRule="exact"/>
        <w:rPr>
          <w:rFonts w:ascii="Times New Roman" w:cs="Times New Roman" w:eastAsia="Times New Roman" w:hAnsi="Times New Roman"/>
          <w:sz w:val="18"/>
          <w:szCs w:val="18"/>
          <w:color w:val="auto"/>
        </w:rPr>
      </w:pPr>
    </w:p>
    <w:p>
      <w:pPr>
        <w:ind w:left="328" w:hanging="328"/>
        <w:spacing w:after="0" w:line="254"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for Messrs. Batten, Knutson, Moore and Bratel are calculated using the closing price of Twin Disc shares on the July 28, 2016 grant date ($9.74). The grant date fair values for Mr. Nelson are calculated using the closing price of Twin Disc shares on the December 12, 2016 grant date ($14.89). The grant date fair values for the performance stock awards are based on the assumption that the threshold performance objectives for these awards would be met, the most probable outcome as of the grant date.</w:t>
      </w:r>
    </w:p>
    <w:p>
      <w:pPr>
        <w:spacing w:after="0" w:line="200" w:lineRule="exact"/>
        <w:rPr>
          <w:sz w:val="20"/>
          <w:szCs w:val="20"/>
          <w:color w:val="auto"/>
        </w:rPr>
      </w:pPr>
    </w:p>
    <w:p>
      <w:pPr>
        <w:spacing w:after="0" w:line="229"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83820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88"/>
          </w:cols>
          <w:pgMar w:left="572" w:top="580"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restricted stock, performance stock and performance stock unit awards held by our Named Executive Officers on June 30, 2017. The Named Executive Officers had no outstanding exercisable or unexercisable options outstanding on June 30, 2017.</w:t>
      </w: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3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300" w:type="dxa"/>
            <w:vAlign w:val="bottom"/>
            <w:tcBorders>
              <w:top w:val="single" w:sz="8" w:color="auto"/>
              <w:bottom w:val="single" w:sz="8" w:color="auto"/>
            </w:tcBorders>
          </w:tcPr>
          <w:p>
            <w:pPr>
              <w:spacing w:after="0"/>
              <w:rPr>
                <w:sz w:val="20"/>
                <w:szCs w:val="20"/>
                <w:color w:val="auto"/>
              </w:rPr>
            </w:pPr>
          </w:p>
        </w:tc>
        <w:tc>
          <w:tcPr>
            <w:tcW w:w="4540" w:type="dxa"/>
            <w:vAlign w:val="bottom"/>
            <w:tcBorders>
              <w:top w:val="single" w:sz="8" w:color="auto"/>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Stock Awards</w:t>
            </w:r>
          </w:p>
        </w:tc>
        <w:tc>
          <w:tcPr>
            <w:tcW w:w="26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right w:val="single" w:sz="8" w:color="auto"/>
            </w:tcBorders>
          </w:tcPr>
          <w:p>
            <w:pPr>
              <w:spacing w:after="0"/>
              <w:rPr>
                <w:sz w:val="20"/>
                <w:szCs w:val="20"/>
                <w:color w:val="auto"/>
              </w:rPr>
            </w:pPr>
          </w:p>
        </w:tc>
      </w:tr>
      <w:tr>
        <w:trPr>
          <w:trHeight w:val="191"/>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Number of Shares or</w:t>
            </w:r>
          </w:p>
        </w:tc>
        <w:tc>
          <w:tcPr>
            <w:tcW w:w="2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Market Value of</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 Incentive Plan</w:t>
            </w:r>
          </w:p>
        </w:tc>
        <w:tc>
          <w:tcPr>
            <w:tcW w:w="260" w:type="dxa"/>
            <w:vAlign w:val="bottom"/>
          </w:tcPr>
          <w:p>
            <w:pPr>
              <w:spacing w:after="0"/>
              <w:rPr>
                <w:sz w:val="16"/>
                <w:szCs w:val="16"/>
                <w:color w:val="auto"/>
              </w:rPr>
            </w:pPr>
          </w:p>
        </w:tc>
        <w:tc>
          <w:tcPr>
            <w:tcW w:w="2000" w:type="dxa"/>
            <w:vAlign w:val="bottom"/>
            <w:tcBorders>
              <w:right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Equity Incentive Plan</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Units of Stock That</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or Units of</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Awards: Number of</w:t>
            </w:r>
          </w:p>
        </w:tc>
        <w:tc>
          <w:tcPr>
            <w:tcW w:w="260" w:type="dxa"/>
            <w:vAlign w:val="bottom"/>
          </w:tcPr>
          <w:p>
            <w:pPr>
              <w:spacing w:after="0"/>
              <w:rPr>
                <w:sz w:val="18"/>
                <w:szCs w:val="18"/>
                <w:color w:val="auto"/>
              </w:rPr>
            </w:pPr>
          </w:p>
        </w:tc>
        <w:tc>
          <w:tcPr>
            <w:tcW w:w="20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Awards: Market or</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Have Not Vested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That Have Not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Unearned Shares,</w:t>
            </w:r>
          </w:p>
        </w:tc>
        <w:tc>
          <w:tcPr>
            <w:tcW w:w="260" w:type="dxa"/>
            <w:vAlign w:val="bottom"/>
          </w:tcPr>
          <w:p>
            <w:pPr>
              <w:spacing w:after="0"/>
              <w:rPr>
                <w:sz w:val="18"/>
                <w:szCs w:val="18"/>
                <w:color w:val="auto"/>
              </w:rPr>
            </w:pPr>
          </w:p>
        </w:tc>
        <w:tc>
          <w:tcPr>
            <w:tcW w:w="20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Payout Value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or Other Rights</w:t>
            </w:r>
          </w:p>
        </w:tc>
        <w:tc>
          <w:tcPr>
            <w:tcW w:w="260" w:type="dxa"/>
            <w:vAlign w:val="bottom"/>
          </w:tcPr>
          <w:p>
            <w:pPr>
              <w:spacing w:after="0"/>
              <w:rPr>
                <w:sz w:val="18"/>
                <w:szCs w:val="18"/>
                <w:color w:val="auto"/>
              </w:rPr>
            </w:pPr>
          </w:p>
        </w:tc>
        <w:tc>
          <w:tcPr>
            <w:tcW w:w="20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Unearned Shares,</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That Have Not Vested</w:t>
            </w:r>
          </w:p>
        </w:tc>
        <w:tc>
          <w:tcPr>
            <w:tcW w:w="260" w:type="dxa"/>
            <w:vAlign w:val="bottom"/>
          </w:tcPr>
          <w:p>
            <w:pPr>
              <w:spacing w:after="0"/>
              <w:rPr>
                <w:sz w:val="18"/>
                <w:szCs w:val="18"/>
                <w:color w:val="auto"/>
              </w:rPr>
            </w:pPr>
          </w:p>
        </w:tc>
        <w:tc>
          <w:tcPr>
            <w:tcW w:w="20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Units or Other Rights</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60" w:type="dxa"/>
            <w:vAlign w:val="bottom"/>
          </w:tcPr>
          <w:p>
            <w:pPr>
              <w:spacing w:after="0"/>
              <w:rPr>
                <w:sz w:val="18"/>
                <w:szCs w:val="18"/>
                <w:color w:val="auto"/>
              </w:rPr>
            </w:pPr>
          </w:p>
        </w:tc>
        <w:tc>
          <w:tcPr>
            <w:tcW w:w="200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That Have Not Vested</w:t>
            </w:r>
          </w:p>
        </w:tc>
      </w:tr>
      <w:tr>
        <w:trPr>
          <w:trHeight w:val="234"/>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Name</w:t>
            </w:r>
          </w:p>
        </w:tc>
        <w:tc>
          <w:tcPr>
            <w:tcW w:w="23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5"/>
              </w:rPr>
              <w:t>(2)</w:t>
            </w:r>
          </w:p>
        </w:tc>
      </w:tr>
      <w:tr>
        <w:trPr>
          <w:trHeight w:val="210"/>
        </w:trPr>
        <w:tc>
          <w:tcPr>
            <w:tcW w:w="23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J.H. Batten</w:t>
            </w:r>
          </w:p>
        </w:tc>
        <w:tc>
          <w:tcPr>
            <w:tcW w:w="2300" w:type="dxa"/>
            <w:vAlign w:val="bottom"/>
            <w:tcBorders>
              <w:bottom w:val="single" w:sz="8" w:color="auto"/>
              <w:right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shd w:val="clear" w:color="auto" w:fill="CCEEFF"/>
          </w:tcPr>
          <w:p>
            <w:pPr>
              <w:spacing w:after="0"/>
              <w:rPr>
                <w:sz w:val="18"/>
                <w:szCs w:val="18"/>
                <w:color w:val="auto"/>
              </w:rPr>
            </w:pPr>
          </w:p>
        </w:tc>
        <w:tc>
          <w:tcPr>
            <w:tcW w:w="2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1,480,990</w:t>
            </w: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J.S. Knutson</w:t>
            </w: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39,626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639,564</w:t>
            </w:r>
          </w:p>
        </w:tc>
      </w:tr>
      <w:tr>
        <w:trPr>
          <w:trHeight w:val="210"/>
        </w:trPr>
        <w:tc>
          <w:tcPr>
            <w:tcW w:w="23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M.F. Moore</w:t>
            </w:r>
          </w:p>
        </w:tc>
        <w:tc>
          <w:tcPr>
            <w:tcW w:w="2300" w:type="dxa"/>
            <w:vAlign w:val="bottom"/>
            <w:tcBorders>
              <w:bottom w:val="single" w:sz="8" w:color="auto"/>
              <w:right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shd w:val="clear" w:color="auto" w:fill="CCEEFF"/>
          </w:tcPr>
          <w:p>
            <w:pPr>
              <w:spacing w:after="0"/>
              <w:rPr>
                <w:sz w:val="18"/>
                <w:szCs w:val="18"/>
                <w:color w:val="auto"/>
              </w:rPr>
            </w:pPr>
          </w:p>
        </w:tc>
        <w:tc>
          <w:tcPr>
            <w:tcW w:w="2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739,616</w:t>
            </w:r>
          </w:p>
        </w:tc>
      </w:tr>
      <w:tr>
        <w:trPr>
          <w:trHeight w:val="210"/>
        </w:trPr>
        <w:tc>
          <w:tcPr>
            <w:tcW w:w="2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D.J. Nelson</w:t>
            </w: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43,000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694,020</w:t>
            </w:r>
          </w:p>
        </w:tc>
      </w:tr>
      <w:tr>
        <w:trPr>
          <w:trHeight w:val="208"/>
        </w:trPr>
        <w:tc>
          <w:tcPr>
            <w:tcW w:w="23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D.J. Bratel</w:t>
            </w:r>
          </w:p>
        </w:tc>
        <w:tc>
          <w:tcPr>
            <w:tcW w:w="2300" w:type="dxa"/>
            <w:vAlign w:val="bottom"/>
            <w:tcBorders>
              <w:bottom w:val="single" w:sz="8" w:color="auto"/>
              <w:right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shd w:val="clear" w:color="auto" w:fill="CCEEFF"/>
          </w:tcPr>
          <w:p>
            <w:pPr>
              <w:spacing w:after="0"/>
              <w:rPr>
                <w:sz w:val="18"/>
                <w:szCs w:val="18"/>
                <w:color w:val="auto"/>
              </w:rPr>
            </w:pPr>
          </w:p>
        </w:tc>
        <w:tc>
          <w:tcPr>
            <w:tcW w:w="2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-584835</wp:posOffset>
            </wp:positionV>
            <wp:extent cx="722947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72294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174" w:lineRule="exact"/>
        <w:rPr>
          <w:sz w:val="20"/>
          <w:szCs w:val="20"/>
          <w:color w:val="auto"/>
        </w:rPr>
      </w:pPr>
    </w:p>
    <w:p>
      <w:pPr>
        <w:ind w:left="340" w:right="200" w:hanging="332"/>
        <w:spacing w:after="0" w:line="255"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number of non-vested restricted stock awards, performance stock awards and performance stock unit awards that are scheduled to vest at various times between July 2017 and July 2019. For awards granted in fiscal 2015, only restricted shares are outstanding and are assumed to vest completely. For awards granted in fiscal 2016 and fiscal 2017 with Threshold/Target/Maximum payout levels, the figures presented assume a threshold level of achievement.</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using $16.14 per share, the closing price of the Corporation’s common stock as of June 30, 2017.</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exercise of stock options and vesting of restricted stock and performance stock that occurred during FY2017 for each of our Named Executive Officers.</w:t>
      </w:r>
    </w:p>
    <w:p>
      <w:pPr>
        <w:spacing w:after="0" w:line="157" w:lineRule="exact"/>
        <w:rPr>
          <w:sz w:val="20"/>
          <w:szCs w:val="20"/>
          <w:color w:val="auto"/>
        </w:rPr>
      </w:pPr>
    </w:p>
    <w:tbl>
      <w:tblPr>
        <w:tblLayout w:type="fixed"/>
        <w:tblInd w:w="1170" w:type="dxa"/>
        <w:tblCellMar>
          <w:top w:w="0" w:type="dxa"/>
          <w:left w:w="0" w:type="dxa"/>
          <w:bottom w:w="0" w:type="dxa"/>
          <w:right w:w="0" w:type="dxa"/>
        </w:tblCellMar>
      </w:tblPr>
      <w:tr>
        <w:trPr>
          <w:trHeight w:val="260"/>
        </w:trPr>
        <w:tc>
          <w:tcPr>
            <w:tcW w:w="2440" w:type="dxa"/>
            <w:vAlign w:val="bottom"/>
            <w:tcBorders>
              <w:top w:val="single" w:sz="8" w:color="auto"/>
              <w:left w:val="single" w:sz="8" w:color="auto"/>
              <w:right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Stock Awards</w:t>
            </w:r>
          </w:p>
        </w:tc>
        <w:tc>
          <w:tcPr>
            <w:tcW w:w="2640" w:type="dxa"/>
            <w:vAlign w:val="bottom"/>
            <w:tcBorders>
              <w:top w:val="single" w:sz="8" w:color="auto"/>
              <w:right w:val="single" w:sz="8" w:color="auto"/>
            </w:tcBorders>
          </w:tcPr>
          <w:p>
            <w:pPr>
              <w:spacing w:after="0"/>
              <w:rPr>
                <w:sz w:val="22"/>
                <w:szCs w:val="22"/>
                <w:color w:val="auto"/>
              </w:rPr>
            </w:pP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18"/>
        </w:trPr>
        <w:tc>
          <w:tcPr>
            <w:tcW w:w="2440" w:type="dxa"/>
            <w:vAlign w:val="bottom"/>
            <w:tcBorders>
              <w:left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Name</w:t>
            </w:r>
          </w:p>
        </w:tc>
        <w:tc>
          <w:tcPr>
            <w:tcW w:w="24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8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640" w:type="dxa"/>
            <w:vAlign w:val="bottom"/>
            <w:tcBorders>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Value Realized on</w:t>
            </w:r>
          </w:p>
        </w:tc>
      </w:tr>
      <w:tr>
        <w:trPr>
          <w:trHeight w:val="234"/>
        </w:trPr>
        <w:tc>
          <w:tcPr>
            <w:tcW w:w="2440" w:type="dxa"/>
            <w:vAlign w:val="bottom"/>
            <w:tcBorders>
              <w:left w:val="single" w:sz="8" w:color="auto"/>
              <w:right w:val="single" w:sz="8" w:color="auto"/>
            </w:tcBorders>
          </w:tcPr>
          <w:p>
            <w:pPr>
              <w:spacing w:after="0"/>
              <w:rPr>
                <w:sz w:val="20"/>
                <w:szCs w:val="20"/>
                <w:color w:val="auto"/>
              </w:rPr>
            </w:pPr>
          </w:p>
        </w:tc>
        <w:tc>
          <w:tcPr>
            <w:tcW w:w="24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Acquired on Vesting</w:t>
            </w:r>
          </w:p>
        </w:tc>
        <w:tc>
          <w:tcPr>
            <w:tcW w:w="82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640" w:type="dxa"/>
            <w:vAlign w:val="bottom"/>
            <w:tcBorders>
              <w:right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Vesting</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69"/>
        </w:trPr>
        <w:tc>
          <w:tcPr>
            <w:tcW w:w="24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J.H. Batten</w:t>
            </w:r>
          </w:p>
        </w:tc>
        <w:tc>
          <w:tcPr>
            <w:tcW w:w="2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11,498</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123,718</w:t>
            </w:r>
          </w:p>
        </w:tc>
      </w:tr>
      <w:tr>
        <w:trPr>
          <w:trHeight w:val="237"/>
        </w:trPr>
        <w:tc>
          <w:tcPr>
            <w:tcW w:w="24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 Knutson</w:t>
            </w:r>
          </w:p>
        </w:tc>
        <w:tc>
          <w:tcPr>
            <w:tcW w:w="246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4,168</w:t>
            </w:r>
          </w:p>
        </w:tc>
        <w:tc>
          <w:tcPr>
            <w:tcW w:w="7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44,848</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69"/>
        </w:trPr>
        <w:tc>
          <w:tcPr>
            <w:tcW w:w="24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 Moore</w:t>
            </w:r>
          </w:p>
        </w:tc>
        <w:tc>
          <w:tcPr>
            <w:tcW w:w="2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4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D.J. Nelson</w:t>
            </w:r>
          </w:p>
        </w:tc>
        <w:tc>
          <w:tcPr>
            <w:tcW w:w="246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20"/>
                <w:szCs w:val="20"/>
                <w:color w:val="auto"/>
              </w:rPr>
            </w:pPr>
          </w:p>
        </w:tc>
        <w:tc>
          <w:tcPr>
            <w:tcW w:w="264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 Bratel</w:t>
            </w:r>
          </w:p>
        </w:tc>
        <w:tc>
          <w:tcPr>
            <w:tcW w:w="2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5,052</w:t>
            </w:r>
          </w:p>
        </w:tc>
        <w:tc>
          <w:tcPr>
            <w:tcW w:w="7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54,360</w:t>
            </w: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-721995</wp:posOffset>
            </wp:positionV>
            <wp:extent cx="578040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80405" cy="18034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-361315</wp:posOffset>
            </wp:positionV>
            <wp:extent cx="578040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0405" cy="18034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actuarial present value of each Named Executive Officer’s accumulated benefits as of June 30, 2017 under our defined benefit pension plan</w:t>
      </w:r>
      <w:r>
        <w:rPr>
          <w:rFonts w:ascii="Times New Roman" w:cs="Times New Roman" w:eastAsia="Times New Roman" w:hAnsi="Times New Roman"/>
          <w:sz w:val="18"/>
          <w:szCs w:val="18"/>
          <w:b w:val="1"/>
          <w:bCs w:val="1"/>
          <w:color w:val="auto"/>
        </w:rPr>
        <w:t>.</w:t>
      </w:r>
    </w:p>
    <w:p>
      <w:pPr>
        <w:spacing w:after="0" w:line="157" w:lineRule="exact"/>
        <w:rPr>
          <w:sz w:val="20"/>
          <w:szCs w:val="20"/>
          <w:color w:val="auto"/>
        </w:rPr>
      </w:pPr>
    </w:p>
    <w:tbl>
      <w:tblPr>
        <w:tblLayout w:type="fixed"/>
        <w:tblInd w:w="170" w:type="dxa"/>
        <w:tblCellMar>
          <w:top w:w="0" w:type="dxa"/>
          <w:left w:w="0" w:type="dxa"/>
          <w:bottom w:w="0" w:type="dxa"/>
          <w:right w:w="0" w:type="dxa"/>
        </w:tblCellMar>
      </w:tblPr>
      <w:tr>
        <w:trPr>
          <w:trHeight w:val="214"/>
        </w:trPr>
        <w:tc>
          <w:tcPr>
            <w:tcW w:w="2080" w:type="dxa"/>
            <w:vAlign w:val="bottom"/>
            <w:tcBorders>
              <w:top w:val="single" w:sz="8" w:color="auto"/>
              <w:left w:val="single" w:sz="8" w:color="auto"/>
              <w:right w:val="single" w:sz="8" w:color="auto"/>
            </w:tcBorders>
          </w:tcPr>
          <w:p>
            <w:pPr>
              <w:spacing w:after="0"/>
              <w:rPr>
                <w:sz w:val="18"/>
                <w:szCs w:val="18"/>
                <w:color w:val="auto"/>
              </w:rPr>
            </w:pPr>
          </w:p>
        </w:tc>
        <w:tc>
          <w:tcPr>
            <w:tcW w:w="324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Years of</w:t>
            </w:r>
          </w:p>
        </w:tc>
        <w:tc>
          <w:tcPr>
            <w:tcW w:w="2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Credited Service</w:t>
            </w:r>
          </w:p>
        </w:tc>
        <w:tc>
          <w:tcPr>
            <w:tcW w:w="2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(Salaried</w:t>
            </w:r>
          </w:p>
        </w:tc>
        <w:tc>
          <w:tcPr>
            <w:tcW w:w="26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Retirement Plan</w:t>
            </w:r>
          </w:p>
        </w:tc>
        <w:tc>
          <w:tcPr>
            <w:tcW w:w="260" w:type="dxa"/>
            <w:vAlign w:val="bottom"/>
          </w:tcPr>
          <w:p>
            <w:pPr>
              <w:spacing w:after="0"/>
              <w:rPr>
                <w:sz w:val="18"/>
                <w:szCs w:val="18"/>
                <w:color w:val="auto"/>
              </w:rPr>
            </w:pPr>
          </w:p>
        </w:tc>
        <w:tc>
          <w:tcPr>
            <w:tcW w:w="15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Present Value of</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Payments</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 of plan freeze</w:t>
            </w:r>
          </w:p>
        </w:tc>
        <w:tc>
          <w:tcPr>
            <w:tcW w:w="260" w:type="dxa"/>
            <w:vAlign w:val="bottom"/>
          </w:tcPr>
          <w:p>
            <w:pPr>
              <w:spacing w:after="0"/>
              <w:rPr>
                <w:sz w:val="18"/>
                <w:szCs w:val="18"/>
                <w:color w:val="auto"/>
              </w:rPr>
            </w:pPr>
          </w:p>
        </w:tc>
        <w:tc>
          <w:tcPr>
            <w:tcW w:w="158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Accumulated</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During Last</w:t>
            </w:r>
          </w:p>
        </w:tc>
      </w:tr>
      <w:tr>
        <w:trPr>
          <w:trHeight w:val="234"/>
        </w:trPr>
        <w:tc>
          <w:tcPr>
            <w:tcW w:w="208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Name</w:t>
            </w:r>
          </w:p>
        </w:tc>
        <w:tc>
          <w:tcPr>
            <w:tcW w:w="3240" w:type="dxa"/>
            <w:vAlign w:val="bottom"/>
            <w:tcBorders>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Plan Name</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Benefits (1)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Fiscal Year</w:t>
            </w:r>
          </w:p>
        </w:tc>
      </w:tr>
      <w:tr>
        <w:trPr>
          <w:trHeight w:val="210"/>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J.H. Batten</w:t>
            </w:r>
          </w:p>
        </w:tc>
        <w:tc>
          <w:tcPr>
            <w:tcW w:w="3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Retirement Plan for Salaried Employees</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141,947</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J.S. Knutson</w:t>
            </w:r>
          </w:p>
        </w:tc>
        <w:tc>
          <w:tcPr>
            <w:tcW w:w="3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 Moore</w:t>
            </w:r>
          </w:p>
        </w:tc>
        <w:tc>
          <w:tcPr>
            <w:tcW w:w="3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10"/>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 Nelson</w:t>
            </w:r>
          </w:p>
        </w:tc>
        <w:tc>
          <w:tcPr>
            <w:tcW w:w="3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r>
      <w:tr>
        <w:trPr>
          <w:trHeight w:val="208"/>
        </w:trPr>
        <w:tc>
          <w:tcPr>
            <w:tcW w:w="2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 Bratel</w:t>
            </w:r>
          </w:p>
        </w:tc>
        <w:tc>
          <w:tcPr>
            <w:tcW w:w="3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Retirement Plan for Salaried Employees</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213,839</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-1167765</wp:posOffset>
            </wp:positionV>
            <wp:extent cx="686054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-876300</wp:posOffset>
            </wp:positionV>
            <wp:extent cx="686054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-584835</wp:posOffset>
            </wp:positionV>
            <wp:extent cx="686054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-292735</wp:posOffset>
            </wp:positionV>
            <wp:extent cx="686054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60540" cy="146050"/>
                    </a:xfrm>
                    <a:prstGeom prst="rect">
                      <a:avLst/>
                    </a:prstGeom>
                    <a:noFill/>
                  </pic:spPr>
                </pic:pic>
              </a:graphicData>
            </a:graphic>
          </wp:anchor>
        </w:drawing>
      </w:r>
    </w:p>
    <w:p>
      <w:pPr>
        <w:spacing w:after="0" w:line="391" w:lineRule="exact"/>
        <w:rPr>
          <w:sz w:val="20"/>
          <w:szCs w:val="20"/>
          <w:color w:val="auto"/>
        </w:rPr>
      </w:pPr>
    </w:p>
    <w:p>
      <w:pPr>
        <w:jc w:val="both"/>
        <w:ind w:left="660" w:right="180" w:hanging="328"/>
        <w:spacing w:after="0" w:line="25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key assumptions were made in calculating the present value of the qualified retirement plan. For Messrs. Batten and Bratel, the key assumptions include a 3.67% discount rate and a retirement age of 65. No mortality assumption was used prior to retirement. After retirement, the mortality assumption is the Gender-specific RP-2014 table with generational mortality improvements.</w:t>
      </w:r>
    </w:p>
    <w:p>
      <w:pPr>
        <w:spacing w:after="0" w:line="1"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Knutson, Moore, and Nelson do not participate in the Retirement Plan for Salaried Employees because they were hired after October 1, 2003, the date that the plan was closed to new employees.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i w:val="1"/>
          <w:iCs w:val="1"/>
          <w:color w:val="auto"/>
        </w:rPr>
        <w:t>Retirement Plan for Salaried Employees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Mr. Bratel is currently the only Named Executive Officer that is eligible for retirement.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Officers with a benefit under both the pre-1997 portion of the Retirement Plan and the cash balance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Retirement Plan was amended to freeze all future benefit accruals, effective August 1, 2009.</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2015 and 2016, the annual limit was $265,000 and in calendar year 2017, the annual limit is $270,000.</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Defined Contribution and Other Nonqualified Deferred Compensation Plans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accumulated benefits as of June 30, 2017 under our Supplemental Executive Retirement Plan for each Named Executive Officer with a benefit under a defined contribution formula under that plan.</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180" w:type="dxa"/>
            <w:vAlign w:val="bottom"/>
            <w:tcBorders>
              <w:top w:val="single" w:sz="8" w:color="auto"/>
              <w:left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Executive</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Registrant</w:t>
            </w: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Aggregate</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Aggregate</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Contributions</w:t>
            </w:r>
          </w:p>
        </w:tc>
        <w:tc>
          <w:tcPr>
            <w:tcW w:w="260" w:type="dxa"/>
            <w:vAlign w:val="bottom"/>
          </w:tcPr>
          <w:p>
            <w:pPr>
              <w:spacing w:after="0"/>
              <w:rPr>
                <w:sz w:val="18"/>
                <w:szCs w:val="18"/>
                <w:color w:val="auto"/>
              </w:rPr>
            </w:pPr>
          </w:p>
        </w:tc>
        <w:tc>
          <w:tcPr>
            <w:tcW w:w="14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Earnings</w:t>
            </w:r>
          </w:p>
        </w:tc>
        <w:tc>
          <w:tcPr>
            <w:tcW w:w="280" w:type="dxa"/>
            <w:vAlign w:val="bottom"/>
          </w:tcPr>
          <w:p>
            <w:pPr>
              <w:spacing w:after="0"/>
              <w:rPr>
                <w:sz w:val="18"/>
                <w:szCs w:val="18"/>
                <w:color w:val="auto"/>
              </w:rPr>
            </w:pPr>
          </w:p>
        </w:tc>
        <w:tc>
          <w:tcPr>
            <w:tcW w:w="14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Withdrawals/</w:t>
            </w:r>
          </w:p>
        </w:tc>
        <w:tc>
          <w:tcPr>
            <w:tcW w:w="260" w:type="dxa"/>
            <w:vAlign w:val="bottom"/>
          </w:tcPr>
          <w:p>
            <w:pPr>
              <w:spacing w:after="0"/>
              <w:rPr>
                <w:sz w:val="18"/>
                <w:szCs w:val="18"/>
                <w:color w:val="auto"/>
              </w:rPr>
            </w:pPr>
          </w:p>
        </w:tc>
        <w:tc>
          <w:tcPr>
            <w:tcW w:w="14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Balance at Last</w:t>
            </w:r>
          </w:p>
        </w:tc>
      </w:tr>
      <w:tr>
        <w:trPr>
          <w:trHeight w:val="234"/>
        </w:trPr>
        <w:tc>
          <w:tcPr>
            <w:tcW w:w="2180" w:type="dxa"/>
            <w:vAlign w:val="bottom"/>
            <w:tcBorders>
              <w:left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Name</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in Last FY</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 Last FY (1)</w:t>
            </w: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in Last FY</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Distributions</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FYE</w:t>
            </w: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J.H. Batten</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164,622</w:t>
            </w:r>
          </w:p>
        </w:tc>
      </w:tr>
      <w:tr>
        <w:trPr>
          <w:trHeight w:val="210"/>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J.S. Knutson</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 Moore</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 Nelson</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08"/>
        </w:trPr>
        <w:tc>
          <w:tcPr>
            <w:tcW w:w="21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 Bratel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-1167765</wp:posOffset>
            </wp:positionV>
            <wp:extent cx="686054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-876300</wp:posOffset>
            </wp:positionV>
            <wp:extent cx="686054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-584835</wp:posOffset>
            </wp:positionV>
            <wp:extent cx="686054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686054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60540" cy="146050"/>
                    </a:xfrm>
                    <a:prstGeom prst="rect">
                      <a:avLst/>
                    </a:prstGeom>
                    <a:noFill/>
                  </pic:spPr>
                </pic:pic>
              </a:graphicData>
            </a:graphic>
          </wp:anchor>
        </w:drawing>
      </w:r>
    </w:p>
    <w:p>
      <w:pPr>
        <w:spacing w:after="0" w:line="174" w:lineRule="exact"/>
        <w:rPr>
          <w:sz w:val="20"/>
          <w:szCs w:val="20"/>
          <w:color w:val="auto"/>
        </w:rPr>
      </w:pPr>
    </w:p>
    <w:p>
      <w:pPr>
        <w:ind w:left="340" w:right="2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“Registrant Contributions in Last FY” column are credits to a bookkeeping account maintained by the Corporation for the benefit of the Named Executive Officer, and are included in the “All Other Compensation” figures of the Summary Compensation Table.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8" w:right="27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Supplemental Executive Retirement Plan (“SERP”) is available to qualified US-based Named Executive Officers, including Messrs. Batten and Bratel. It is the Corporation’s current practice to allow no additional participants in this plan.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Batten and Bratel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Batten and Bratel will receive interest credits based on the annual rate on 30-year Treasury securities, with a minimum annual interest credit of three percent.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(or on the date that is six months after retirement, if later), and the second payment to be made on February 1 of the following year. The two payments shall be the actuarial equivalent of the annual benefit calculated under the single life annuity form.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each of the two lump sum payments exceeds $500,000, each payment shall be limited to $500,000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2" w:lineRule="exact"/>
        <w:rPr>
          <w:sz w:val="20"/>
          <w:szCs w:val="20"/>
          <w:color w:val="auto"/>
        </w:rPr>
      </w:pPr>
    </w:p>
    <w:p>
      <w:pPr>
        <w:ind w:left="660" w:right="180" w:hanging="328"/>
        <w:spacing w:after="0" w:line="25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Normal or Early Retirement</w:t>
      </w:r>
      <w:r>
        <w:rPr>
          <w:rFonts w:ascii="Times New Roman" w:cs="Times New Roman" w:eastAsia="Times New Roman" w:hAnsi="Times New Roman"/>
          <w:sz w:val="18"/>
          <w:szCs w:val="18"/>
          <w:color w:val="auto"/>
        </w:rPr>
        <w:t>. The normal retirement age for US-based employees, including the Named Executive Officers, is 65. All full-time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salaried employees employed before October 1, 2003 participate in the Twin Disc, 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Mr. Bratel is the only Named Executive Officer who was eligible for retirement at the end of FY2017.</w:t>
      </w:r>
    </w:p>
    <w:p>
      <w:pPr>
        <w:spacing w:after="0" w:line="183" w:lineRule="exact"/>
        <w:rPr>
          <w:rFonts w:ascii="Times New Roman" w:cs="Times New Roman" w:eastAsia="Times New Roman" w:hAnsi="Times New Roman"/>
          <w:sz w:val="18"/>
          <w:szCs w:val="18"/>
          <w:color w:val="auto"/>
        </w:rPr>
      </w:pPr>
    </w:p>
    <w:p>
      <w:pPr>
        <w:ind w:left="66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is forfeited if retirement occurs before the restrictions on such shares have ended.</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must be exercised within 30 days of termination or they expire.</w:t>
      </w:r>
    </w:p>
    <w:p>
      <w:pPr>
        <w:spacing w:after="0" w:line="225" w:lineRule="exact"/>
        <w:rPr>
          <w:rFonts w:ascii="Times New Roman" w:cs="Times New Roman" w:eastAsia="Times New Roman" w:hAnsi="Times New Roman"/>
          <w:sz w:val="18"/>
          <w:szCs w:val="18"/>
          <w:color w:val="auto"/>
        </w:rPr>
      </w:pPr>
    </w:p>
    <w:p>
      <w:pPr>
        <w:ind w:left="6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Supplemental Executive Retirement Plan (SERP) is available for several Named Executive Officers who qualify for a retirement benefit under the Corporation’s pension plans. Messrs. Batten and Bratel are currently the only participants.</w:t>
      </w:r>
    </w:p>
    <w:p>
      <w:pPr>
        <w:spacing w:after="0" w:line="161" w:lineRule="exact"/>
        <w:rPr>
          <w:rFonts w:ascii="Times New Roman" w:cs="Times New Roman" w:eastAsia="Times New Roman" w:hAnsi="Times New Roman"/>
          <w:sz w:val="18"/>
          <w:szCs w:val="18"/>
          <w:color w:val="auto"/>
        </w:rPr>
      </w:pPr>
    </w:p>
    <w:p>
      <w:pPr>
        <w:ind w:left="660" w:right="24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executives eligible for an endorsement split-dollar life insurance policy, the ownership of the life insurance will be transferred from the Corporation to the executive at the later of retirement or the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5"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while Employed</w:t>
      </w:r>
      <w:r>
        <w:rPr>
          <w:rFonts w:ascii="Times New Roman" w:cs="Times New Roman" w:eastAsia="Times New Roman" w:hAnsi="Times New Roman"/>
          <w:sz w:val="18"/>
          <w:szCs w:val="18"/>
          <w:color w:val="auto"/>
        </w:rPr>
        <w:t>. In the event of death of a Named Executive Officer while actively employed, the executive’s estate would receive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base salary earned, but not yet paid. In addition, any vacation accrual not used would also be paid to the estate.</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vests and becomes payable per the terms of the individual grant agreement. The estate would receive the payment of shares.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will fully vest and may pass to the estate, or as directed by a will, and must be exercised within one year from date of death.</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1" w:name="page42"/>
    <w:bookmarkEnd w:id="41"/>
    <w:p>
      <w:pPr>
        <w:ind w:left="328" w:right="60" w:hanging="328"/>
        <w:spacing w:after="0" w:line="268"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In the event of termination of employment due to disability, a Named Executive Officer would receive benefits under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and long-term disability plans, generally available to full-time salaried employees. Benefits are reduced for any social security or pension eligibility.</w:t>
      </w:r>
    </w:p>
    <w:p>
      <w:pPr>
        <w:spacing w:after="0" w:line="174"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vests and becomes payable per the terms of the individual grant agreement.</w:t>
      </w:r>
    </w:p>
    <w:p>
      <w:pPr>
        <w:spacing w:after="0" w:line="225" w:lineRule="exact"/>
        <w:rPr>
          <w:rFonts w:ascii="Times New Roman" w:cs="Times New Roman" w:eastAsia="Times New Roman" w:hAnsi="Times New Roman"/>
          <w:sz w:val="18"/>
          <w:szCs w:val="18"/>
          <w:color w:val="auto"/>
        </w:rPr>
      </w:pPr>
    </w:p>
    <w:p>
      <w:pPr>
        <w:ind w:left="328"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72" w:lineRule="exact"/>
        <w:rPr>
          <w:rFonts w:ascii="Times New Roman" w:cs="Times New Roman" w:eastAsia="Times New Roman" w:hAnsi="Times New Roman"/>
          <w:sz w:val="18"/>
          <w:szCs w:val="18"/>
          <w:color w:val="auto"/>
        </w:rPr>
      </w:pPr>
    </w:p>
    <w:p>
      <w:pPr>
        <w:ind w:left="328" w:right="980" w:hanging="328"/>
        <w:spacing w:after="0" w:line="28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An executive is not eligible for any additional benefits at termination, unless the Compensation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Committee would determine that severance payments are appropriate.</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Termination Prior to Retirement</w:t>
      </w:r>
      <w:r>
        <w:rPr>
          <w:rFonts w:ascii="Times New Roman" w:cs="Times New Roman" w:eastAsia="Times New Roman" w:hAnsi="Times New Roman"/>
          <w:sz w:val="18"/>
          <w:szCs w:val="18"/>
          <w:color w:val="auto"/>
        </w:rPr>
        <w:t>. An executive is not entitled to any additional forms of severance payments in the event of a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prior to becoming eligible for retirement.</w:t>
      </w:r>
    </w:p>
    <w:p>
      <w:pPr>
        <w:spacing w:after="0" w:line="154" w:lineRule="exact"/>
        <w:rPr>
          <w:rFonts w:ascii="Times New Roman" w:cs="Times New Roman" w:eastAsia="Times New Roman" w:hAnsi="Times New Roman"/>
          <w:sz w:val="18"/>
          <w:szCs w:val="18"/>
          <w:color w:val="auto"/>
        </w:rPr>
      </w:pPr>
    </w:p>
    <w:p>
      <w:pPr>
        <w:ind w:left="328" w:hanging="328"/>
        <w:spacing w:after="0" w:line="255"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Involuntary Termination (or Resignation for Good Cause) Following Change in Control</w:t>
      </w:r>
      <w:r>
        <w:rPr>
          <w:rFonts w:ascii="Times New Roman" w:cs="Times New Roman" w:eastAsia="Times New Roman" w:hAnsi="Times New Roman"/>
          <w:sz w:val="18"/>
          <w:szCs w:val="18"/>
          <w:color w:val="auto"/>
        </w:rPr>
        <w:t>. The Corporation has entered into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Agreements with each of our Named Executive Officers. The versions of the agreements that were in effect on June 30, 2017 provide that, following a change in control of the Corporation (as defined in the agreement), if employment of the executive is terminated by the Corporation for any reason other than "Good Cause," or is terminated by the executive for "Good Reason" within 24 months after the change in control occurs, certain benefits would become payable. These include:</w:t>
      </w:r>
    </w:p>
    <w:p>
      <w:pPr>
        <w:spacing w:after="0" w:line="3" w:lineRule="exact"/>
        <w:rPr>
          <w:rFonts w:ascii="Times New Roman" w:cs="Times New Roman" w:eastAsia="Times New Roman" w:hAnsi="Times New Roman"/>
          <w:sz w:val="18"/>
          <w:szCs w:val="18"/>
          <w:color w:val="auto"/>
        </w:rPr>
      </w:pPr>
    </w:p>
    <w:p>
      <w:pPr>
        <w:jc w:val="both"/>
        <w:ind w:left="968" w:right="140" w:hanging="32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 severance as a multiple of base salary and the greater of (1) the annual bonus awarded to the executive under the CIP for the fiscal year immediately preceding the fiscal year in which the date of termination occurs (or, if no annual bonus was received for such fiscal year, the average of the annual bonuses awarded to the executive under the the CIP for the three years preceding the fiscal year in which the date of termination occurs) or (2) the executive’s target annual bonus under the CIP for the fiscal year in which the date of termination occurs,</w:t>
      </w:r>
    </w:p>
    <w:p>
      <w:pPr>
        <w:ind w:left="648" w:right="68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twenty-four months of benefit continuation, o current value of all outstanding stock options, o restricted stock, and</w:t>
      </w:r>
    </w:p>
    <w:p>
      <w:pPr>
        <w:spacing w:after="0" w:line="1" w:lineRule="exact"/>
        <w:rPr>
          <w:rFonts w:ascii="Times New Roman" w:cs="Times New Roman" w:eastAsia="Times New Roman" w:hAnsi="Times New Roman"/>
          <w:sz w:val="18"/>
          <w:szCs w:val="18"/>
          <w:color w:val="auto"/>
        </w:rPr>
      </w:pPr>
    </w:p>
    <w:p>
      <w:pPr>
        <w:ind w:left="968" w:right="4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200" w:lineRule="exact"/>
        <w:rPr>
          <w:sz w:val="20"/>
          <w:szCs w:val="20"/>
          <w:color w:val="auto"/>
        </w:rPr>
      </w:pPr>
    </w:p>
    <w:p>
      <w:pPr>
        <w:spacing w:after="0" w:line="22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83820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76" w:right="259" w:bottom="1440" w:gutter="0" w:footer="0" w:header="0"/>
        </w:sectPr>
      </w:pPr>
    </w:p>
    <w:bookmarkStart w:id="42" w:name="page43"/>
    <w:bookmarkEnd w:id="42"/>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show the amounts payable under different termination scenarios for each Named Executive Officer as if such scenario occurred on June 30, 2017, the last day of the Corporation’s most recent fiscal year:</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John H. Batten</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Termination Event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Base Salary</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Bonus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Benefits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Non-Equity</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Performance</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Units, and</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Options</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7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Normal Retirement prior to a Change</w:t>
            </w:r>
          </w:p>
        </w:tc>
        <w:tc>
          <w:tcPr>
            <w:tcW w:w="13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20" w:type="dxa"/>
            <w:vAlign w:val="bottom"/>
            <w:shd w:val="clear" w:color="auto" w:fill="CCEEFF"/>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5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Control</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6/30/17</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6/30/17</w:t>
            </w:r>
          </w:p>
        </w:tc>
        <w:tc>
          <w:tcPr>
            <w:tcW w:w="1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6/30/17</w:t>
            </w:r>
          </w:p>
        </w:tc>
        <w:tc>
          <w:tcPr>
            <w:tcW w:w="1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6/30/17</w:t>
            </w: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Death</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$133,250</w:t>
            </w:r>
          </w:p>
        </w:tc>
        <w:tc>
          <w:tcPr>
            <w:tcW w:w="15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$1,853,697 2)</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$1,986,947</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Disability</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8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$133,250</w:t>
            </w:r>
          </w:p>
        </w:tc>
        <w:tc>
          <w:tcPr>
            <w:tcW w:w="15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$1,853,697 (2)</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$414,622 (3)</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$2,401,569</w:t>
            </w:r>
          </w:p>
        </w:tc>
      </w:tr>
      <w:tr>
        <w:trPr>
          <w:trHeight w:val="234"/>
        </w:trPr>
        <w:tc>
          <w:tcPr>
            <w:tcW w:w="2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Termination for Cause</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5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$0 (4)</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Voluntary Termination Prior to</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8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5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$0 (5)</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 Termination or</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$133,250</w:t>
            </w:r>
          </w:p>
        </w:tc>
        <w:tc>
          <w:tcPr>
            <w:tcW w:w="15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$2,559,903 (6)</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$2,118,511 (7)</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$4,811,664</w:t>
            </w:r>
          </w:p>
        </w:tc>
      </w:tr>
      <w:tr>
        <w:trPr>
          <w:trHeight w:val="216"/>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Resignation for Good Cause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Change in Control</w:t>
            </w: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98" w:lineRule="exact"/>
        <w:rPr>
          <w:sz w:val="20"/>
          <w:szCs w:val="20"/>
          <w:color w:val="auto"/>
        </w:rPr>
      </w:pPr>
    </w:p>
    <w:p>
      <w:pPr>
        <w:ind w:left="340" w:right="16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value is the actual earned bonus under the Corporate Incentive Plan as of June 30, 2017. Executive must be actively employed at the time of bonus payment, or must have retired, become disabled, or died during the fiscal year, to receive the bonus payment.</w:t>
      </w:r>
    </w:p>
    <w:p>
      <w:pPr>
        <w:ind w:left="340" w:right="6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2017 ($103,136), plus the value of the prorated maximum number of shares issuable under the performance stock awards (100% of the maximum shares issuable under the performance stock awards for the performance period ending June 30, 2017 (6,442 shares), plus 2/3rds of the maximum shares issuable under the performance stock awards for the performance period ending June 30, 2018 (20,520 shares), plus 1/3rd of the maximum shares issuable under the performance stock awards for the performance period ending June 30, 2019 (16,748 shares)). In addition, Mr. Batten has 10,736 shares of restricted stock that vest on July 30, 2017, 20,519 shares of restricted stock that vest on July, 31, 2018, and 33,496 shares of restricted stock that vest on July 28, 2019 if he remains employed with the Corporation through those dates, respectively. The maximum cash payments of the performance stock unit awards were determined by using $16.01, the mean of the high and low selling prices of Twin Disc shares on June 30, 2017, and the values of performance shares and restricted shares were determined by using $16.14, the closing price of Twin Disc shares on June 30, 2017.</w:t>
      </w:r>
    </w:p>
    <w:p>
      <w:pPr>
        <w:spacing w:after="0" w:line="5"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$250,000 is the value of six months of benefits beginning July 1, 2017 under the Corporation’s short-term disability program for salaried employees. Any benefits payable after six months are provided by a fully-insured disability carrier. The remainder of this amount is the June 30, 2017 value of Mr. Batten’s benefit under the Supplemental Executive Retirement Plan (“SERP”), which vests and becomes payable upon reaching early or normal retirement age under the SERP, following termination of employment due to disability.</w:t>
      </w:r>
    </w:p>
    <w:p>
      <w:pPr>
        <w:spacing w:after="0" w:line="1"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terminated for cause are not eligible for performance awards. This assumes Mr. Batten was involuntarily terminated for cause on June 30, 2017.</w:t>
      </w:r>
    </w:p>
    <w:p>
      <w:pPr>
        <w:ind w:left="340" w:right="30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performance stock and performance unit awards payable for the performance period ending June 30, 2017. These awards did not vest, as the performance target was not met.</w:t>
      </w:r>
    </w:p>
    <w:p>
      <w:pPr>
        <w:ind w:left="34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(64,751) and performance stock (87,465) valued at $16.14 (the closing price of Twin Disc shares on June 30, 2017), and performance stock units (6,442) valued at $16.01 (the mean of the high and low selling prices of Twin Disc shares on June 30, 2017).</w:t>
      </w:r>
    </w:p>
    <w:p>
      <w:pPr>
        <w:spacing w:after="0" w:line="2" w:lineRule="exact"/>
        <w:rPr>
          <w:rFonts w:ascii="Times New Roman" w:cs="Times New Roman" w:eastAsia="Times New Roman" w:hAnsi="Times New Roman"/>
          <w:sz w:val="18"/>
          <w:szCs w:val="18"/>
          <w:color w:val="auto"/>
        </w:rPr>
      </w:pPr>
    </w:p>
    <w:p>
      <w:pPr>
        <w:ind w:left="340" w:right="20" w:hanging="332"/>
        <w:spacing w:after="0" w:line="25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in Control Severance Agreement as in effect on June 30, 2017, Mr. Batten is entitled to 2.5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$2,062,500 as of June 30, 2017. The figure in the table above also includes benefit continuation for 24 months ($56,011).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Jeffrey S. Knutson</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Termination Event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Base Salary</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Bonus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Benefits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Non-Equity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 and 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7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Normal Retirement prior to a Change</w:t>
            </w:r>
          </w:p>
        </w:tc>
        <w:tc>
          <w:tcPr>
            <w:tcW w:w="13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20" w:type="dxa"/>
            <w:vAlign w:val="bottom"/>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5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4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Control</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6/30/17</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6/30/17</w:t>
            </w:r>
          </w:p>
        </w:tc>
        <w:tc>
          <w:tcPr>
            <w:tcW w:w="1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6/30/17</w:t>
            </w:r>
          </w:p>
        </w:tc>
        <w:tc>
          <w:tcPr>
            <w:tcW w:w="1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6//30/17</w:t>
            </w: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Death</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$67,725</w:t>
            </w:r>
          </w:p>
        </w:tc>
        <w:tc>
          <w:tcPr>
            <w:tcW w:w="156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$766,805 (2)</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$834,530</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Disability</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$67,725</w:t>
            </w:r>
          </w:p>
        </w:tc>
        <w:tc>
          <w:tcPr>
            <w:tcW w:w="156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$766,80 (2)</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$153,462 (3)</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$987,992</w:t>
            </w:r>
          </w:p>
        </w:tc>
      </w:tr>
      <w:tr>
        <w:trPr>
          <w:trHeight w:val="234"/>
        </w:trPr>
        <w:tc>
          <w:tcPr>
            <w:tcW w:w="2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Termination for Cause</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56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Voluntary Termination Prior to</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560" w:type="dxa"/>
            <w:vAlign w:val="bottom"/>
            <w:shd w:val="clear" w:color="auto" w:fill="CCEEFF"/>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$0 (5)</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 Termination or</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$67,725</w:t>
            </w:r>
          </w:p>
        </w:tc>
        <w:tc>
          <w:tcPr>
            <w:tcW w:w="15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$1,064,443 (6)</w:t>
            </w:r>
          </w:p>
        </w:tc>
        <w:tc>
          <w:tcPr>
            <w:tcW w:w="14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$1,000,230 (7)</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$2,132,398</w:t>
            </w:r>
          </w:p>
        </w:tc>
      </w:tr>
      <w:tr>
        <w:trPr>
          <w:trHeight w:val="216"/>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Resignation for Good Cause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Change in Control</w:t>
            </w: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98" w:lineRule="exact"/>
        <w:rPr>
          <w:sz w:val="20"/>
          <w:szCs w:val="20"/>
          <w:color w:val="auto"/>
        </w:rPr>
      </w:pPr>
    </w:p>
    <w:p>
      <w:pPr>
        <w:ind w:left="340" w:right="16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value is the actual earned bonus under the Corporate Incentive Plan as of June 30, 2017. Executive must be actively employed at the time of bonus payment, or must have retired, become disabled, or died during the fiscal year, to receive the bonus payment.</w:t>
      </w:r>
    </w:p>
    <w:p>
      <w:pPr>
        <w:ind w:left="340" w:right="2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2017 ($28,610) plus the value of the prorated maximum number of shares issuable under the performance stock awards (100% of the maximum shares issuable under the performance stock awards for the performance period ending June 30, 2017 (1,787 shares), plus 2/3rds of the maximum shares issuable under the performance stock awards for the performance period ending June 30, 2018 (8,648 shares), plus 1/3rd of the maximum shares issuable under the performance stock awards for the performance period ending June 30, 2018 (7,059 shares). In addition, Mr. Knutson has 5,478 shares of restricted stock that vest on July 30, 2017, 8,648 shares of restricted stock that vest on July 31, 2018, and 14,117 shares of restricted stock that vest on July 28, 2019 if he remains employed with the Corporation through those dates, respectively. The maximum cash payments of the performance stock unit awards were determined by using $16.01, the mean of the high and low selling prices of Twin Disc shares on June 30, 2017, and the values of performance shares and restricted shares were determined by using $16.14, the closing price of Twin Disc shares on June 30, 2017.</w:t>
      </w:r>
    </w:p>
    <w:p>
      <w:pPr>
        <w:spacing w:after="0" w:line="5" w:lineRule="exact"/>
        <w:rPr>
          <w:rFonts w:ascii="Times New Roman" w:cs="Times New Roman" w:eastAsia="Times New Roman" w:hAnsi="Times New Roman"/>
          <w:sz w:val="18"/>
          <w:szCs w:val="18"/>
          <w:color w:val="auto"/>
        </w:rPr>
      </w:pPr>
    </w:p>
    <w:p>
      <w:pPr>
        <w:ind w:left="340" w:right="38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the value of six months of benefits beginning July 1, 2017 under the Corporation’s short-term disability program for salaried employees. Any benefits payable after six months are provided by a fully-insured disability carrier.</w:t>
      </w:r>
    </w:p>
    <w:p>
      <w:pPr>
        <w:ind w:left="340" w:right="20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terminated for cause are not eligible for performance awards. This assumes Mr. Knutson was involuntarily terminated for cause on June 30, 2017.</w:t>
      </w:r>
    </w:p>
    <w:p>
      <w:pPr>
        <w:ind w:left="340" w:right="30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performance stock and performance unit awards payable for the performance period ending June 30, 2017. These awards did not vest, as the threshold performance target was not achieved.</w:t>
      </w:r>
    </w:p>
    <w:p>
      <w:pPr>
        <w:ind w:left="34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(28,243) and performance stock (35,935) valued at $16.24 (the closing price of Twin Disc shares on June 30, 2017), and performance stock units (1,787) valued at $16.01 (the mean of the high and low selling prices of Twin Disc shares on June 30, 2017).</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in Control Severance Agreement as in effect on June 30, 2017, Mr. Knutson is entitled to 2.0 times his base salary plus the greater of</w:t>
      </w:r>
    </w:p>
    <w:p>
      <w:pPr>
        <w:spacing w:after="0" w:line="9" w:lineRule="exact"/>
        <w:rPr>
          <w:rFonts w:ascii="Times New Roman" w:cs="Times New Roman" w:eastAsia="Times New Roman" w:hAnsi="Times New Roman"/>
          <w:sz w:val="18"/>
          <w:szCs w:val="18"/>
          <w:color w:val="auto"/>
        </w:rPr>
      </w:pPr>
    </w:p>
    <w:p>
      <w:pPr>
        <w:ind w:left="3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$945,000 as of June 30, 2017. The figure in the table above also includes benefit continuation for 24 months ($55,230).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Malcolm F. Moore</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Termination Event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Base Salary</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Bonus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Benefits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Non-Equity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Units, and Stock</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7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Normal Retirement prior to a Change</w:t>
            </w:r>
          </w:p>
        </w:tc>
        <w:tc>
          <w:tcPr>
            <w:tcW w:w="13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20" w:type="dxa"/>
            <w:vAlign w:val="bottom"/>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5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4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Control</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6/30/17</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6/30/17</w:t>
            </w:r>
          </w:p>
        </w:tc>
        <w:tc>
          <w:tcPr>
            <w:tcW w:w="1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6/30/17</w:t>
            </w:r>
          </w:p>
        </w:tc>
        <w:tc>
          <w:tcPr>
            <w:tcW w:w="1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6//30/17</w:t>
            </w: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Death</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$79,500</w:t>
            </w:r>
          </w:p>
        </w:tc>
        <w:tc>
          <w:tcPr>
            <w:tcW w:w="156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rPr>
              <w:t>$829,709 (2)</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$909,209</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Disability</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$79,500</w:t>
            </w:r>
          </w:p>
        </w:tc>
        <w:tc>
          <w:tcPr>
            <w:tcW w:w="1560" w:type="dxa"/>
            <w:vAlign w:val="bottom"/>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$829,709 (2)</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$142,692 (3)</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$1,051,901</w:t>
            </w:r>
          </w:p>
        </w:tc>
      </w:tr>
      <w:tr>
        <w:trPr>
          <w:trHeight w:val="234"/>
        </w:trPr>
        <w:tc>
          <w:tcPr>
            <w:tcW w:w="2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Termination for Cause</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56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6"/>
              </w:rPr>
              <w:t>$0 (4)</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Voluntary Termination Prior to</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56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 Termination or</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$79,500</w:t>
            </w:r>
          </w:p>
        </w:tc>
        <w:tc>
          <w:tcPr>
            <w:tcW w:w="156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$1,232,693 (5)</w:t>
            </w:r>
          </w:p>
        </w:tc>
        <w:tc>
          <w:tcPr>
            <w:tcW w:w="14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$1,234,274 (6)</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$2,546,467</w:t>
            </w:r>
          </w:p>
        </w:tc>
      </w:tr>
      <w:tr>
        <w:trPr>
          <w:trHeight w:val="216"/>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Resignation for Good Cause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Change in Control</w:t>
            </w: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52" w:lineRule="exact"/>
        <w:rPr>
          <w:sz w:val="20"/>
          <w:szCs w:val="20"/>
          <w:color w:val="auto"/>
        </w:rPr>
      </w:pPr>
    </w:p>
    <w:p>
      <w:pPr>
        <w:ind w:left="340" w:right="16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value is the actual earned bonus under the Corporate Incentive Plan as of June 30, 2017. Executive must be actively employed at the time of bonus payment, or must have retired, become disabled, or died during the fiscal year, to receive the bonus payment.</w:t>
      </w:r>
    </w:p>
    <w:p>
      <w:pPr>
        <w:ind w:left="340" w:right="8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disability, performance awards immediately vest and the awards will be delivered pro-rata, based on the assumption that the maximum performance target was achieved. In addition, restricted shares become non-forfeitable. The amount in the table was determined by adding the value of the prorated shares issuable under the performance stock awards (2/3rds of the maximum shares issuable under the performance stock awards for the performance period ending June 30, 2018 (11,164 shares), plus 1/3rd of the maximum shares issuable under the performance stock awards for the performance period ending June 30, 2019 (9,693 shares)). In addition, Mr. Moore has 11,164 shares of restricted stock that vest on July 31,2018 and 19,386 shares of restricted stock that vest on July 28, 2019, if he remains employed with the Corporation through those dates, respectively. The values of performance shares and restricted shares were determined by using $16.14, the closing price of Twin Disc shares on June 30, 2017.</w:t>
      </w:r>
    </w:p>
    <w:p>
      <w:pPr>
        <w:spacing w:after="0" w:line="3" w:lineRule="exact"/>
        <w:rPr>
          <w:rFonts w:ascii="Times New Roman" w:cs="Times New Roman" w:eastAsia="Times New Roman" w:hAnsi="Times New Roman"/>
          <w:sz w:val="18"/>
          <w:szCs w:val="18"/>
          <w:color w:val="auto"/>
        </w:rPr>
      </w:pPr>
    </w:p>
    <w:p>
      <w:pPr>
        <w:ind w:left="340" w:right="38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the value of six months of benefits beginning July 1, 2017 under the Corporation’s short-term disability program for salaried employees. Any benefits payable after six months are provided by a fully-insured disability carrier.</w:t>
      </w:r>
    </w:p>
    <w:p>
      <w:pPr>
        <w:ind w:left="340" w:right="32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terminated for cause are not eligible for performance awards. This assumes Mr. Moore was involuntarily terminated for cause on June 30, 2017.</w:t>
      </w:r>
    </w:p>
    <w:p>
      <w:pPr>
        <w:ind w:left="340" w:right="30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which consists of restricted shares (30,550) and performance stock (20,857) valued at $16.14 (the closing price of Twin Disc shares on June 30, 2017).</w:t>
      </w:r>
    </w:p>
    <w:p>
      <w:pPr>
        <w:spacing w:after="0" w:line="1" w:lineRule="exact"/>
        <w:rPr>
          <w:rFonts w:ascii="Times New Roman" w:cs="Times New Roman" w:eastAsia="Times New Roman" w:hAnsi="Times New Roman"/>
          <w:sz w:val="18"/>
          <w:szCs w:val="18"/>
          <w:color w:val="auto"/>
        </w:rPr>
      </w:pPr>
    </w:p>
    <w:p>
      <w:pPr>
        <w:ind w:left="340" w:right="20" w:hanging="332"/>
        <w:spacing w:after="0" w:line="25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in Control Severance Agreement as in effect on June 30, 2017, Mr. Moore is entitled to 2.0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$1,192,500 as of June 30, 2017. The figure in the table above also includes benefit continuation for 24 months ($41,774).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Donald J. Nelson</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Termination Event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Base Salary</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Bonus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Benefits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Non-Equity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Performance</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Units, and</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Options</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7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Normal Retirement prior to a Change</w:t>
            </w:r>
          </w:p>
        </w:tc>
        <w:tc>
          <w:tcPr>
            <w:tcW w:w="13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20" w:type="dxa"/>
            <w:vAlign w:val="bottom"/>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5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42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4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Control</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6/30/17</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6/30/17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6/30/17</w:t>
            </w:r>
          </w:p>
        </w:tc>
        <w:tc>
          <w:tcPr>
            <w:tcW w:w="1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6/30/17</w:t>
            </w:r>
          </w:p>
        </w:tc>
        <w:tc>
          <w:tcPr>
            <w:tcW w:w="14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6/30/17</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6/30/17</w:t>
            </w: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Death</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$66,625</w:t>
            </w:r>
          </w:p>
        </w:tc>
        <w:tc>
          <w:tcPr>
            <w:tcW w:w="1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$694,020 (2)</w:t>
            </w:r>
          </w:p>
        </w:tc>
        <w:tc>
          <w:tcPr>
            <w:tcW w:w="1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$760,645</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Disability</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$66,625</w:t>
            </w:r>
          </w:p>
        </w:tc>
        <w:tc>
          <w:tcPr>
            <w:tcW w:w="156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$694,020 (2)</w:t>
            </w:r>
          </w:p>
        </w:tc>
        <w:tc>
          <w:tcPr>
            <w:tcW w:w="1420" w:type="dxa"/>
            <w:vAlign w:val="bottom"/>
            <w:shd w:val="clear" w:color="auto" w:fill="CCEEFF"/>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$110,417 (3)</w:t>
            </w:r>
          </w:p>
        </w:tc>
        <w:tc>
          <w:tcPr>
            <w:tcW w:w="146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$817,062</w:t>
            </w:r>
          </w:p>
        </w:tc>
      </w:tr>
      <w:tr>
        <w:trPr>
          <w:trHeight w:val="234"/>
        </w:trPr>
        <w:tc>
          <w:tcPr>
            <w:tcW w:w="2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Termination for Cause</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56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Voluntary Termination Prior to</w:t>
            </w:r>
          </w:p>
        </w:tc>
        <w:tc>
          <w:tcPr>
            <w:tcW w:w="13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560" w:type="dxa"/>
            <w:vAlign w:val="bottom"/>
            <w:shd w:val="clear" w:color="auto" w:fill="CCEEFF"/>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$0 (5)</w:t>
            </w:r>
          </w:p>
        </w:tc>
        <w:tc>
          <w:tcPr>
            <w:tcW w:w="1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46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 Termination or</w:t>
            </w:r>
          </w:p>
        </w:tc>
        <w:tc>
          <w:tcPr>
            <w:tcW w:w="136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42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$66,625</w:t>
            </w:r>
          </w:p>
        </w:tc>
        <w:tc>
          <w:tcPr>
            <w:tcW w:w="1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$855,420 (6)</w:t>
            </w:r>
          </w:p>
        </w:tc>
        <w:tc>
          <w:tcPr>
            <w:tcW w:w="1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$787,261 (7)</w:t>
            </w:r>
          </w:p>
        </w:tc>
        <w:tc>
          <w:tcPr>
            <w:tcW w:w="14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$1,709,306</w:t>
            </w:r>
          </w:p>
        </w:tc>
      </w:tr>
      <w:tr>
        <w:trPr>
          <w:trHeight w:val="216"/>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Resignation for Good Cause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Change in Control</w:t>
            </w:r>
          </w:p>
        </w:tc>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98" w:lineRule="exact"/>
        <w:rPr>
          <w:sz w:val="20"/>
          <w:szCs w:val="20"/>
          <w:color w:val="auto"/>
        </w:rPr>
      </w:pPr>
    </w:p>
    <w:p>
      <w:pPr>
        <w:ind w:left="340" w:right="16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value is the actual earned bonus under the Corporate Incentive Plan as of June 30, 2017. Executive must be actively employed at the time of bonus payment, or must have retired, become disabled, or died during the fiscal year, to receive the bonus payment.</w:t>
      </w:r>
    </w:p>
    <w:p>
      <w:pPr>
        <w:ind w:left="340" w:right="10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number of shares issuable under the performance stock awards,1/3rd of the maximum shares issuable under the performance stock awards for the performance period ending June 30, 2019 (5,000 shares). In addition, Mr. Nelson has 14,000 shares of restricted stock that vest on December 12, 2017, 14,000 shares of restricted stock that vest on December 12, 2018, and 10,000 shares of restricted stock that vest on July 28, 2019 if he remains employed with the Corporation through those dates, respectively. The values of performance shares and restricted shares were determined by using $16.14, the closing price of Twin Disc shares on June 30, 2017.</w:t>
      </w:r>
    </w:p>
    <w:p>
      <w:pPr>
        <w:spacing w:after="0" w:line="3"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the value of six months of benefits beginning July 1, 2017 under the Corporation’s short-term disability program for salaried employees. Any benefits payable after six months are provided by a fully-insured disability carrier.</w:t>
      </w:r>
    </w:p>
    <w:p>
      <w:pPr>
        <w:ind w:left="340" w:right="30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terminated for cause are not eligible for performance awards. This assumes Mr. Nelson was involuntarily terminated for cause on June 30, 2017.</w:t>
      </w:r>
    </w:p>
    <w:p>
      <w:pPr>
        <w:ind w:left="340" w:right="8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performance stock and performance unit awards payable for the performance period ending June 30, 2017. Mr. Nelson did not have awards vesting on this date.</w:t>
      </w:r>
    </w:p>
    <w:p>
      <w:pPr>
        <w:ind w:left="340" w:right="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(38,000) and performance stock (15,000) valued at $16.14 (the closing price of Twin Disc shares on June 30, 2017).</w:t>
      </w:r>
    </w:p>
    <w:p>
      <w:pPr>
        <w:spacing w:after="0" w:line="1" w:lineRule="exact"/>
        <w:rPr>
          <w:rFonts w:ascii="Times New Roman" w:cs="Times New Roman" w:eastAsia="Times New Roman" w:hAnsi="Times New Roman"/>
          <w:sz w:val="18"/>
          <w:szCs w:val="18"/>
          <w:color w:val="auto"/>
        </w:rPr>
      </w:pPr>
    </w:p>
    <w:p>
      <w:pPr>
        <w:ind w:left="340" w:right="20" w:hanging="332"/>
        <w:spacing w:after="0" w:line="25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in Control Severance Agreement as in effect on June 30, 2016, Mr. Nelson is entitled to 1.5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$731,250 as of June 30, 2017. The figure in the table above also includes benefit continuation for 24 months ($56,011).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Dean J. Bratel</w:t>
            </w: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Termination Event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Base Salary</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Bonus</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c>
          <w:tcPr>
            <w:tcW w:w="1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Benefits</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Non-Equity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5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Incentive Plan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Performance</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Units, and</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Options</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24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Normal Retirement prior to a Change Paid through last</w:t>
            </w:r>
          </w:p>
        </w:tc>
        <w:tc>
          <w:tcPr>
            <w:tcW w:w="1120" w:type="dxa"/>
            <w:vAlign w:val="bottom"/>
            <w:shd w:val="clear" w:color="auto" w:fill="CCEEFF"/>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CEEFF"/>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$52,250</w:t>
            </w:r>
          </w:p>
        </w:tc>
        <w:tc>
          <w:tcPr>
            <w:tcW w:w="15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Not eligible on</w:t>
            </w:r>
          </w:p>
        </w:tc>
        <w:tc>
          <w:tcPr>
            <w:tcW w:w="152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Not eligible on</w:t>
            </w:r>
          </w:p>
        </w:tc>
        <w:tc>
          <w:tcPr>
            <w:tcW w:w="13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$52,250</w:t>
            </w:r>
          </w:p>
        </w:tc>
      </w:tr>
      <w:tr>
        <w:trPr>
          <w:trHeight w:val="234"/>
        </w:trPr>
        <w:tc>
          <w:tcPr>
            <w:tcW w:w="20" w:type="dxa"/>
            <w:vAlign w:val="bottom"/>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Control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6/30/17</w:t>
            </w:r>
          </w:p>
        </w:tc>
        <w:tc>
          <w:tcPr>
            <w:tcW w:w="15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6/30/17</w:t>
            </w:r>
          </w:p>
        </w:tc>
        <w:tc>
          <w:tcPr>
            <w:tcW w:w="13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Death</w:t>
            </w:r>
          </w:p>
        </w:tc>
        <w:tc>
          <w:tcPr>
            <w:tcW w:w="1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1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$52,250</w:t>
            </w:r>
          </w:p>
        </w:tc>
        <w:tc>
          <w:tcPr>
            <w:tcW w:w="156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$710,243 (2)</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$762,493</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Disability</w:t>
            </w:r>
          </w:p>
        </w:tc>
        <w:tc>
          <w:tcPr>
            <w:tcW w:w="1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1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CEEFF"/>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$52,250</w:t>
            </w:r>
          </w:p>
        </w:tc>
        <w:tc>
          <w:tcPr>
            <w:tcW w:w="1560" w:type="dxa"/>
            <w:vAlign w:val="bottom"/>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$710,243 (2)</w:t>
            </w:r>
          </w:p>
        </w:tc>
        <w:tc>
          <w:tcPr>
            <w:tcW w:w="15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$172,648 (3)</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$935,141</w:t>
            </w:r>
          </w:p>
        </w:tc>
      </w:tr>
      <w:tr>
        <w:trPr>
          <w:trHeight w:val="234"/>
        </w:trPr>
        <w:tc>
          <w:tcPr>
            <w:tcW w:w="2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Termination for Cause</w:t>
            </w:r>
          </w:p>
        </w:tc>
        <w:tc>
          <w:tcPr>
            <w:tcW w:w="1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1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56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$0 (4)</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Voluntary Termination Prior to</w:t>
            </w:r>
          </w:p>
        </w:tc>
        <w:tc>
          <w:tcPr>
            <w:tcW w:w="1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120" w:type="dxa"/>
            <w:vAlign w:val="bottom"/>
            <w:shd w:val="clear" w:color="auto" w:fill="CCEEFF"/>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CEEFF"/>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560" w:type="dxa"/>
            <w:vAlign w:val="bottom"/>
            <w:shd w:val="clear" w:color="auto" w:fill="CCEEFF"/>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$0 (5)</w:t>
            </w:r>
          </w:p>
        </w:tc>
        <w:tc>
          <w:tcPr>
            <w:tcW w:w="15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0" w:type="dxa"/>
            <w:vAlign w:val="bottom"/>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Involuntary Termination or</w:t>
            </w:r>
          </w:p>
        </w:tc>
        <w:tc>
          <w:tcPr>
            <w:tcW w:w="1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Paid through last</w:t>
            </w:r>
          </w:p>
        </w:tc>
        <w:tc>
          <w:tcPr>
            <w:tcW w:w="112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$52,250</w:t>
            </w:r>
          </w:p>
        </w:tc>
        <w:tc>
          <w:tcPr>
            <w:tcW w:w="156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$980,830 (6)</w:t>
            </w:r>
          </w:p>
        </w:tc>
        <w:tc>
          <w:tcPr>
            <w:tcW w:w="15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$787,261 (7)</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$1,820,341</w:t>
            </w: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Resignation for Good Cause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day worked</w:t>
            </w: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Change in Control</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98" w:lineRule="exact"/>
        <w:rPr>
          <w:sz w:val="20"/>
          <w:szCs w:val="20"/>
          <w:color w:val="auto"/>
        </w:rPr>
      </w:pPr>
    </w:p>
    <w:p>
      <w:pPr>
        <w:ind w:left="340" w:right="16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value is the actual earned bonus under the Corporate Incentive Plan as of June 30, 2017. Executive must be actively employed at the time of bonus payment, or must have retired, become disabled, or died during the fiscal year, to receive the bonus payment.</w:t>
      </w:r>
    </w:p>
    <w:p>
      <w:pPr>
        <w:ind w:left="340" w:right="2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2017 ($39,513), plus the value of the prorated maximum number of shares issuable under the performance stock awards (100% of the maximum shares issuable under the performance stock awards for the performance period ending June 30, 2017 (2,469 shares), plus 2/3rds of the maximum shares issuable under the performance stock awards for the performance period ending June 30, 2018 (7,862 shares), plus 1/3rd of the maximum shares issuable under the performance stock awards for the performance period ending June 30, 2019 (6,417 shares). In addition, Mr. Bratel has 4,113 shares of restricted stock that vest on July 30, 2017, 7,862 shares of restricted stock that vest on July 31, 2017, and 12,834 shares of restricted stock that vest on July 28, 2019 if he remains employed with the Corporation through those dates, respectively. The maximum cash payments of the performance stock unit awards were determined by using $16.01, the mean of the high and low selling prices of Twin Disc shares on June 30, 2017, and the values of performance shares and restricted shares were determined by using $16.01, the closing price of Twin Disc shares on June 30, 2017.</w:t>
      </w:r>
    </w:p>
    <w:p>
      <w:pPr>
        <w:spacing w:after="0" w:line="5"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$137,500 is the value of six months of benefits beginning July 1, 2017 under the Corporation’s short-term disability program for salaried employees. Any benefits payable after six months are provided by a fully-insured disability carrier. The remainder of this amount is the June 30, 2017 value of Mr. Bratel’s benefit under the Supplemental Executive Retirement Plan (“SERP”), which vests and becomes payable upon reaching early or normal retirement age under the SERP, following termination of employment due to disability.</w:t>
      </w:r>
    </w:p>
    <w:p>
      <w:pPr>
        <w:spacing w:after="0" w:line="1" w:lineRule="exact"/>
        <w:rPr>
          <w:rFonts w:ascii="Times New Roman" w:cs="Times New Roman" w:eastAsia="Times New Roman" w:hAnsi="Times New Roman"/>
          <w:sz w:val="18"/>
          <w:szCs w:val="18"/>
          <w:color w:val="auto"/>
        </w:rPr>
      </w:pPr>
    </w:p>
    <w:p>
      <w:pPr>
        <w:ind w:left="340" w:right="36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terminated for cause are not eligible for performance awards. This assumes Mr. Bratel was involuntarily terminated for cause on June 30, 2017.</w:t>
      </w:r>
    </w:p>
    <w:p>
      <w:pPr>
        <w:ind w:left="340" w:right="30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performance stock and performance unit awards payable for the performance period ending June 30, 2017. These awards did not vest, as the performance target was not achieved.</w:t>
      </w: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(24,809) and performance stock (33,513) valued at $16.14 (the closing price of Twin Disc shares on June 30, 2017), and performance stock units (2,468) valued at $16.01 (the mean of the high and low selling prices of Twin Disc shares on June 30, 2017).</w:t>
      </w:r>
    </w:p>
    <w:p>
      <w:pPr>
        <w:spacing w:after="0" w:line="2" w:lineRule="exact"/>
        <w:rPr>
          <w:rFonts w:ascii="Times New Roman" w:cs="Times New Roman" w:eastAsia="Times New Roman" w:hAnsi="Times New Roman"/>
          <w:sz w:val="18"/>
          <w:szCs w:val="18"/>
          <w:color w:val="auto"/>
        </w:rPr>
      </w:pPr>
    </w:p>
    <w:p>
      <w:pPr>
        <w:ind w:left="340" w:right="20" w:hanging="332"/>
        <w:spacing w:after="0" w:line="25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in Control Severance Agreement as in effect on June 30, 2017, Mr. Bratel is entitled to 1.5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$731,250 as of June 30, 2017. The figure in the table above also includes benefit continuation for 24 months ($56,011).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compensation received by each of our non-employee Directors during FY2017:</w:t>
      </w:r>
    </w:p>
    <w:p>
      <w:pPr>
        <w:spacing w:after="0" w:line="220" w:lineRule="exact"/>
        <w:rPr>
          <w:sz w:val="20"/>
          <w:szCs w:val="20"/>
          <w:color w:val="auto"/>
        </w:rPr>
      </w:pPr>
    </w:p>
    <w:tbl>
      <w:tblPr>
        <w:tblLayout w:type="fixed"/>
        <w:tblInd w:w="1150" w:type="dxa"/>
        <w:tblCellMar>
          <w:top w:w="0" w:type="dxa"/>
          <w:left w:w="0" w:type="dxa"/>
          <w:bottom w:w="0" w:type="dxa"/>
          <w:right w:w="0" w:type="dxa"/>
        </w:tblCellMar>
      </w:tblPr>
      <w:tr>
        <w:trPr>
          <w:trHeight w:val="214"/>
        </w:trPr>
        <w:tc>
          <w:tcPr>
            <w:tcW w:w="2100" w:type="dxa"/>
            <w:vAlign w:val="bottom"/>
            <w:tcBorders>
              <w:top w:val="single" w:sz="8" w:color="auto"/>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Name</w:t>
            </w:r>
          </w:p>
        </w:tc>
        <w:tc>
          <w:tcPr>
            <w:tcW w:w="7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Year</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Fees</w:t>
            </w: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2"/>
              </w:rPr>
              <w:t>Value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All Other</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Earned or</w:t>
            </w:r>
          </w:p>
        </w:tc>
        <w:tc>
          <w:tcPr>
            <w:tcW w:w="360" w:type="dxa"/>
            <w:vAlign w:val="bottom"/>
          </w:tcPr>
          <w:p>
            <w:pPr>
              <w:spacing w:after="0"/>
              <w:rPr>
                <w:sz w:val="18"/>
                <w:szCs w:val="18"/>
                <w:color w:val="auto"/>
              </w:rPr>
            </w:pPr>
          </w:p>
        </w:tc>
        <w:tc>
          <w:tcPr>
            <w:tcW w:w="13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Paid in</w:t>
            </w:r>
          </w:p>
        </w:tc>
        <w:tc>
          <w:tcPr>
            <w:tcW w:w="360" w:type="dxa"/>
            <w:vAlign w:val="bottom"/>
          </w:tcPr>
          <w:p>
            <w:pPr>
              <w:spacing w:after="0"/>
              <w:rPr>
                <w:sz w:val="18"/>
                <w:szCs w:val="18"/>
                <w:color w:val="auto"/>
              </w:rPr>
            </w:pPr>
          </w:p>
        </w:tc>
        <w:tc>
          <w:tcPr>
            <w:tcW w:w="13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7"/>
              </w:rPr>
              <w:t>Stock</w:t>
            </w:r>
          </w:p>
        </w:tc>
        <w:tc>
          <w:tcPr>
            <w:tcW w:w="18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Cash</w:t>
            </w:r>
          </w:p>
        </w:tc>
        <w:tc>
          <w:tcPr>
            <w:tcW w:w="360" w:type="dxa"/>
            <w:vAlign w:val="bottom"/>
          </w:tcPr>
          <w:p>
            <w:pPr>
              <w:spacing w:after="0"/>
              <w:rPr>
                <w:sz w:val="18"/>
                <w:szCs w:val="18"/>
                <w:color w:val="auto"/>
              </w:rPr>
            </w:pPr>
          </w:p>
        </w:tc>
        <w:tc>
          <w:tcPr>
            <w:tcW w:w="13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Awards</w:t>
            </w:r>
          </w:p>
        </w:tc>
        <w:tc>
          <w:tcPr>
            <w:tcW w:w="18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4"/>
        </w:trPr>
        <w:tc>
          <w:tcPr>
            <w:tcW w:w="210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5"/>
              </w:rPr>
              <w:t>(1)</w:t>
            </w:r>
          </w:p>
        </w:tc>
        <w:tc>
          <w:tcPr>
            <w:tcW w:w="18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10"/>
        </w:trPr>
        <w:tc>
          <w:tcPr>
            <w:tcW w:w="21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Michael Doar</w:t>
            </w:r>
          </w:p>
        </w:tc>
        <w:tc>
          <w:tcPr>
            <w:tcW w:w="7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62,502</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131,002</w:t>
            </w:r>
          </w:p>
        </w:tc>
      </w:tr>
      <w:tr>
        <w:trPr>
          <w:trHeight w:val="210"/>
        </w:trPr>
        <w:tc>
          <w:tcPr>
            <w:tcW w:w="21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Janet Giesselman</w:t>
            </w:r>
          </w:p>
        </w:tc>
        <w:tc>
          <w:tcPr>
            <w:tcW w:w="7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62,502</w:t>
            </w:r>
          </w:p>
        </w:tc>
        <w:tc>
          <w:tcPr>
            <w:tcW w:w="18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134,002</w:t>
            </w:r>
          </w:p>
        </w:tc>
      </w:tr>
      <w:tr>
        <w:trPr>
          <w:trHeight w:val="210"/>
        </w:trPr>
        <w:tc>
          <w:tcPr>
            <w:tcW w:w="21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David Johnson</w:t>
            </w:r>
          </w:p>
        </w:tc>
        <w:tc>
          <w:tcPr>
            <w:tcW w:w="7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62,625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78,250</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140,875</w:t>
            </w:r>
          </w:p>
        </w:tc>
      </w:tr>
      <w:tr>
        <w:trPr>
          <w:trHeight w:val="210"/>
        </w:trPr>
        <w:tc>
          <w:tcPr>
            <w:tcW w:w="21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David Rayburn</w:t>
            </w:r>
          </w:p>
        </w:tc>
        <w:tc>
          <w:tcPr>
            <w:tcW w:w="7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62,502</w:t>
            </w:r>
          </w:p>
        </w:tc>
        <w:tc>
          <w:tcPr>
            <w:tcW w:w="18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175,002</w:t>
            </w:r>
          </w:p>
        </w:tc>
      </w:tr>
      <w:tr>
        <w:trPr>
          <w:trHeight w:val="210"/>
        </w:trPr>
        <w:tc>
          <w:tcPr>
            <w:tcW w:w="21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Michael Smiley</w:t>
            </w:r>
          </w:p>
        </w:tc>
        <w:tc>
          <w:tcPr>
            <w:tcW w:w="7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62,502</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125,002</w:t>
            </w:r>
          </w:p>
        </w:tc>
      </w:tr>
      <w:tr>
        <w:trPr>
          <w:trHeight w:val="210"/>
        </w:trPr>
        <w:tc>
          <w:tcPr>
            <w:tcW w:w="21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Harold Stratton II</w:t>
            </w:r>
          </w:p>
        </w:tc>
        <w:tc>
          <w:tcPr>
            <w:tcW w:w="7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62,502</w:t>
            </w:r>
          </w:p>
        </w:tc>
        <w:tc>
          <w:tcPr>
            <w:tcW w:w="18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131,002</w:t>
            </w:r>
          </w:p>
        </w:tc>
      </w:tr>
      <w:tr>
        <w:trPr>
          <w:trHeight w:val="208"/>
        </w:trPr>
        <w:tc>
          <w:tcPr>
            <w:tcW w:w="21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David Zimmer</w:t>
            </w:r>
          </w:p>
        </w:tc>
        <w:tc>
          <w:tcPr>
            <w:tcW w:w="7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62,502</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-876300</wp:posOffset>
            </wp:positionV>
            <wp:extent cx="614045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40450" cy="14605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14045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40450" cy="14605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-292735</wp:posOffset>
            </wp:positionV>
            <wp:extent cx="614045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40450" cy="146050"/>
                    </a:xfrm>
                    <a:prstGeom prst="rect">
                      <a:avLst/>
                    </a:prstGeom>
                    <a:noFill/>
                  </pic:spPr>
                </pic:pic>
              </a:graphicData>
            </a:graphic>
          </wp:anchor>
        </w:drawing>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Value of Stock Awards is computed as of the date of grant in accordance with Financial Accounting Standards Board ASC Topic 718.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FY2017, the Board reviewed its Director Compensation and maintained its annual retainer at $125,000, effective as of the date of the annual shareholders meeting in October 2016. They determined that the mix for FY2017 would be 50% cash and 50% restricted stock.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Committee chairs are paid an annual fee in addition to the annual retainer. The chairs of the Finance and Risk Management Committee, and the Nominating and Governance Committee each receive an annual fee of $6,000. The chair of the Audit Committee receives a $12,000 annual fee and the chair of the Compensation and Executive Development Committee receives a $9,000 annual fee, due to the larger responsibilities of the positions. The annual Chairman’s fee remains at 40% of the retainer, or $50,000.</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Beginning after the Annual Shareholder’s Meeting in October 2017, the amount of the Committee Chair fees will be revised. The chairs of the Finance and Risk Management Committee and the Nominating and Governance Committee will each receive an annual fee of $7,000. The chair of the Audit Committee will receive an annual fee of $15,000 and the chair of the Compensation and Executive Development Committee will receive an annual fee of $10,000. The annual Chairman’s fee will remain unchanged.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Compensation and Executive Development Committee Report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and Executive Development Committee of the Board of Directors has reviewed and discussed the Compensation Discussion and Analysis with management. Based on that review and discussion, the Compensation and Executive Development Committee recommended to the Board of Directors that the Compensation Discussion and Analysis be included in the Corporation’s proxy statement and the Corporation’s annual report on Form 10-K.</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Members of the Compensation and Executive Development Committee: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Janet P. Giesselman, Chair</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Michael C. Smiley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Harold M. Stratton II</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David R. Zimmer</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August 2, 2017</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six times during fiscal 2017.</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Auditing Standard No. 16, “ Communications with Audit Committees,” as adopted by the Public Company Accounting Oversight Board, and SEC Regulation S-X, Rule 2-07, “Communication with Audit Committees.”</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176"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2017, for filing with the Securities and Exchange Commission.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David R. Zimmer, Chair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Michael Doar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Janet P. Giesselman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David W. Johnson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Michael C. Smiley</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August 2,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the Corporation’s equity-based compensation plans as of the end of the most recently completed fiscal year:</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2820" w:type="dxa"/>
            <w:vAlign w:val="bottom"/>
            <w:tcBorders>
              <w:top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of Securities to be Issued</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Weighted Average Price of</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 Remaining</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Upon Exercise of</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Available for Future</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 Category</w:t>
            </w:r>
          </w:p>
        </w:tc>
        <w:tc>
          <w:tcPr>
            <w:tcW w:w="2820" w:type="dxa"/>
            <w:vAlign w:val="bottom"/>
            <w:tcBorders>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Issuance Under Equity</w:t>
            </w:r>
          </w:p>
        </w:tc>
        <w:tc>
          <w:tcPr>
            <w:tcW w:w="0" w:type="dxa"/>
            <w:vAlign w:val="bottom"/>
          </w:tcPr>
          <w:p>
            <w:pPr>
              <w:spacing w:after="0"/>
              <w:rPr>
                <w:sz w:val="1"/>
                <w:szCs w:val="1"/>
                <w:color w:val="auto"/>
              </w:rPr>
            </w:pPr>
          </w:p>
        </w:tc>
      </w:tr>
      <w:tr>
        <w:trPr>
          <w:trHeight w:val="234"/>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86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Compensation Plans</w:t>
            </w:r>
          </w:p>
        </w:tc>
        <w:tc>
          <w:tcPr>
            <w:tcW w:w="0" w:type="dxa"/>
            <w:vAlign w:val="bottom"/>
          </w:tcPr>
          <w:p>
            <w:pPr>
              <w:spacing w:after="0"/>
              <w:rPr>
                <w:sz w:val="1"/>
                <w:szCs w:val="1"/>
                <w:color w:val="auto"/>
              </w:rPr>
            </w:pPr>
          </w:p>
        </w:tc>
      </w:tr>
      <w:tr>
        <w:trPr>
          <w:trHeight w:val="191"/>
        </w:trPr>
        <w:tc>
          <w:tcPr>
            <w:tcW w:w="2900" w:type="dxa"/>
            <w:vAlign w:val="bottom"/>
            <w:tcBorders>
              <w:left w:val="single" w:sz="8" w:color="auto"/>
              <w:right w:val="single" w:sz="8" w:color="auto"/>
            </w:tcBorders>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2820" w:type="dxa"/>
            <w:vAlign w:val="bottom"/>
            <w:tcBorders>
              <w:right w:val="single" w:sz="8" w:color="auto"/>
            </w:tcBorders>
            <w:vMerge w:val="restart"/>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268,296 (1)</w:t>
            </w:r>
          </w:p>
        </w:tc>
        <w:tc>
          <w:tcPr>
            <w:tcW w:w="2860" w:type="dxa"/>
            <w:vAlign w:val="bottom"/>
            <w:tcBorders>
              <w:right w:val="single" w:sz="8" w:color="auto"/>
            </w:tcBorders>
            <w:vMerge w:val="restart"/>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$16.47 (2)</w:t>
            </w:r>
          </w:p>
        </w:tc>
        <w:tc>
          <w:tcPr>
            <w:tcW w:w="2840" w:type="dxa"/>
            <w:vAlign w:val="bottom"/>
            <w:tcBorders>
              <w:right w:val="single" w:sz="8" w:color="auto"/>
            </w:tcBorders>
            <w:vMerge w:val="restart"/>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113,004 (3)</w:t>
            </w:r>
          </w:p>
        </w:tc>
        <w:tc>
          <w:tcPr>
            <w:tcW w:w="0" w:type="dxa"/>
            <w:vAlign w:val="bottom"/>
          </w:tcPr>
          <w:p>
            <w:pPr>
              <w:spacing w:after="0"/>
              <w:rPr>
                <w:sz w:val="1"/>
                <w:szCs w:val="1"/>
                <w:color w:val="auto"/>
              </w:rPr>
            </w:pPr>
          </w:p>
        </w:tc>
      </w:tr>
      <w:tr>
        <w:trPr>
          <w:trHeight w:val="126"/>
        </w:trPr>
        <w:tc>
          <w:tcPr>
            <w:tcW w:w="2900" w:type="dxa"/>
            <w:vAlign w:val="bottom"/>
            <w:tcBorders>
              <w:left w:val="single" w:sz="8" w:color="auto"/>
              <w:right w:val="single" w:sz="8" w:color="auto"/>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820" w:type="dxa"/>
            <w:vAlign w:val="bottom"/>
            <w:tcBorders>
              <w:right w:val="single" w:sz="8" w:color="auto"/>
            </w:tcBorders>
            <w:vMerge w:val="continue"/>
            <w:shd w:val="clear" w:color="auto" w:fill="CCEEFF"/>
          </w:tcPr>
          <w:p>
            <w:pPr>
              <w:spacing w:after="0"/>
              <w:rPr>
                <w:sz w:val="10"/>
                <w:szCs w:val="10"/>
                <w:color w:val="auto"/>
              </w:rPr>
            </w:pPr>
          </w:p>
        </w:tc>
        <w:tc>
          <w:tcPr>
            <w:tcW w:w="2860" w:type="dxa"/>
            <w:vAlign w:val="bottom"/>
            <w:tcBorders>
              <w:right w:val="single" w:sz="8" w:color="auto"/>
            </w:tcBorders>
            <w:vMerge w:val="continue"/>
            <w:shd w:val="clear" w:color="auto" w:fill="CCEEFF"/>
          </w:tcPr>
          <w:p>
            <w:pPr>
              <w:spacing w:after="0"/>
              <w:rPr>
                <w:sz w:val="10"/>
                <w:szCs w:val="10"/>
                <w:color w:val="auto"/>
              </w:rPr>
            </w:pPr>
          </w:p>
        </w:tc>
        <w:tc>
          <w:tcPr>
            <w:tcW w:w="28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2820" w:type="dxa"/>
            <w:vAlign w:val="bottom"/>
            <w:tcBorders>
              <w:bottom w:val="single" w:sz="8" w:color="auto"/>
              <w:right w:val="single" w:sz="8" w:color="auto"/>
            </w:tcBorders>
            <w:shd w:val="clear" w:color="auto" w:fill="CCEEFF"/>
          </w:tcPr>
          <w:p>
            <w:pPr>
              <w:spacing w:after="0"/>
              <w:rPr>
                <w:sz w:val="9"/>
                <w:szCs w:val="9"/>
                <w:color w:val="auto"/>
              </w:rPr>
            </w:pPr>
          </w:p>
        </w:tc>
        <w:tc>
          <w:tcPr>
            <w:tcW w:w="2860" w:type="dxa"/>
            <w:vAlign w:val="bottom"/>
            <w:tcBorders>
              <w:bottom w:val="single" w:sz="8" w:color="auto"/>
              <w:right w:val="single" w:sz="8" w:color="auto"/>
            </w:tcBorders>
            <w:shd w:val="clear" w:color="auto" w:fill="CCEEFF"/>
          </w:tcPr>
          <w:p>
            <w:pPr>
              <w:spacing w:after="0"/>
              <w:rPr>
                <w:sz w:val="9"/>
                <w:szCs w:val="9"/>
                <w:color w:val="auto"/>
              </w:rPr>
            </w:pPr>
          </w:p>
        </w:tc>
        <w:tc>
          <w:tcPr>
            <w:tcW w:w="284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90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20" w:type="dxa"/>
            <w:vAlign w:val="bottom"/>
            <w:tcBorders>
              <w:right w:val="single" w:sz="8" w:color="auto"/>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c>
          <w:tcPr>
            <w:tcW w:w="2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840" w:type="dxa"/>
            <w:vAlign w:val="bottom"/>
            <w:tcBorders>
              <w:right w:val="single" w:sz="8" w:color="auto"/>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290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8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9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Borders>
              <w:bottom w:val="single" w:sz="8" w:color="auto"/>
              <w:right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268,296 (1)</w:t>
            </w:r>
          </w:p>
        </w:tc>
        <w:tc>
          <w:tcPr>
            <w:tcW w:w="2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$16.47 (2)</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113,004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-430530</wp:posOffset>
            </wp:positionV>
            <wp:extent cx="7229475"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174" w:lineRule="exact"/>
        <w:rPr>
          <w:sz w:val="20"/>
          <w:szCs w:val="20"/>
          <w:color w:val="auto"/>
        </w:rPr>
      </w:pPr>
    </w:p>
    <w:p>
      <w:pPr>
        <w:ind w:left="340" w:right="80" w:hanging="332"/>
        <w:spacing w:after="0" w:line="254"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 non-qualified stock options awarded under the Twin Disc, Incorporated 2004 Stock Incentive Plan for Non-Employee Directors. Also includes 164,397 shares of performance stock that may be issued as of June 30, 2019 under the Twin Disc, Incorporated 2010 Stock Incentive Plan, assuming the maximum performance level will be achieved. As of June 30, 2017, the Corporation believes that it is unlikely that the threshold performance goals will be achieved. Also includes 90,699 shares of performance stock that may be issued as of June 30, 2018 under the Twin Disc, Incorporated 2010 Stock Incentive Plan, assuming the maximum performance goals are achieved. As of June 30, 2017, the Corporation believes that it is unlikely that the threshold performance goals will be achieved.</w:t>
      </w:r>
    </w:p>
    <w:p>
      <w:pPr>
        <w:ind w:left="340" w:right="48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performance stock awards do not have an exercise price, the weighted-average exercise price does not take performance stock awards into account.</w:t>
      </w:r>
    </w:p>
    <w:p>
      <w:pPr>
        <w:ind w:left="340" w:hanging="332"/>
        <w:spacing w:after="0" w:line="25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12,578 shares of the Corporation’s common stock issuable under the Amended and Restated Twin Disc, Incorporated 2010 Stock Incentive Plan, and 100,426 shares issuable under the Twin Disc, Incorporated 2010 Stock Incentive Plan for Non-Employee Directors. Assumes that outstanding performance stock awards will be issued at maximum, which may not reflect the most probable outcome. As of June 30, 2017, the Corporation believes that it is unlikely that the threshold performance goals will be achieved. Does not include shares of performance stock that were forfeited for the performance period ended June 30, 2017, which are subject to re-issuance under the Amended and Restated Twin Disc, Incorporated 2010 Stock Incentive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Section 16 of the Securities Exchange Act of 1934 requires the Corporation’s Directors, executive officers and certain persons who beneficially own more than 10% of a registered class of the Corporation’s equity securities to file reports of ownership and changes in ownership of Twin Disc stock. Based solely on a review of the copies of such forms furnished to the Corporation and representations from executive officers and Directors, the Corporation believes that during the period from July 1, 2016 to June 30, 2017, all Section 16(a) filing requirements applicable to its executive officers, Directors and greater than 10% beneficial owners were properly filed with the Securities and Exchange Commission, with the exception of Ms. Giesselman’s August 25, 2017 Form 5 filing (which should have been filed on August 15, 2016).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Annual Meeting. Alternatively, shareholders may transmit voting instructions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72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APPENDIX A</w:t>
            </w:r>
          </w:p>
        </w:tc>
      </w:tr>
      <w:tr>
        <w:trPr>
          <w:trHeight w:val="432"/>
        </w:trPr>
        <w:tc>
          <w:tcPr>
            <w:tcW w:w="2740" w:type="dxa"/>
            <w:vAlign w:val="bottom"/>
          </w:tcPr>
          <w:p>
            <w:pPr>
              <w:spacing w:after="0"/>
              <w:rPr>
                <w:sz w:val="24"/>
                <w:szCs w:val="24"/>
                <w:color w:val="auto"/>
              </w:rPr>
            </w:pPr>
          </w:p>
        </w:tc>
        <w:tc>
          <w:tcPr>
            <w:tcW w:w="872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w w:val="97"/>
              </w:rPr>
              <w:t>COMPENSATION SURVEYS: PARTICIPATING COMPANIES UTILIZED</w:t>
            </w:r>
          </w:p>
        </w:tc>
      </w:tr>
      <w:tr>
        <w:trPr>
          <w:trHeight w:val="70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CDB General Industry Executive</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Acumed</w:t>
            </w:r>
          </w:p>
        </w:tc>
      </w:tr>
      <w:tr>
        <w:trPr>
          <w:trHeight w:val="220"/>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Companies Revenues &lt; $1B</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Alfa Laval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Acxiom</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Ames True Temper</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Aerojet</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ASCO VALVE</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Appleton Papers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Bemis Mfg. Co.</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Arctic Cat</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BIC Advertising and Promotional Products (BIC APP)</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Aricent Group</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Bosch Rexroth</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Bush Brothers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Bradley Corporation</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E.W. Scripps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Bulk Handling Systems</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CAMCRAFT</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ESRI</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Engineered Plastics Company</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Euro-Pro</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Etnyre International, Ltd.</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Fidessa Group</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Fleetwood Group,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GenCorp</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Flexible Steel Lacing Company</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Globecomm Systems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Georg Fischer Signet LLC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Graco Neustar</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HU-FRIEDY MFG. CO.,</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Hanger Orthopedic Group</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Hunter Industries</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HNTB Regency Centers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John Crane</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Hovnanian Enterprises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Johnson Outdoors</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Hutchinson Technology</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Kewaunee Scientific Corporation</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ION Geophysical</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Klein Tools,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Kimco Realty Space</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Lake Region Medical</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LifeCell Sundt Construction</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Lane Enterprises,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Makino</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Lantech</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Operating Matthews International</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Logic PD</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Medicines Company</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Lutron Electronics Co.,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Milacron</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Malco Products,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Navigant Consulting</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Merit Medical Systems</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Polymer Group</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Project Management Institute</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Ricardo</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Rea Magnet Wire Company,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Rite-Hite Holding Corporation</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ShawCor</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Scientific Research Corporation</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Systems Loral</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Seaman Corporation</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Taubman Centers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SGT,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Viad</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Southco, Inc.</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VistaPrint</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The Bergquist Company</w:t>
            </w:r>
          </w:p>
        </w:tc>
      </w:t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Zebra Technologies</w:t>
            </w:r>
          </w:p>
        </w:tc>
        <w:tc>
          <w:tcPr>
            <w:tcW w:w="8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United Conveyor Corporation</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CSR Top Management</w:t>
            </w:r>
          </w:p>
        </w:tc>
        <w:tc>
          <w:tcPr>
            <w:tcW w:w="87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Durable Goods Companies</w:t>
            </w:r>
          </w:p>
        </w:tc>
        <w:tc>
          <w:tcPr>
            <w:tcW w:w="8720" w:type="dxa"/>
            <w:vAlign w:val="bottom"/>
          </w:tcPr>
          <w:p>
            <w:pPr>
              <w:spacing w:after="0"/>
              <w:rPr>
                <w:sz w:val="18"/>
                <w:szCs w:val="18"/>
                <w:color w:val="auto"/>
              </w:rPr>
            </w:pP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&lt; $450M</w:t>
            </w:r>
          </w:p>
        </w:tc>
        <w:tc>
          <w:tcPr>
            <w:tcW w:w="8720" w:type="dxa"/>
            <w:vAlign w:val="bottom"/>
          </w:tcPr>
          <w:p>
            <w:pPr>
              <w:spacing w:after="0"/>
              <w:rPr>
                <w:sz w:val="20"/>
                <w:szCs w:val="20"/>
                <w:color w:val="auto"/>
              </w:rPr>
            </w:pPr>
          </w:p>
        </w:tc>
      </w:tr>
      <w:tr>
        <w:trPr>
          <w:trHeight w:val="675"/>
        </w:trPr>
        <w:tc>
          <w:tcPr>
            <w:tcW w:w="2740" w:type="dxa"/>
            <w:vAlign w:val="bottom"/>
          </w:tcPr>
          <w:p>
            <w:pPr>
              <w:spacing w:after="0"/>
              <w:rPr>
                <w:sz w:val="24"/>
                <w:szCs w:val="24"/>
                <w:color w:val="auto"/>
              </w:rPr>
            </w:pPr>
          </w:p>
        </w:tc>
        <w:tc>
          <w:tcPr>
            <w:tcW w:w="872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A-1</w:t>
            </w:r>
          </w:p>
        </w:tc>
      </w:tr>
      <w:tr>
        <w:trPr>
          <w:trHeight w:val="105"/>
        </w:trPr>
        <w:tc>
          <w:tcPr>
            <w:tcW w:w="2740" w:type="dxa"/>
            <w:vAlign w:val="bottom"/>
          </w:tcPr>
          <w:p>
            <w:pPr>
              <w:spacing w:after="0"/>
              <w:rPr>
                <w:sz w:val="9"/>
                <w:szCs w:val="9"/>
                <w:color w:val="auto"/>
              </w:rPr>
            </w:pPr>
          </w:p>
        </w:tc>
        <w:tc>
          <w:tcPr>
            <w:tcW w:w="8720" w:type="dxa"/>
            <w:vAlign w:val="bottom"/>
          </w:tcPr>
          <w:p>
            <w:pPr>
              <w:spacing w:after="0"/>
              <w:rPr>
                <w:sz w:val="9"/>
                <w:szCs w:val="9"/>
                <w:color w:val="auto"/>
              </w:rPr>
            </w:pPr>
          </w:p>
        </w:tc>
      </w:tr>
      <w:tr>
        <w:trPr>
          <w:trHeight w:val="61"/>
        </w:trPr>
        <w:tc>
          <w:tcPr>
            <w:tcW w:w="2740" w:type="dxa"/>
            <w:vAlign w:val="bottom"/>
            <w:shd w:val="clear" w:color="auto" w:fill="808080"/>
          </w:tcPr>
          <w:p>
            <w:pPr>
              <w:spacing w:after="0"/>
              <w:rPr>
                <w:sz w:val="5"/>
                <w:szCs w:val="5"/>
                <w:color w:val="auto"/>
              </w:rPr>
            </w:pPr>
          </w:p>
        </w:tc>
        <w:tc>
          <w:tcPr>
            <w:tcW w:w="87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9161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9161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414655</wp:posOffset>
            </wp:positionV>
            <wp:extent cx="7267575" cy="91268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9126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397510</wp:posOffset>
            </wp:positionV>
            <wp:extent cx="7267575" cy="9178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917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380365</wp:posOffset>
            </wp:positionV>
            <wp:extent cx="6646545" cy="85928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646545" cy="8592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lvl w:ilvl="1">
      <w:lvlJc w:val="left"/>
      <w:lvlText w:val="%2)"/>
      <w:numFmt w:val="decimal"/>
      <w:start w:val="1"/>
    </w:lvl>
  </w:abstractNum>
  <w:abstractNum w:abstractNumId="2">
    <w:nsid w:val="7C83E458"/>
    <w:multiLevelType w:val="hybridMultilevel"/>
    <w:lvl w:ilvl="0">
      <w:lvlJc w:val="left"/>
      <w:lvlText w:val="%1)"/>
      <w:numFmt w:val="decimal"/>
      <w:start w:val="4"/>
    </w:lvl>
  </w:abstractNum>
  <w:abstractNum w:abstractNumId="3">
    <w:nsid w:val="257130A3"/>
    <w:multiLevelType w:val="hybridMultilevel"/>
    <w:lvl w:ilvl="0">
      <w:lvlJc w:val="left"/>
      <w:lvlText w:val="["/>
      <w:numFmt w:val="bullet"/>
      <w:start w:val="1"/>
    </w:lvl>
    <w:lvl w:ilvl="1">
      <w:lvlJc w:val="left"/>
      <w:lvlText w:val="%2)"/>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Letter"/>
      <w:start w:val="1"/>
    </w:lvl>
    <w:lvl w:ilvl="1">
      <w:lvlJc w:val="left"/>
      <w:lvlText w:val="%2."/>
      <w:numFmt w:val="lowerRoman"/>
      <w:start w:val="1"/>
    </w:lvl>
  </w:abstractNum>
  <w:abstractNum w:abstractNumId="11">
    <w:nsid w:val="6763845E"/>
    <w:multiLevelType w:val="hybridMultilevel"/>
    <w:lvl w:ilvl="0">
      <w:lvlJc w:val="left"/>
      <w:lvlText w:val="%1."/>
      <w:numFmt w:val="lowerLetter"/>
      <w:start w:val="3"/>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2019-12-05T07:44:45Z</dcterms:created>
  <dcterms:modified xsi:type="dcterms:W3CDTF">2019-12-05T07:44:45Z</dcterms:modified>
</cp:coreProperties>
</file>