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
        <w:spacing w:after="0"/>
        <w:rPr>
          <w:sz w:val="20"/>
          <w:szCs w:val="20"/>
          <w:color w:val="auto"/>
        </w:rPr>
      </w:pPr>
      <w:r>
        <w:rPr>
          <w:rFonts w:ascii="Arial" w:cs="Arial" w:eastAsia="Arial" w:hAnsi="Arial"/>
          <w:sz w:val="28"/>
          <w:szCs w:val="28"/>
          <w:b w:val="1"/>
          <w:bCs w:val="1"/>
          <w:color w:val="auto"/>
        </w:rPr>
        <w:t>SCHEDULE 14A INFORMATION</w:t>
      </w:r>
    </w:p>
    <w:p>
      <w:pPr>
        <w:spacing w:after="0" w:line="202" w:lineRule="exact"/>
        <w:rPr>
          <w:sz w:val="24"/>
          <w:szCs w:val="24"/>
          <w:color w:val="auto"/>
        </w:rPr>
      </w:pPr>
    </w:p>
    <w:p>
      <w:pPr>
        <w:jc w:val="center"/>
        <w:ind w:right="-207"/>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230" w:lineRule="exact"/>
        <w:rPr>
          <w:sz w:val="24"/>
          <w:szCs w:val="24"/>
          <w:color w:val="auto"/>
        </w:rPr>
      </w:pPr>
    </w:p>
    <w:p>
      <w:pPr>
        <w:ind w:left="8"/>
        <w:spacing w:after="0"/>
        <w:rPr>
          <w:sz w:val="20"/>
          <w:szCs w:val="20"/>
          <w:color w:val="auto"/>
        </w:rPr>
      </w:pPr>
      <w:r>
        <w:rPr>
          <w:rFonts w:ascii="Arial" w:cs="Arial" w:eastAsia="Arial" w:hAnsi="Arial"/>
          <w:sz w:val="15"/>
          <w:szCs w:val="15"/>
          <w:color w:val="auto"/>
        </w:rPr>
        <w:t>Filed by the Registrant [ x ]</w:t>
      </w:r>
    </w:p>
    <w:p>
      <w:pPr>
        <w:spacing w:after="0" w:line="265" w:lineRule="exact"/>
        <w:rPr>
          <w:sz w:val="24"/>
          <w:szCs w:val="24"/>
          <w:color w:val="auto"/>
        </w:rPr>
      </w:pPr>
    </w:p>
    <w:p>
      <w:pPr>
        <w:ind w:left="8"/>
        <w:spacing w:after="0"/>
        <w:rPr>
          <w:sz w:val="20"/>
          <w:szCs w:val="20"/>
          <w:color w:val="auto"/>
        </w:rPr>
      </w:pPr>
      <w:r>
        <w:rPr>
          <w:rFonts w:ascii="Arial" w:cs="Arial" w:eastAsia="Arial" w:hAnsi="Arial"/>
          <w:sz w:val="15"/>
          <w:szCs w:val="15"/>
          <w:color w:val="auto"/>
        </w:rPr>
        <w:t>Filed by a Party Other than the Registrant [  ]</w:t>
      </w:r>
    </w:p>
    <w:p>
      <w:pPr>
        <w:spacing w:after="0" w:line="265" w:lineRule="exact"/>
        <w:rPr>
          <w:sz w:val="24"/>
          <w:szCs w:val="24"/>
          <w:color w:val="auto"/>
        </w:rPr>
      </w:pPr>
    </w:p>
    <w:p>
      <w:pPr>
        <w:ind w:left="8"/>
        <w:spacing w:after="0"/>
        <w:rPr>
          <w:sz w:val="20"/>
          <w:szCs w:val="20"/>
          <w:color w:val="auto"/>
        </w:rPr>
      </w:pPr>
      <w:r>
        <w:rPr>
          <w:rFonts w:ascii="Arial" w:cs="Arial" w:eastAsia="Arial" w:hAnsi="Arial"/>
          <w:sz w:val="15"/>
          <w:szCs w:val="15"/>
          <w:color w:val="auto"/>
        </w:rPr>
        <w:t>Check the appropriate box:</w:t>
      </w:r>
    </w:p>
    <w:p>
      <w:pPr>
        <w:spacing w:after="0" w:line="265" w:lineRule="exact"/>
        <w:rPr>
          <w:sz w:val="24"/>
          <w:szCs w:val="24"/>
          <w:color w:val="auto"/>
        </w:rPr>
      </w:pPr>
    </w:p>
    <w:p>
      <w:pPr>
        <w:ind w:left="248" w:hanging="236"/>
        <w:spacing w:after="0"/>
        <w:tabs>
          <w:tab w:leader="none" w:pos="24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Preliminary Proxy Statement</w:t>
      </w:r>
    </w:p>
    <w:p>
      <w:pPr>
        <w:spacing w:after="0" w:line="46" w:lineRule="exact"/>
        <w:rPr>
          <w:sz w:val="24"/>
          <w:szCs w:val="24"/>
          <w:color w:val="auto"/>
        </w:rPr>
      </w:pPr>
    </w:p>
    <w:p>
      <w:pPr>
        <w:ind w:left="248" w:hanging="236"/>
        <w:spacing w:after="0"/>
        <w:tabs>
          <w:tab w:leader="none" w:pos="248" w:val="left"/>
        </w:tabs>
        <w:numPr>
          <w:ilvl w:val="0"/>
          <w:numId w:val="2"/>
        </w:numPr>
        <w:rPr>
          <w:rFonts w:ascii="Arial" w:cs="Arial" w:eastAsia="Arial" w:hAnsi="Arial"/>
          <w:sz w:val="15"/>
          <w:szCs w:val="15"/>
          <w:color w:val="auto"/>
        </w:rPr>
      </w:pPr>
      <w:r>
        <w:rPr>
          <w:rFonts w:ascii="Arial" w:cs="Arial" w:eastAsia="Arial" w:hAnsi="Arial"/>
          <w:sz w:val="15"/>
          <w:szCs w:val="15"/>
          <w:color w:val="auto"/>
        </w:rPr>
        <w:t>]   Confidential, for Use of the Commission Only (as permitted by Rule 14a-6(e)(2))</w:t>
      </w:r>
    </w:p>
    <w:p>
      <w:pPr>
        <w:spacing w:after="0" w:line="23" w:lineRule="exact"/>
        <w:rPr>
          <w:rFonts w:ascii="Arial" w:cs="Arial" w:eastAsia="Arial" w:hAnsi="Arial"/>
          <w:sz w:val="15"/>
          <w:szCs w:val="15"/>
          <w:color w:val="auto"/>
        </w:rPr>
      </w:pPr>
    </w:p>
    <w:p>
      <w:pPr>
        <w:spacing w:after="0"/>
        <w:tabs>
          <w:tab w:leader="none" w:pos="0" w:val="left"/>
        </w:tabs>
        <w:numPr>
          <w:ilvl w:val="0"/>
          <w:numId w:val="2"/>
        </w:numPr>
        <w:rPr>
          <w:rFonts w:ascii="Arial" w:cs="Arial" w:eastAsia="Arial" w:hAnsi="Arial"/>
          <w:sz w:val="15"/>
          <w:szCs w:val="15"/>
          <w:color w:val="auto"/>
        </w:rPr>
      </w:pPr>
    </w:p>
    <w:p>
      <w:pPr>
        <w:spacing w:after="0" w:line="16" w:lineRule="exact"/>
        <w:rPr>
          <w:sz w:val="24"/>
          <w:szCs w:val="24"/>
          <w:color w:val="auto"/>
        </w:rPr>
      </w:pPr>
    </w:p>
    <w:p>
      <w:pPr>
        <w:ind w:left="248" w:hanging="236"/>
        <w:spacing w:after="0"/>
        <w:tabs>
          <w:tab w:leader="none" w:pos="248"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   </w:t>
      </w:r>
      <w:r>
        <w:rPr>
          <w:rFonts w:ascii="Arial" w:cs="Arial" w:eastAsia="Arial" w:hAnsi="Arial"/>
          <w:sz w:val="18"/>
          <w:szCs w:val="18"/>
          <w:color w:val="auto"/>
        </w:rPr>
        <w:t>Definitive Proxy Statement</w:t>
      </w:r>
    </w:p>
    <w:p>
      <w:pPr>
        <w:spacing w:after="0" w:line="31" w:lineRule="exact"/>
        <w:rPr>
          <w:sz w:val="24"/>
          <w:szCs w:val="24"/>
          <w:color w:val="auto"/>
        </w:rPr>
      </w:pPr>
    </w:p>
    <w:p>
      <w:pPr>
        <w:ind w:left="248" w:hanging="236"/>
        <w:spacing w:after="0"/>
        <w:tabs>
          <w:tab w:leader="none" w:pos="248" w:val="left"/>
        </w:tabs>
        <w:numPr>
          <w:ilvl w:val="0"/>
          <w:numId w:val="4"/>
        </w:numPr>
        <w:rPr>
          <w:rFonts w:ascii="Arial" w:cs="Arial" w:eastAsia="Arial" w:hAnsi="Arial"/>
          <w:sz w:val="15"/>
          <w:szCs w:val="15"/>
          <w:color w:val="auto"/>
        </w:rPr>
      </w:pPr>
      <w:r>
        <w:rPr>
          <w:rFonts w:ascii="Arial" w:cs="Arial" w:eastAsia="Arial" w:hAnsi="Arial"/>
          <w:sz w:val="15"/>
          <w:szCs w:val="15"/>
          <w:color w:val="auto"/>
        </w:rPr>
        <w:t>]   Definitive Additional Materials</w:t>
      </w:r>
    </w:p>
    <w:p>
      <w:pPr>
        <w:spacing w:after="0" w:line="46" w:lineRule="exact"/>
        <w:rPr>
          <w:sz w:val="24"/>
          <w:szCs w:val="24"/>
          <w:color w:val="auto"/>
        </w:rPr>
      </w:pPr>
    </w:p>
    <w:p>
      <w:pPr>
        <w:ind w:left="248" w:hanging="236"/>
        <w:spacing w:after="0"/>
        <w:tabs>
          <w:tab w:leader="none" w:pos="248" w:val="left"/>
        </w:tabs>
        <w:numPr>
          <w:ilvl w:val="0"/>
          <w:numId w:val="5"/>
        </w:numPr>
        <w:rPr>
          <w:rFonts w:ascii="Arial" w:cs="Arial" w:eastAsia="Arial" w:hAnsi="Arial"/>
          <w:sz w:val="15"/>
          <w:szCs w:val="15"/>
          <w:color w:val="auto"/>
        </w:rPr>
      </w:pPr>
      <w:r>
        <w:rPr>
          <w:rFonts w:ascii="Arial" w:cs="Arial" w:eastAsia="Arial" w:hAnsi="Arial"/>
          <w:sz w:val="15"/>
          <w:szCs w:val="15"/>
          <w:color w:val="auto"/>
        </w:rPr>
        <w:t>]   Soliciting Material Pursuant to Section 240.14a-2.</w:t>
      </w:r>
    </w:p>
    <w:p>
      <w:pPr>
        <w:spacing w:after="0" w:line="200" w:lineRule="exact"/>
        <w:rPr>
          <w:sz w:val="24"/>
          <w:szCs w:val="24"/>
          <w:color w:val="auto"/>
        </w:rPr>
      </w:pPr>
    </w:p>
    <w:p>
      <w:pPr>
        <w:spacing w:after="0" w:line="232" w:lineRule="exact"/>
        <w:rPr>
          <w:sz w:val="24"/>
          <w:szCs w:val="24"/>
          <w:color w:val="auto"/>
        </w:rPr>
      </w:pPr>
    </w:p>
    <w:p>
      <w:pPr>
        <w:jc w:val="center"/>
        <w:ind w:right="-207"/>
        <w:spacing w:after="0"/>
        <w:rPr>
          <w:sz w:val="20"/>
          <w:szCs w:val="20"/>
          <w:color w:val="auto"/>
        </w:rPr>
      </w:pPr>
      <w:r>
        <w:rPr>
          <w:rFonts w:ascii="Arial" w:cs="Arial" w:eastAsia="Arial" w:hAnsi="Arial"/>
          <w:sz w:val="21"/>
          <w:szCs w:val="21"/>
          <w:b w:val="1"/>
          <w:bCs w:val="1"/>
          <w:u w:val="single" w:color="auto"/>
          <w:color w:val="auto"/>
        </w:rPr>
        <w:t>Twin Disc Incorporated</w:t>
      </w:r>
    </w:p>
    <w:p>
      <w:pPr>
        <w:spacing w:after="0" w:line="29" w:lineRule="exact"/>
        <w:rPr>
          <w:sz w:val="24"/>
          <w:szCs w:val="24"/>
          <w:color w:val="auto"/>
        </w:rPr>
      </w:pPr>
    </w:p>
    <w:p>
      <w:pPr>
        <w:jc w:val="center"/>
        <w:ind w:right="-207"/>
        <w:spacing w:after="0"/>
        <w:rPr>
          <w:sz w:val="20"/>
          <w:szCs w:val="20"/>
          <w:color w:val="auto"/>
        </w:rPr>
      </w:pPr>
      <w:r>
        <w:rPr>
          <w:rFonts w:ascii="Arial" w:cs="Arial" w:eastAsia="Arial" w:hAnsi="Arial"/>
          <w:sz w:val="15"/>
          <w:szCs w:val="15"/>
          <w:color w:val="auto"/>
        </w:rPr>
        <w:t>(Name of Registrant as Specified In Its Charter)</w:t>
      </w:r>
    </w:p>
    <w:p>
      <w:pPr>
        <w:spacing w:after="0" w:line="242" w:lineRule="exact"/>
        <w:rPr>
          <w:sz w:val="24"/>
          <w:szCs w:val="24"/>
          <w:color w:val="auto"/>
        </w:rPr>
      </w:pPr>
    </w:p>
    <w:p>
      <w:pPr>
        <w:ind w:left="4148"/>
        <w:spacing w:after="0"/>
        <w:rPr>
          <w:sz w:val="20"/>
          <w:szCs w:val="20"/>
          <w:color w:val="auto"/>
        </w:rPr>
      </w:pPr>
      <w:r>
        <w:rPr>
          <w:rFonts w:ascii="Arial" w:cs="Arial" w:eastAsia="Arial" w:hAnsi="Arial"/>
          <w:sz w:val="15"/>
          <w:szCs w:val="15"/>
          <w:color w:val="auto"/>
        </w:rPr>
        <w:t>_____________________________________________</w:t>
      </w:r>
    </w:p>
    <w:p>
      <w:pPr>
        <w:spacing w:after="0" w:line="17" w:lineRule="exact"/>
        <w:rPr>
          <w:sz w:val="24"/>
          <w:szCs w:val="24"/>
          <w:color w:val="auto"/>
        </w:rPr>
      </w:pPr>
    </w:p>
    <w:p>
      <w:pPr>
        <w:jc w:val="center"/>
        <w:ind w:right="-207"/>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225" w:lineRule="exact"/>
        <w:rPr>
          <w:sz w:val="24"/>
          <w:szCs w:val="24"/>
          <w:color w:val="auto"/>
        </w:rPr>
      </w:pPr>
    </w:p>
    <w:p>
      <w:pPr>
        <w:ind w:left="28"/>
        <w:spacing w:after="0"/>
        <w:rPr>
          <w:sz w:val="20"/>
          <w:szCs w:val="20"/>
          <w:color w:val="auto"/>
        </w:rPr>
      </w:pPr>
      <w:r>
        <w:rPr>
          <w:rFonts w:ascii="Arial" w:cs="Arial" w:eastAsia="Arial" w:hAnsi="Arial"/>
          <w:sz w:val="15"/>
          <w:szCs w:val="15"/>
          <w:color w:val="auto"/>
        </w:rPr>
        <w:t>Payment of Filing Fee (Check the appropriate box):</w:t>
      </w:r>
    </w:p>
    <w:p>
      <w:pPr>
        <w:spacing w:after="0" w:line="17" w:lineRule="exact"/>
        <w:rPr>
          <w:sz w:val="24"/>
          <w:szCs w:val="24"/>
          <w:color w:val="auto"/>
        </w:rPr>
      </w:pPr>
    </w:p>
    <w:p>
      <w:pPr>
        <w:ind w:left="28"/>
        <w:spacing w:after="0"/>
        <w:rPr>
          <w:sz w:val="20"/>
          <w:szCs w:val="20"/>
          <w:color w:val="auto"/>
        </w:rPr>
      </w:pPr>
      <w:r>
        <w:rPr>
          <w:rFonts w:ascii="Arial" w:cs="Arial" w:eastAsia="Arial" w:hAnsi="Arial"/>
          <w:sz w:val="15"/>
          <w:szCs w:val="15"/>
          <w:color w:val="auto"/>
        </w:rPr>
        <w:t>[ x ] No fee required.</w:t>
      </w:r>
    </w:p>
    <w:p>
      <w:pPr>
        <w:spacing w:after="0" w:line="225" w:lineRule="exact"/>
        <w:rPr>
          <w:sz w:val="24"/>
          <w:szCs w:val="24"/>
          <w:color w:val="auto"/>
        </w:rPr>
      </w:pPr>
    </w:p>
    <w:p>
      <w:pPr>
        <w:ind w:left="28"/>
        <w:spacing w:after="0"/>
        <w:rPr>
          <w:sz w:val="20"/>
          <w:szCs w:val="20"/>
          <w:color w:val="auto"/>
        </w:rPr>
      </w:pPr>
      <w:r>
        <w:rPr>
          <w:rFonts w:ascii="Arial" w:cs="Arial" w:eastAsia="Arial" w:hAnsi="Arial"/>
          <w:sz w:val="15"/>
          <w:szCs w:val="15"/>
          <w:color w:val="auto"/>
        </w:rPr>
        <w:t>[  ] Fee computed on table below per Exchange Act Rules 14a-6(i)(4) and 0-11.</w:t>
      </w:r>
    </w:p>
    <w:p>
      <w:pPr>
        <w:spacing w:after="0" w:line="230" w:lineRule="exact"/>
        <w:rPr>
          <w:sz w:val="24"/>
          <w:szCs w:val="24"/>
          <w:color w:val="auto"/>
        </w:rPr>
      </w:pPr>
    </w:p>
    <w:p>
      <w:pPr>
        <w:ind w:left="348" w:hanging="336"/>
        <w:spacing w:after="0"/>
        <w:tabs>
          <w:tab w:leader="none" w:pos="348"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53" w:lineRule="exact"/>
        <w:rPr>
          <w:rFonts w:ascii="Arial" w:cs="Arial" w:eastAsia="Arial" w:hAnsi="Arial"/>
          <w:sz w:val="15"/>
          <w:szCs w:val="15"/>
          <w:color w:val="auto"/>
        </w:rPr>
      </w:pPr>
    </w:p>
    <w:p>
      <w:pPr>
        <w:ind w:left="348" w:hanging="336"/>
        <w:spacing w:after="0"/>
        <w:tabs>
          <w:tab w:leader="none" w:pos="348"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53" w:lineRule="exact"/>
        <w:rPr>
          <w:rFonts w:ascii="Arial" w:cs="Arial" w:eastAsia="Arial" w:hAnsi="Arial"/>
          <w:sz w:val="15"/>
          <w:szCs w:val="15"/>
          <w:color w:val="auto"/>
        </w:rPr>
      </w:pPr>
    </w:p>
    <w:p>
      <w:pPr>
        <w:ind w:left="348" w:right="4760" w:hanging="336"/>
        <w:spacing w:after="0" w:line="368" w:lineRule="auto"/>
        <w:tabs>
          <w:tab w:leader="none" w:pos="348" w:val="left"/>
        </w:tabs>
        <w:numPr>
          <w:ilvl w:val="0"/>
          <w:numId w:val="6"/>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transactions computed pursuant to Exchange Act Rule 0-11 (Set forth the amount on which the filing fee is calculated and state how it was determined):</w:t>
      </w:r>
    </w:p>
    <w:p>
      <w:pPr>
        <w:spacing w:after="0" w:line="151" w:lineRule="exact"/>
        <w:rPr>
          <w:rFonts w:ascii="Arial" w:cs="Arial" w:eastAsia="Arial" w:hAnsi="Arial"/>
          <w:sz w:val="14"/>
          <w:szCs w:val="14"/>
          <w:color w:val="auto"/>
        </w:rPr>
      </w:pPr>
    </w:p>
    <w:p>
      <w:pPr>
        <w:ind w:left="348" w:hanging="336"/>
        <w:spacing w:after="0"/>
        <w:tabs>
          <w:tab w:leader="none" w:pos="348"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transactions:</w:t>
      </w:r>
    </w:p>
    <w:p>
      <w:pPr>
        <w:spacing w:after="0" w:line="253" w:lineRule="exact"/>
        <w:rPr>
          <w:rFonts w:ascii="Arial" w:cs="Arial" w:eastAsia="Arial" w:hAnsi="Arial"/>
          <w:sz w:val="15"/>
          <w:szCs w:val="15"/>
          <w:color w:val="auto"/>
        </w:rPr>
      </w:pPr>
    </w:p>
    <w:p>
      <w:pPr>
        <w:ind w:left="348" w:hanging="336"/>
        <w:spacing w:after="0"/>
        <w:tabs>
          <w:tab w:leader="none" w:pos="348" w:val="left"/>
        </w:tabs>
        <w:numPr>
          <w:ilvl w:val="0"/>
          <w:numId w:val="6"/>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41814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8147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-871855</wp:posOffset>
            </wp:positionV>
            <wp:extent cx="41814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8147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-462280</wp:posOffset>
            </wp:positionV>
            <wp:extent cx="41814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8147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-191770</wp:posOffset>
            </wp:positionV>
            <wp:extent cx="4181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8147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78105</wp:posOffset>
            </wp:positionV>
            <wp:extent cx="4181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8147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8"/>
        <w:spacing w:after="0"/>
        <w:rPr>
          <w:sz w:val="20"/>
          <w:szCs w:val="20"/>
          <w:color w:val="auto"/>
        </w:rPr>
      </w:pPr>
      <w:r>
        <w:rPr>
          <w:rFonts w:ascii="Arial" w:cs="Arial" w:eastAsia="Arial" w:hAnsi="Arial"/>
          <w:sz w:val="15"/>
          <w:szCs w:val="15"/>
          <w:color w:val="auto"/>
        </w:rPr>
        <w:t>[  ] Fee paid previously with preliminary materials</w:t>
      </w:r>
    </w:p>
    <w:p>
      <w:pPr>
        <w:spacing w:after="0" w:line="219" w:lineRule="exact"/>
        <w:rPr>
          <w:sz w:val="24"/>
          <w:szCs w:val="24"/>
          <w:color w:val="auto"/>
        </w:rPr>
      </w:pPr>
    </w:p>
    <w:p>
      <w:pPr>
        <w:jc w:val="center"/>
        <w:ind w:right="-207"/>
        <w:spacing w:after="0"/>
        <w:rPr>
          <w:sz w:val="20"/>
          <w:szCs w:val="20"/>
          <w:color w:val="auto"/>
        </w:rPr>
      </w:pPr>
      <w:r>
        <w:rPr>
          <w:rFonts w:ascii="Arial" w:cs="Arial" w:eastAsia="Arial" w:hAnsi="Arial"/>
          <w:sz w:val="18"/>
          <w:szCs w:val="18"/>
          <w:color w:val="auto"/>
        </w:rPr>
        <w:t>1</w:t>
      </w:r>
    </w:p>
    <w:p>
      <w:pPr>
        <w:spacing w:after="0" w:line="196" w:lineRule="exact"/>
        <w:rPr>
          <w:sz w:val="24"/>
          <w:szCs w:val="24"/>
          <w:color w:val="auto"/>
        </w:rPr>
      </w:pPr>
    </w:p>
    <w:p>
      <w:pPr>
        <w:ind w:left="8" w:hanging="8"/>
        <w:spacing w:after="0" w:line="279" w:lineRule="auto"/>
        <w:tabs>
          <w:tab w:leader="none" w:pos="207" w:val="left"/>
        </w:tabs>
        <w:numPr>
          <w:ilvl w:val="0"/>
          <w:numId w:val="7"/>
        </w:numPr>
        <w:rPr>
          <w:rFonts w:ascii="Arial" w:cs="Arial" w:eastAsia="Arial" w:hAnsi="Arial"/>
          <w:sz w:val="15"/>
          <w:szCs w:val="15"/>
          <w:color w:val="auto"/>
        </w:rPr>
      </w:pPr>
      <w:r>
        <w:rPr>
          <w:rFonts w:ascii="Arial" w:cs="Arial" w:eastAsia="Arial" w:hAnsi="Arial"/>
          <w:sz w:val="15"/>
          <w:szCs w:val="15"/>
          <w:color w:val="auto"/>
        </w:rPr>
        <w:t>] Check box if any part of the fee is offset as proved by Exchange Act Rule 0-11(a)(2) and identify the filing which the offsetting fee was paid previously. Identify the previous filing by registration statement number, or the Form or Schedule and the date of its filing.</w:t>
      </w:r>
    </w:p>
    <w:p>
      <w:pPr>
        <w:spacing w:after="0" w:line="186" w:lineRule="exact"/>
        <w:rPr>
          <w:rFonts w:ascii="Arial" w:cs="Arial" w:eastAsia="Arial" w:hAnsi="Arial"/>
          <w:sz w:val="15"/>
          <w:szCs w:val="15"/>
          <w:color w:val="auto"/>
        </w:rPr>
      </w:pPr>
    </w:p>
    <w:p>
      <w:pPr>
        <w:ind w:left="268" w:hanging="256"/>
        <w:spacing w:after="0"/>
        <w:tabs>
          <w:tab w:leader="none" w:pos="268" w:val="left"/>
        </w:tabs>
        <w:numPr>
          <w:ilvl w:val="1"/>
          <w:numId w:val="7"/>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53" w:lineRule="exact"/>
        <w:rPr>
          <w:rFonts w:ascii="Arial" w:cs="Arial" w:eastAsia="Arial" w:hAnsi="Arial"/>
          <w:sz w:val="15"/>
          <w:szCs w:val="15"/>
          <w:color w:val="auto"/>
        </w:rPr>
      </w:pPr>
    </w:p>
    <w:p>
      <w:pPr>
        <w:ind w:left="268" w:hanging="256"/>
        <w:spacing w:after="0"/>
        <w:tabs>
          <w:tab w:leader="none" w:pos="268" w:val="left"/>
        </w:tabs>
        <w:numPr>
          <w:ilvl w:val="1"/>
          <w:numId w:val="7"/>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53" w:lineRule="exact"/>
        <w:rPr>
          <w:rFonts w:ascii="Arial" w:cs="Arial" w:eastAsia="Arial" w:hAnsi="Arial"/>
          <w:sz w:val="15"/>
          <w:szCs w:val="15"/>
          <w:color w:val="auto"/>
        </w:rPr>
      </w:pPr>
    </w:p>
    <w:p>
      <w:pPr>
        <w:ind w:left="268" w:hanging="256"/>
        <w:spacing w:after="0"/>
        <w:tabs>
          <w:tab w:leader="none" w:pos="268" w:val="left"/>
        </w:tabs>
        <w:numPr>
          <w:ilvl w:val="1"/>
          <w:numId w:val="7"/>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53" w:lineRule="exact"/>
        <w:rPr>
          <w:rFonts w:ascii="Arial" w:cs="Arial" w:eastAsia="Arial" w:hAnsi="Arial"/>
          <w:sz w:val="15"/>
          <w:szCs w:val="15"/>
          <w:color w:val="auto"/>
        </w:rPr>
      </w:pPr>
    </w:p>
    <w:p>
      <w:pPr>
        <w:ind w:left="268" w:hanging="256"/>
        <w:spacing w:after="0"/>
        <w:tabs>
          <w:tab w:leader="none" w:pos="268" w:val="left"/>
        </w:tabs>
        <w:numPr>
          <w:ilvl w:val="1"/>
          <w:numId w:val="7"/>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20104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041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-462280</wp:posOffset>
            </wp:positionV>
            <wp:extent cx="20104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1041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-191770</wp:posOffset>
            </wp:positionV>
            <wp:extent cx="20104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041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78105</wp:posOffset>
            </wp:positionV>
            <wp:extent cx="20104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1041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338455</wp:posOffset>
            </wp:positionV>
            <wp:extent cx="728662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207"/>
        <w:spacing w:after="0"/>
        <w:rPr>
          <w:sz w:val="20"/>
          <w:szCs w:val="20"/>
          <w:color w:val="auto"/>
        </w:rPr>
      </w:pPr>
      <w:r>
        <w:rPr>
          <w:rFonts w:ascii="Arial" w:cs="Arial" w:eastAsia="Arial" w:hAnsi="Arial"/>
          <w:sz w:val="28"/>
          <w:szCs w:val="28"/>
          <w:b w:val="1"/>
          <w:bCs w:val="1"/>
          <w:color w:val="auto"/>
        </w:rPr>
        <w:t>TWIN DISC, INCORPORATED</w:t>
      </w:r>
    </w:p>
    <w:p>
      <w:pPr>
        <w:spacing w:after="0" w:line="233" w:lineRule="exact"/>
        <w:rPr>
          <w:sz w:val="24"/>
          <w:szCs w:val="24"/>
          <w:color w:val="auto"/>
        </w:rPr>
      </w:pPr>
    </w:p>
    <w:p>
      <w:pPr>
        <w:jc w:val="center"/>
        <w:ind w:right="-207"/>
        <w:spacing w:after="0"/>
        <w:rPr>
          <w:sz w:val="20"/>
          <w:szCs w:val="20"/>
          <w:color w:val="auto"/>
        </w:rPr>
      </w:pPr>
      <w:r>
        <w:rPr>
          <w:rFonts w:ascii="Arial" w:cs="Arial" w:eastAsia="Arial" w:hAnsi="Arial"/>
          <w:sz w:val="15"/>
          <w:szCs w:val="15"/>
          <w:b w:val="1"/>
          <w:bCs w:val="1"/>
          <w:color w:val="auto"/>
        </w:rPr>
        <w:t>1328 Racine Street, Racine, Wisconsin 53403</w:t>
      </w:r>
    </w:p>
    <w:p>
      <w:pPr>
        <w:spacing w:after="0" w:line="230" w:lineRule="exact"/>
        <w:rPr>
          <w:sz w:val="24"/>
          <w:szCs w:val="24"/>
          <w:color w:val="auto"/>
        </w:rPr>
      </w:pPr>
    </w:p>
    <w:p>
      <w:pPr>
        <w:jc w:val="center"/>
        <w:ind w:right="-207"/>
        <w:spacing w:after="0"/>
        <w:rPr>
          <w:sz w:val="20"/>
          <w:szCs w:val="20"/>
          <w:color w:val="auto"/>
        </w:rPr>
      </w:pPr>
      <w:r>
        <w:rPr>
          <w:rFonts w:ascii="Arial" w:cs="Arial" w:eastAsia="Arial" w:hAnsi="Arial"/>
          <w:sz w:val="15"/>
          <w:szCs w:val="15"/>
          <w:b w:val="1"/>
          <w:bCs w:val="1"/>
          <w:color w:val="auto"/>
        </w:rPr>
        <w:t>NOTICE OF ANNUAL MEETING OF SHAREHOLDERS OCTOBER 17, 2008</w:t>
      </w:r>
    </w:p>
    <w:p>
      <w:pPr>
        <w:spacing w:after="0" w:line="219" w:lineRule="exact"/>
        <w:rPr>
          <w:sz w:val="24"/>
          <w:szCs w:val="24"/>
          <w:color w:val="auto"/>
        </w:rPr>
      </w:pPr>
    </w:p>
    <w:p>
      <w:pPr>
        <w:ind w:left="2708"/>
        <w:spacing w:after="0"/>
        <w:rPr>
          <w:sz w:val="20"/>
          <w:szCs w:val="20"/>
          <w:color w:val="auto"/>
        </w:rPr>
      </w:pPr>
      <w:r>
        <w:rPr>
          <w:rFonts w:ascii="Arial" w:cs="Arial" w:eastAsia="Arial" w:hAnsi="Arial"/>
          <w:sz w:val="15"/>
          <w:szCs w:val="15"/>
          <w:b w:val="1"/>
          <w:bCs w:val="1"/>
          <w:color w:val="auto"/>
        </w:rPr>
        <w:t>NOTICE IS HEREBY GIVEN TO THE SHAREHOLDERS OF TWIN DISC, INCORPORATED</w:t>
      </w:r>
    </w:p>
    <w:p>
      <w:pPr>
        <w:spacing w:after="0" w:line="200" w:lineRule="exact"/>
        <w:rPr>
          <w:sz w:val="24"/>
          <w:szCs w:val="24"/>
          <w:color w:val="auto"/>
        </w:rPr>
      </w:pPr>
    </w:p>
    <w:p>
      <w:pPr>
        <w:ind w:left="8" w:right="220"/>
        <w:spacing w:after="0" w:line="279" w:lineRule="auto"/>
        <w:rPr>
          <w:sz w:val="20"/>
          <w:szCs w:val="20"/>
          <w:color w:val="auto"/>
        </w:rPr>
      </w:pPr>
      <w:r>
        <w:rPr>
          <w:rFonts w:ascii="Arial" w:cs="Arial" w:eastAsia="Arial" w:hAnsi="Arial"/>
          <w:sz w:val="15"/>
          <w:szCs w:val="15"/>
          <w:color w:val="auto"/>
        </w:rPr>
        <w:t>The Annual Meeting of Shareholders of Twin Disc, Incorporated, a Wisconsin corporation, will be held at 2 P.M. (Central Daylight Time) on Friday, October 17, 2008, at the Corporate Offices, 1328 Racine Street, Racine, Wisconsin for the following purposes:</w:t>
      </w:r>
    </w:p>
    <w:p>
      <w:pPr>
        <w:spacing w:after="0" w:line="186" w:lineRule="exact"/>
        <w:rPr>
          <w:sz w:val="24"/>
          <w:szCs w:val="24"/>
          <w:color w:val="auto"/>
        </w:rPr>
      </w:pPr>
    </w:p>
    <w:p>
      <w:pPr>
        <w:ind w:left="348" w:hanging="336"/>
        <w:spacing w:after="0"/>
        <w:tabs>
          <w:tab w:leader="none" w:pos="348"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elect three Directors to serve until the Annual Meeting in 2011.</w:t>
      </w:r>
    </w:p>
    <w:p>
      <w:pPr>
        <w:spacing w:after="0" w:line="46" w:lineRule="exact"/>
        <w:rPr>
          <w:rFonts w:ascii="Arial" w:cs="Arial" w:eastAsia="Arial" w:hAnsi="Arial"/>
          <w:sz w:val="15"/>
          <w:szCs w:val="15"/>
          <w:color w:val="auto"/>
        </w:rPr>
      </w:pPr>
    </w:p>
    <w:p>
      <w:pPr>
        <w:ind w:left="428" w:right="5340" w:hanging="416"/>
        <w:spacing w:after="0" w:line="351" w:lineRule="auto"/>
        <w:tabs>
          <w:tab w:leader="none" w:pos="362"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ratify the appointment of PricewaterhouseCoopers LLP, an independent registered public accounting firm, as our independent auditors for the fiscal year ending June 30, 2009.</w:t>
      </w:r>
    </w:p>
    <w:p>
      <w:pPr>
        <w:ind w:left="348" w:hanging="336"/>
        <w:spacing w:after="0"/>
        <w:tabs>
          <w:tab w:leader="none" w:pos="348"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transact any other business that may properly come before the meeting.</w:t>
      </w:r>
    </w:p>
    <w:p>
      <w:pPr>
        <w:sectPr>
          <w:pgSz w:w="11900" w:h="16838" w:orient="portrait"/>
          <w:cols w:equalWidth="0" w:num="1">
            <w:col w:w="11228"/>
          </w:cols>
          <w:pgMar w:left="232" w:top="195" w:right="439" w:bottom="0" w:gutter="0" w:footer="0" w:header="0"/>
        </w:sectPr>
      </w:pPr>
    </w:p>
    <w:p>
      <w:pPr>
        <w:spacing w:after="0" w:line="200" w:lineRule="exact"/>
        <w:rPr>
          <w:sz w:val="24"/>
          <w:szCs w:val="24"/>
          <w:color w:val="auto"/>
        </w:rPr>
      </w:pPr>
    </w:p>
    <w:p>
      <w:pPr>
        <w:spacing w:after="0" w:line="215" w:lineRule="exact"/>
        <w:rPr>
          <w:sz w:val="24"/>
          <w:szCs w:val="24"/>
          <w:color w:val="auto"/>
        </w:rPr>
      </w:pPr>
    </w:p>
    <w:p>
      <w:pPr>
        <w:ind w:left="8"/>
        <w:spacing w:after="0"/>
        <w:rPr>
          <w:sz w:val="20"/>
          <w:szCs w:val="20"/>
          <w:color w:val="auto"/>
        </w:rPr>
      </w:pPr>
      <w:r>
        <w:rPr>
          <w:rFonts w:ascii="Arial" w:cs="Arial" w:eastAsia="Arial" w:hAnsi="Arial"/>
          <w:sz w:val="13"/>
          <w:szCs w:val="13"/>
          <w:color w:val="auto"/>
        </w:rPr>
        <w:t>Only holders of record of shares of common stock of the Corporation at the close of business on August 29, 2008, shall be entitled to vote at the meeting.</w:t>
      </w:r>
    </w:p>
    <w:p>
      <w:pPr>
        <w:sectPr>
          <w:pgSz w:w="11900" w:h="16838" w:orient="portrait"/>
          <w:cols w:equalWidth="0" w:num="1">
            <w:col w:w="11228"/>
          </w:cols>
          <w:pgMar w:left="232" w:top="19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A proxy appointment and proxy statement are enclosed herewith. The proxy appointment shows the form in which your shares are registered. Your signature should be in the same form.</w:t>
      </w:r>
    </w:p>
    <w:p>
      <w:pPr>
        <w:spacing w:after="0" w:line="253"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Thomas E. Valentyn</w:t>
      </w:r>
    </w:p>
    <w:p>
      <w:pPr>
        <w:spacing w:after="0" w:line="1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General Counsel and Secretary</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September 17, 2008</w:t>
      </w:r>
    </w:p>
    <w:p>
      <w:pPr>
        <w:spacing w:after="0" w:line="226"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b w:val="1"/>
          <w:bCs w:val="1"/>
          <w:color w:val="auto"/>
        </w:rPr>
        <w:t>IF YOU ARE UNABLE TO ATTEND THE MEETING IN PERSON, PLEASE SIGN AND RETURN YOUR PROXY APPOINTMENT IN THE ENCLOSED ENVELOPE OR VOTE VIA THE INTERNET OR BY TELEPHONE BEFORE THE APPLICABLE DEADLINE STATED IN THE PROXY STATEMENT. IF YOUR PROXY APPOINTMENT IS NOT RECEIVED BY THE SECRETARY, OR IF YOU DO NOT VOTE VIA INTERNET OR TELEPHONE, BEFORE THE APPLICABLE DEADLINE, YOUR PROXY APPOINTMENT WILL BE RULED INVALID. SHOULD YOU FIND IT CONVENIENT TO ATTEND THE MEETING PERSONALLY, AND DESIRE TO VOTE IN PERSON, YOU MAY REQUEST BEFORE ANY VOTE THAT YOUR PROXY APPOINTMENT BE RETURNED TO YOU, OR THAT YOUR ELECTRONIC VOTE BE WITHDRAWN, IN ORDER THAT YOU MAY VOTE IN PERSON.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YOUR VOTE IS IMPORTANT!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PLEASE SIGN, DATE AND RETURN</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THE ENCLOSED PROXY APPOINTMENT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IMMEDIATELY.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2008 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TWIN DISC, INCORPORATED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September 17, 2008</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DATE, TIME AND PLACE OF MEETING</w:t>
      </w:r>
    </w:p>
    <w:p>
      <w:pPr>
        <w:spacing w:after="0" w:line="234"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17, 2008, or any adjournment thereof. Holders of common stock of record at the close of business on August 29, 2008,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w:t>
      </w:r>
    </w:p>
    <w:p>
      <w:pPr>
        <w:spacing w:after="0" w:line="2" w:lineRule="exact"/>
        <w:rPr>
          <w:sz w:val="20"/>
          <w:szCs w:val="20"/>
          <w:color w:val="auto"/>
        </w:rPr>
      </w:pPr>
    </w:p>
    <w:p>
      <w:pPr>
        <w:ind w:right="520"/>
        <w:spacing w:after="0" w:line="272" w:lineRule="auto"/>
        <w:rPr>
          <w:sz w:val="20"/>
          <w:szCs w:val="20"/>
          <w:color w:val="auto"/>
        </w:rPr>
      </w:pPr>
      <w:r>
        <w:rPr>
          <w:rFonts w:ascii="Arial" w:cs="Arial" w:eastAsia="Arial" w:hAnsi="Arial"/>
          <w:sz w:val="15"/>
          <w:szCs w:val="15"/>
          <w:color w:val="auto"/>
        </w:rPr>
        <w:t>The presence of a majority of the outstanding shares of common stock of the Corporation, either in person or represented by a signed proxy appointment or electronic proxy vote, will constitute a quorum at the meeting. The Corporation intends to mail this statement to shareholders on or about September 17, 2008.</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PROXY APPOINTMENT AND REVOCATION</w:t>
      </w:r>
    </w:p>
    <w:p>
      <w:pPr>
        <w:spacing w:after="0" w:line="23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64"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 xml:space="preserve">Shareholders may also vote via the Internet by accessing </w:t>
      </w:r>
      <w:r>
        <w:rPr>
          <w:rFonts w:ascii="Arial" w:cs="Arial" w:eastAsia="Arial" w:hAnsi="Arial"/>
          <w:sz w:val="14"/>
          <w:szCs w:val="14"/>
          <w:u w:val="single" w:color="auto"/>
          <w:color w:val="auto"/>
        </w:rPr>
        <w:t>www.proxyvoting.com/twin</w:t>
      </w:r>
      <w:r>
        <w:rPr>
          <w:rFonts w:ascii="Arial" w:cs="Arial" w:eastAsia="Arial" w:hAnsi="Arial"/>
          <w:sz w:val="14"/>
          <w:szCs w:val="14"/>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the day before the annual meeting. Shareholders that vote via the Internet should understand that there might be costs associated with electronic access that they must bear, such as usage charges from Internet access providers and telephone companies.</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RECORD DATE</w:t>
      </w:r>
    </w:p>
    <w:p>
      <w:pPr>
        <w:spacing w:after="0" w:line="234" w:lineRule="exact"/>
        <w:rPr>
          <w:sz w:val="20"/>
          <w:szCs w:val="20"/>
          <w:color w:val="auto"/>
        </w:rPr>
      </w:pPr>
    </w:p>
    <w:p>
      <w:pPr>
        <w:ind w:right="40"/>
        <w:spacing w:after="0" w:line="359" w:lineRule="auto"/>
        <w:rPr>
          <w:sz w:val="20"/>
          <w:szCs w:val="20"/>
          <w:color w:val="auto"/>
        </w:rPr>
      </w:pPr>
      <w:r>
        <w:rPr>
          <w:rFonts w:ascii="Arial" w:cs="Arial" w:eastAsia="Arial" w:hAnsi="Arial"/>
          <w:sz w:val="13"/>
          <w:szCs w:val="13"/>
          <w:color w:val="auto"/>
        </w:rPr>
        <w:t>The record date with respect to this solicitation is August 29, 2008. On August 29, 2008, there were outstanding 11,266,736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SHAREHOLDER PROPOSALS FOR 2009</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If a shareholder wishes to present a proposal for consideration for inclusion in the Notice of the Meeting and Proxy Statement for the 2009 Annual Meeting, the proposal must be received at the Corporation’s principal executive offices no later than May 20, 2009. Shareholder proposals received later than July 19, 2009 will be considered untimely, and will not be considered at the Corporation’s 2009 Annual Meeting.</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PERSONS MAKING THE SOLICITATION</w:t>
      </w:r>
    </w:p>
    <w:p>
      <w:pPr>
        <w:spacing w:after="0" w:line="234" w:lineRule="exact"/>
        <w:rPr>
          <w:sz w:val="20"/>
          <w:szCs w:val="20"/>
          <w:color w:val="auto"/>
        </w:rPr>
      </w:pPr>
    </w:p>
    <w:p>
      <w:pPr>
        <w:ind w:right="540"/>
        <w:spacing w:after="0" w:line="279" w:lineRule="auto"/>
        <w:rPr>
          <w:sz w:val="20"/>
          <w:szCs w:val="20"/>
          <w:color w:val="auto"/>
        </w:rPr>
      </w:pPr>
      <w:r>
        <w:rPr>
          <w:rFonts w:ascii="Arial" w:cs="Arial" w:eastAsia="Arial" w:hAnsi="Arial"/>
          <w:sz w:val="15"/>
          <w:szCs w:val="15"/>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VOTES REQUIRED FOR PROPOSALS AND HOW VOTES WILL BE COUNTED</w:t>
      </w:r>
    </w:p>
    <w:p>
      <w:pPr>
        <w:spacing w:after="0" w:line="200"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color w:val="auto"/>
        </w:rPr>
        <w:t>With respect to the election of directors, votes may be cast in favor or withheld. Votes that are withheld will be excluded entirely from the vote and will have no effect. The affirmative vote of a majority of the votes cast at the annual meeting (assuming a quorum is present) shall be required for the election of directors.</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With respect to the ratification of the appointment of independent auditors, votes may be cast “For” or “Against.” Broker non-votes, as defined below, will be disregarded.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59"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color w:val="auto"/>
        </w:rPr>
        <w:t>Abstentions may be specified and will have the same effect as a vote “Against” on all proposals submitted to shareholders, other than for the election of directors. Abstentions will be counted for purposes of determining the presence or absence of a quorum for the transaction of business at the meeting.</w:t>
      </w:r>
    </w:p>
    <w:p>
      <w:pPr>
        <w:sectPr>
          <w:pgSz w:w="11900" w:h="16838" w:orient="portrait"/>
          <w:cols w:equalWidth="0" w:num="1">
            <w:col w:w="11440"/>
          </w:cols>
          <w:pgMar w:left="240" w:top="132" w:right="219" w:bottom="0" w:gutter="0" w:footer="0" w:header="0"/>
        </w:sectPr>
      </w:pPr>
    </w:p>
    <w:bookmarkStart w:id="2" w:name="page3"/>
    <w:bookmarkEnd w:id="2"/>
    <w:p>
      <w:pPr>
        <w:ind w:left="8" w:right="100"/>
        <w:spacing w:after="0" w:line="261" w:lineRule="auto"/>
        <w:rPr>
          <w:sz w:val="20"/>
          <w:szCs w:val="20"/>
          <w:color w:val="auto"/>
        </w:rPr>
      </w:pPr>
      <w:r>
        <w:rPr>
          <w:rFonts w:ascii="Arial" w:cs="Arial" w:eastAsia="Arial" w:hAnsi="Arial"/>
          <w:sz w:val="15"/>
          <w:szCs w:val="15"/>
          <w:color w:val="auto"/>
        </w:rPr>
        <w:t>In certain instances, brokers who hold shares in street name for customers may have authority to vote on certain items when they have not received instructions from the beneficial owners of the shares. With respect to routine matters, including the election of directors nominated by the Board, brokers may vote their shares without specific instructions from the beneficial owners. However, under the rules of the New York Stock Exchange, brokers who hold shares in street name are not permitted to vote on certain non-routine matters, including the adoption or amendment of stock-based compensation plans, without specific instructions from the beneficial owners of the shares. A “broker non-vote” occurs on an item submitted for shareholder approval when the broker does not have the authority to vote on the item in the absence of instructions from the beneficial owner. Such “broker non-votes” will be counted for purposes of determining the presence or absence of a quorum.</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PRINCIPAL SHAREHOLDERS, DIRECTORS AND EXECUTIVE OFFICERS</w:t>
      </w:r>
    </w:p>
    <w:p>
      <w:pPr>
        <w:spacing w:after="0" w:line="230" w:lineRule="exact"/>
        <w:rPr>
          <w:sz w:val="20"/>
          <w:szCs w:val="20"/>
          <w:color w:val="auto"/>
        </w:rPr>
      </w:pPr>
    </w:p>
    <w:p>
      <w:pPr>
        <w:ind w:left="28"/>
        <w:spacing w:after="0"/>
        <w:rPr>
          <w:sz w:val="20"/>
          <w:szCs w:val="20"/>
          <w:color w:val="auto"/>
        </w:rPr>
      </w:pPr>
      <w:r>
        <w:rPr>
          <w:rFonts w:ascii="Arial" w:cs="Arial" w:eastAsia="Arial" w:hAnsi="Arial"/>
          <w:sz w:val="15"/>
          <w:szCs w:val="15"/>
          <w:b w:val="1"/>
          <w:bCs w:val="1"/>
          <w:color w:val="auto"/>
        </w:rPr>
        <w:t>PRINCIPAL SHAREHOLDERS</w:t>
      </w:r>
    </w:p>
    <w:p>
      <w:pPr>
        <w:spacing w:after="0" w:line="234" w:lineRule="exact"/>
        <w:rPr>
          <w:sz w:val="20"/>
          <w:szCs w:val="20"/>
          <w:color w:val="auto"/>
        </w:rPr>
      </w:pPr>
    </w:p>
    <w:p>
      <w:pPr>
        <w:jc w:val="both"/>
        <w:ind w:left="8" w:right="40"/>
        <w:spacing w:after="0" w:line="268" w:lineRule="auto"/>
        <w:rPr>
          <w:sz w:val="20"/>
          <w:szCs w:val="20"/>
          <w:color w:val="auto"/>
        </w:rPr>
      </w:pPr>
      <w:r>
        <w:rPr>
          <w:rFonts w:ascii="Arial" w:cs="Arial" w:eastAsia="Arial" w:hAnsi="Arial"/>
          <w:sz w:val="15"/>
          <w:szCs w:val="15"/>
          <w:color w:val="auto"/>
        </w:rPr>
        <w:t>Based upon the records of the Corporation, filings with the Securities and Exchange Commission as of July 31, 2008 and additional information obtained by the Company, the following table sets forth the persons or group of persons having beneficial ownership (as defined by the Securities and Exchange Commission) of more than 5% of the issued and outstanding common stock of the Corporation.</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3"/>
          </w:tcPr>
          <w:p>
            <w:pPr>
              <w:ind w:left="200"/>
              <w:spacing w:after="0"/>
              <w:rPr>
                <w:sz w:val="20"/>
                <w:szCs w:val="20"/>
                <w:color w:val="auto"/>
              </w:rPr>
            </w:pPr>
            <w:r>
              <w:rPr>
                <w:rFonts w:ascii="Arial" w:cs="Arial" w:eastAsia="Arial" w:hAnsi="Arial"/>
                <w:sz w:val="15"/>
                <w:szCs w:val="15"/>
                <w:b w:val="1"/>
                <w:bCs w:val="1"/>
                <w:color w:val="auto"/>
              </w:rPr>
              <w:t>Nature of</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9"/>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3"/>
          </w:tcPr>
          <w:p>
            <w:pPr>
              <w:ind w:left="200"/>
              <w:spacing w:after="0"/>
              <w:rPr>
                <w:sz w:val="20"/>
                <w:szCs w:val="20"/>
                <w:color w:val="auto"/>
              </w:rPr>
            </w:pPr>
            <w:r>
              <w:rPr>
                <w:rFonts w:ascii="Arial" w:cs="Arial" w:eastAsia="Arial" w:hAnsi="Arial"/>
                <w:sz w:val="15"/>
                <w:szCs w:val="15"/>
                <w:b w:val="1"/>
                <w:bCs w:val="1"/>
                <w:color w:val="auto"/>
              </w:rPr>
              <w:t>Beneficial</w:t>
            </w:r>
          </w:p>
        </w:tc>
        <w:tc>
          <w:tcPr>
            <w:tcW w:w="1580" w:type="dxa"/>
            <w:vAlign w:val="bottom"/>
            <w:gridSpan w:val="3"/>
          </w:tcPr>
          <w:p>
            <w:pPr>
              <w:ind w:left="280"/>
              <w:spacing w:after="0"/>
              <w:rPr>
                <w:sz w:val="20"/>
                <w:szCs w:val="20"/>
                <w:color w:val="auto"/>
              </w:rPr>
            </w:pPr>
            <w:r>
              <w:rPr>
                <w:rFonts w:ascii="Arial" w:cs="Arial" w:eastAsia="Arial" w:hAnsi="Arial"/>
                <w:sz w:val="15"/>
                <w:szCs w:val="15"/>
                <w:b w:val="1"/>
                <w:bCs w:val="1"/>
                <w:color w:val="auto"/>
              </w:rPr>
              <w:t>Amount</w:t>
            </w:r>
          </w:p>
        </w:tc>
        <w:tc>
          <w:tcPr>
            <w:tcW w:w="660" w:type="dxa"/>
            <w:vAlign w:val="bottom"/>
            <w:gridSpan w:val="2"/>
          </w:tcPr>
          <w:p>
            <w:pPr>
              <w:spacing w:after="0"/>
              <w:rPr>
                <w:sz w:val="20"/>
                <w:szCs w:val="20"/>
                <w:color w:val="auto"/>
              </w:rPr>
            </w:pPr>
            <w:r>
              <w:rPr>
                <w:rFonts w:ascii="Arial" w:cs="Arial" w:eastAsia="Arial" w:hAnsi="Arial"/>
                <w:sz w:val="15"/>
                <w:szCs w:val="15"/>
                <w:b w:val="1"/>
                <w:bCs w:val="1"/>
                <w:color w:val="auto"/>
                <w:w w:val="87"/>
              </w:rPr>
              <w:t>Percent of</w:t>
            </w:r>
          </w:p>
        </w:tc>
      </w:tr>
      <w:tr>
        <w:trPr>
          <w:trHeight w:val="186"/>
        </w:trPr>
        <w:tc>
          <w:tcPr>
            <w:tcW w:w="380" w:type="dxa"/>
            <w:vAlign w:val="bottom"/>
          </w:tcPr>
          <w:p>
            <w:pPr>
              <w:spacing w:after="0"/>
              <w:rPr>
                <w:sz w:val="20"/>
                <w:szCs w:val="20"/>
                <w:color w:val="auto"/>
              </w:rPr>
            </w:pPr>
            <w:r>
              <w:rPr>
                <w:rFonts w:ascii="Arial" w:cs="Arial" w:eastAsia="Arial" w:hAnsi="Arial"/>
                <w:sz w:val="15"/>
                <w:szCs w:val="15"/>
                <w:b w:val="1"/>
                <w:bCs w:val="1"/>
                <w:color w:val="auto"/>
                <w:w w:val="88"/>
              </w:rPr>
              <w:t>Name</w:t>
            </w:r>
          </w:p>
        </w:tc>
        <w:tc>
          <w:tcPr>
            <w:tcW w:w="86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5"/>
                <w:szCs w:val="15"/>
                <w:b w:val="1"/>
                <w:bCs w:val="1"/>
                <w:color w:val="auto"/>
              </w:rPr>
              <w:t>Address</w:t>
            </w:r>
          </w:p>
        </w:tc>
        <w:tc>
          <w:tcPr>
            <w:tcW w:w="1300" w:type="dxa"/>
            <w:vAlign w:val="bottom"/>
            <w:gridSpan w:val="3"/>
          </w:tcPr>
          <w:p>
            <w:pPr>
              <w:ind w:left="200"/>
              <w:spacing w:after="0"/>
              <w:rPr>
                <w:sz w:val="20"/>
                <w:szCs w:val="20"/>
                <w:color w:val="auto"/>
              </w:rPr>
            </w:pPr>
            <w:r>
              <w:rPr>
                <w:rFonts w:ascii="Arial" w:cs="Arial" w:eastAsia="Arial" w:hAnsi="Arial"/>
                <w:sz w:val="15"/>
                <w:szCs w:val="15"/>
                <w:b w:val="1"/>
                <w:bCs w:val="1"/>
                <w:color w:val="auto"/>
              </w:rPr>
              <w:t>Ownership</w:t>
            </w:r>
          </w:p>
        </w:tc>
        <w:tc>
          <w:tcPr>
            <w:tcW w:w="1580" w:type="dxa"/>
            <w:vAlign w:val="bottom"/>
            <w:gridSpan w:val="3"/>
          </w:tcPr>
          <w:p>
            <w:pPr>
              <w:ind w:left="280"/>
              <w:spacing w:after="0"/>
              <w:rPr>
                <w:sz w:val="20"/>
                <w:szCs w:val="20"/>
                <w:color w:val="auto"/>
              </w:rPr>
            </w:pPr>
            <w:r>
              <w:rPr>
                <w:rFonts w:ascii="Arial" w:cs="Arial" w:eastAsia="Arial" w:hAnsi="Arial"/>
                <w:sz w:val="15"/>
                <w:szCs w:val="15"/>
                <w:b w:val="1"/>
                <w:bCs w:val="1"/>
                <w:color w:val="auto"/>
              </w:rPr>
              <w:t>Owned</w:t>
            </w:r>
          </w:p>
        </w:tc>
        <w:tc>
          <w:tcPr>
            <w:tcW w:w="660" w:type="dxa"/>
            <w:vAlign w:val="bottom"/>
            <w:gridSpan w:val="2"/>
          </w:tcPr>
          <w:p>
            <w:pPr>
              <w:spacing w:after="0"/>
              <w:rPr>
                <w:sz w:val="20"/>
                <w:szCs w:val="20"/>
                <w:color w:val="auto"/>
              </w:rPr>
            </w:pPr>
            <w:r>
              <w:rPr>
                <w:rFonts w:ascii="Arial" w:cs="Arial" w:eastAsia="Arial" w:hAnsi="Arial"/>
                <w:sz w:val="15"/>
                <w:szCs w:val="15"/>
                <w:b w:val="1"/>
                <w:bCs w:val="1"/>
                <w:color w:val="auto"/>
              </w:rPr>
              <w:t>Class</w:t>
            </w:r>
          </w:p>
        </w:tc>
      </w:tr>
      <w:tr>
        <w:trPr>
          <w:trHeight w:val="20"/>
        </w:trPr>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0"/>
        </w:trPr>
        <w:tc>
          <w:tcPr>
            <w:tcW w:w="1240" w:type="dxa"/>
            <w:vAlign w:val="bottom"/>
            <w:gridSpan w:val="2"/>
          </w:tcPr>
          <w:p>
            <w:pPr>
              <w:spacing w:after="0"/>
              <w:rPr>
                <w:sz w:val="20"/>
                <w:szCs w:val="20"/>
                <w:color w:val="auto"/>
              </w:rPr>
            </w:pPr>
            <w:r>
              <w:rPr>
                <w:rFonts w:ascii="Arial" w:cs="Arial" w:eastAsia="Arial" w:hAnsi="Arial"/>
                <w:sz w:val="15"/>
                <w:szCs w:val="15"/>
                <w:color w:val="auto"/>
              </w:rPr>
              <w:t>Michael E. Batten</w:t>
            </w:r>
          </w:p>
        </w:tc>
        <w:tc>
          <w:tcPr>
            <w:tcW w:w="1620" w:type="dxa"/>
            <w:vAlign w:val="bottom"/>
            <w:gridSpan w:val="3"/>
          </w:tcPr>
          <w:p>
            <w:pPr>
              <w:ind w:left="140"/>
              <w:spacing w:after="0"/>
              <w:rPr>
                <w:sz w:val="20"/>
                <w:szCs w:val="20"/>
                <w:color w:val="auto"/>
              </w:rPr>
            </w:pPr>
            <w:r>
              <w:rPr>
                <w:rFonts w:ascii="Arial" w:cs="Arial" w:eastAsia="Arial" w:hAnsi="Arial"/>
                <w:sz w:val="15"/>
                <w:szCs w:val="15"/>
                <w:color w:val="auto"/>
              </w:rPr>
              <w:t>3419 Michigan Blvd.</w:t>
            </w:r>
          </w:p>
        </w:tc>
        <w:tc>
          <w:tcPr>
            <w:tcW w:w="1300" w:type="dxa"/>
            <w:vAlign w:val="bottom"/>
            <w:gridSpan w:val="3"/>
          </w:tcPr>
          <w:p>
            <w:pPr>
              <w:ind w:left="200"/>
              <w:spacing w:after="0"/>
              <w:rPr>
                <w:sz w:val="20"/>
                <w:szCs w:val="20"/>
                <w:color w:val="auto"/>
              </w:rPr>
            </w:pPr>
            <w:r>
              <w:rPr>
                <w:rFonts w:ascii="Arial" w:cs="Arial" w:eastAsia="Arial" w:hAnsi="Arial"/>
                <w:sz w:val="15"/>
                <w:szCs w:val="15"/>
                <w:color w:val="auto"/>
              </w:rPr>
              <w:t>Power to vote</w:t>
            </w:r>
          </w:p>
        </w:tc>
        <w:tc>
          <w:tcPr>
            <w:tcW w:w="1580" w:type="dxa"/>
            <w:vAlign w:val="bottom"/>
            <w:gridSpan w:val="3"/>
          </w:tcPr>
          <w:p>
            <w:pPr>
              <w:ind w:left="280"/>
              <w:spacing w:after="0"/>
              <w:rPr>
                <w:sz w:val="20"/>
                <w:szCs w:val="20"/>
                <w:color w:val="auto"/>
              </w:rPr>
            </w:pPr>
            <w:r>
              <w:rPr>
                <w:rFonts w:ascii="Arial" w:cs="Arial" w:eastAsia="Arial" w:hAnsi="Arial"/>
                <w:sz w:val="15"/>
                <w:szCs w:val="15"/>
                <w:color w:val="auto"/>
              </w:rPr>
              <w:t>2,137,740 (1)</w:t>
            </w:r>
          </w:p>
        </w:tc>
        <w:tc>
          <w:tcPr>
            <w:tcW w:w="660" w:type="dxa"/>
            <w:vAlign w:val="bottom"/>
            <w:gridSpan w:val="2"/>
          </w:tcPr>
          <w:p>
            <w:pPr>
              <w:spacing w:after="0"/>
              <w:rPr>
                <w:sz w:val="20"/>
                <w:szCs w:val="20"/>
                <w:color w:val="auto"/>
              </w:rPr>
            </w:pPr>
            <w:r>
              <w:rPr>
                <w:rFonts w:ascii="Arial" w:cs="Arial" w:eastAsia="Arial" w:hAnsi="Arial"/>
                <w:sz w:val="15"/>
                <w:szCs w:val="15"/>
                <w:color w:val="auto"/>
              </w:rPr>
              <w:t>19.1%</w:t>
            </w:r>
          </w:p>
        </w:tc>
      </w:tr>
      <w:tr>
        <w:trPr>
          <w:trHeight w:val="219"/>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gridSpan w:val="3"/>
          </w:tcPr>
          <w:p>
            <w:pPr>
              <w:ind w:left="140"/>
              <w:spacing w:after="0"/>
              <w:rPr>
                <w:sz w:val="20"/>
                <w:szCs w:val="20"/>
                <w:color w:val="auto"/>
              </w:rPr>
            </w:pPr>
            <w:r>
              <w:rPr>
                <w:rFonts w:ascii="Arial" w:cs="Arial" w:eastAsia="Arial" w:hAnsi="Arial"/>
                <w:sz w:val="15"/>
                <w:szCs w:val="15"/>
                <w:color w:val="auto"/>
              </w:rPr>
              <w:t>Racine, WI</w:t>
            </w:r>
          </w:p>
        </w:tc>
        <w:tc>
          <w:tcPr>
            <w:tcW w:w="1300" w:type="dxa"/>
            <w:vAlign w:val="bottom"/>
            <w:gridSpan w:val="3"/>
          </w:tcPr>
          <w:p>
            <w:pPr>
              <w:ind w:left="200"/>
              <w:spacing w:after="0"/>
              <w:rPr>
                <w:sz w:val="20"/>
                <w:szCs w:val="20"/>
                <w:color w:val="auto"/>
              </w:rPr>
            </w:pPr>
            <w:r>
              <w:rPr>
                <w:rFonts w:ascii="Arial" w:cs="Arial" w:eastAsia="Arial" w:hAnsi="Arial"/>
                <w:sz w:val="15"/>
                <w:szCs w:val="15"/>
                <w:color w:val="auto"/>
              </w:rPr>
              <w:t>Beneficial</w:t>
            </w:r>
          </w:p>
        </w:tc>
        <w:tc>
          <w:tcPr>
            <w:tcW w:w="1580" w:type="dxa"/>
            <w:vAlign w:val="bottom"/>
            <w:gridSpan w:val="3"/>
          </w:tcPr>
          <w:p>
            <w:pPr>
              <w:jc w:val="right"/>
              <w:ind w:right="460"/>
              <w:spacing w:after="0"/>
              <w:rPr>
                <w:sz w:val="20"/>
                <w:szCs w:val="20"/>
                <w:color w:val="auto"/>
              </w:rPr>
            </w:pPr>
            <w:r>
              <w:rPr>
                <w:rFonts w:ascii="Arial" w:cs="Arial" w:eastAsia="Arial" w:hAnsi="Arial"/>
                <w:sz w:val="15"/>
                <w:szCs w:val="15"/>
                <w:color w:val="auto"/>
              </w:rPr>
              <w:t>432,079 (2)</w:t>
            </w:r>
          </w:p>
        </w:tc>
        <w:tc>
          <w:tcPr>
            <w:tcW w:w="660" w:type="dxa"/>
            <w:vAlign w:val="bottom"/>
            <w:gridSpan w:val="2"/>
          </w:tcPr>
          <w:p>
            <w:pPr>
              <w:jc w:val="right"/>
              <w:ind w:right="240"/>
              <w:spacing w:after="0"/>
              <w:rPr>
                <w:sz w:val="20"/>
                <w:szCs w:val="20"/>
                <w:color w:val="auto"/>
              </w:rPr>
            </w:pPr>
            <w:r>
              <w:rPr>
                <w:rFonts w:ascii="Arial" w:cs="Arial" w:eastAsia="Arial" w:hAnsi="Arial"/>
                <w:sz w:val="15"/>
                <w:szCs w:val="15"/>
                <w:color w:val="auto"/>
              </w:rPr>
              <w:t>3.9%</w:t>
            </w:r>
          </w:p>
        </w:tc>
      </w:tr>
    </w:tbl>
    <w:p>
      <w:pPr>
        <w:spacing w:after="0" w:line="248" w:lineRule="exact"/>
        <w:rPr>
          <w:sz w:val="20"/>
          <w:szCs w:val="20"/>
          <w:color w:val="auto"/>
        </w:rPr>
      </w:pPr>
    </w:p>
    <w:p>
      <w:pPr>
        <w:ind w:left="228" w:hanging="216"/>
        <w:spacing w:after="0"/>
        <w:tabs>
          <w:tab w:leader="none" w:pos="228" w:val="left"/>
        </w:tabs>
        <w:numPr>
          <w:ilvl w:val="0"/>
          <w:numId w:val="9"/>
        </w:numPr>
        <w:rPr>
          <w:rFonts w:ascii="Arial" w:cs="Arial" w:eastAsia="Arial" w:hAnsi="Arial"/>
          <w:sz w:val="15"/>
          <w:szCs w:val="15"/>
          <w:color w:val="auto"/>
        </w:rPr>
      </w:pPr>
      <w:r>
        <w:rPr>
          <w:rFonts w:ascii="Arial" w:cs="Arial" w:eastAsia="Arial" w:hAnsi="Arial"/>
          <w:sz w:val="15"/>
          <w:szCs w:val="15"/>
          <w:color w:val="auto"/>
        </w:rPr>
        <w:t>Held as trustee under various trusts.</w:t>
      </w:r>
    </w:p>
    <w:p>
      <w:pPr>
        <w:spacing w:after="0" w:line="265" w:lineRule="exact"/>
        <w:rPr>
          <w:rFonts w:ascii="Arial" w:cs="Arial" w:eastAsia="Arial" w:hAnsi="Arial"/>
          <w:sz w:val="15"/>
          <w:szCs w:val="15"/>
          <w:color w:val="auto"/>
        </w:rPr>
      </w:pPr>
    </w:p>
    <w:p>
      <w:pPr>
        <w:ind w:left="8" w:right="4820" w:firstLine="4"/>
        <w:spacing w:after="0" w:line="327" w:lineRule="auto"/>
        <w:tabs>
          <w:tab w:leader="none" w:pos="2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10,400 shares owned by the wife of Michael E. Batten and 72,000 subject to currently exercisable stock options.</w:t>
      </w:r>
    </w:p>
    <w:p>
      <w:pPr>
        <w:spacing w:after="0" w:line="366" w:lineRule="exact"/>
        <w:rPr>
          <w:sz w:val="20"/>
          <w:szCs w:val="20"/>
          <w:color w:val="auto"/>
        </w:rPr>
      </w:pPr>
    </w:p>
    <w:p>
      <w:pPr>
        <w:ind w:left="28"/>
        <w:spacing w:after="0"/>
        <w:rPr>
          <w:sz w:val="20"/>
          <w:szCs w:val="20"/>
          <w:color w:val="auto"/>
        </w:rPr>
      </w:pPr>
      <w:r>
        <w:rPr>
          <w:rFonts w:ascii="Arial" w:cs="Arial" w:eastAsia="Arial" w:hAnsi="Arial"/>
          <w:sz w:val="15"/>
          <w:szCs w:val="15"/>
          <w:b w:val="1"/>
          <w:bCs w:val="1"/>
          <w:color w:val="auto"/>
        </w:rPr>
        <w:t>DIRECTORS AND EXECUTIVE OFFICERS</w:t>
      </w:r>
    </w:p>
    <w:p>
      <w:pPr>
        <w:spacing w:after="0" w:line="234" w:lineRule="exact"/>
        <w:rPr>
          <w:sz w:val="20"/>
          <w:szCs w:val="20"/>
          <w:color w:val="auto"/>
        </w:rPr>
      </w:pPr>
    </w:p>
    <w:p>
      <w:pPr>
        <w:ind w:left="8" w:right="180"/>
        <w:spacing w:after="0" w:line="295" w:lineRule="auto"/>
        <w:rPr>
          <w:sz w:val="20"/>
          <w:szCs w:val="20"/>
          <w:color w:val="auto"/>
        </w:rPr>
      </w:pPr>
      <w:r>
        <w:rPr>
          <w:rFonts w:ascii="Arial" w:cs="Arial" w:eastAsia="Arial" w:hAnsi="Arial"/>
          <w:sz w:val="14"/>
          <w:szCs w:val="14"/>
          <w:color w:val="auto"/>
        </w:rPr>
        <w:t>Based upon the records of the Corporation, filings with the Securities and Exchange Commission as of August 31, 2008 and additional information obtained by the Company,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4"/>
          </w:tcPr>
          <w:p>
            <w:pPr>
              <w:ind w:left="160"/>
              <w:spacing w:after="0"/>
              <w:rPr>
                <w:sz w:val="20"/>
                <w:szCs w:val="20"/>
                <w:color w:val="auto"/>
              </w:rPr>
            </w:pPr>
            <w:r>
              <w:rPr>
                <w:rFonts w:ascii="Arial" w:cs="Arial" w:eastAsia="Arial" w:hAnsi="Arial"/>
                <w:sz w:val="15"/>
                <w:szCs w:val="15"/>
                <w:b w:val="1"/>
                <w:bCs w:val="1"/>
                <w:color w:val="auto"/>
                <w:w w:val="94"/>
              </w:rPr>
              <w:t>Amount and Nature</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b w:val="1"/>
                <w:bCs w:val="1"/>
                <w:color w:val="auto"/>
              </w:rPr>
              <w:t>Name of</w:t>
            </w:r>
          </w:p>
        </w:tc>
        <w:tc>
          <w:tcPr>
            <w:tcW w:w="1500" w:type="dxa"/>
            <w:vAlign w:val="bottom"/>
            <w:gridSpan w:val="4"/>
          </w:tcPr>
          <w:p>
            <w:pPr>
              <w:ind w:left="160"/>
              <w:spacing w:after="0"/>
              <w:rPr>
                <w:sz w:val="20"/>
                <w:szCs w:val="20"/>
                <w:color w:val="auto"/>
              </w:rPr>
            </w:pPr>
            <w:r>
              <w:rPr>
                <w:rFonts w:ascii="Arial" w:cs="Arial" w:eastAsia="Arial" w:hAnsi="Arial"/>
                <w:sz w:val="15"/>
                <w:szCs w:val="15"/>
                <w:b w:val="1"/>
                <w:bCs w:val="1"/>
                <w:color w:val="auto"/>
              </w:rPr>
              <w:t>of Beneficial</w:t>
            </w:r>
          </w:p>
        </w:tc>
        <w:tc>
          <w:tcPr>
            <w:tcW w:w="720" w:type="dxa"/>
            <w:vAlign w:val="bottom"/>
            <w:gridSpan w:val="3"/>
          </w:tcPr>
          <w:p>
            <w:pPr>
              <w:ind w:left="60"/>
              <w:spacing w:after="0"/>
              <w:rPr>
                <w:sz w:val="20"/>
                <w:szCs w:val="20"/>
                <w:color w:val="auto"/>
              </w:rPr>
            </w:pPr>
            <w:r>
              <w:rPr>
                <w:rFonts w:ascii="Arial" w:cs="Arial" w:eastAsia="Arial" w:hAnsi="Arial"/>
                <w:sz w:val="15"/>
                <w:szCs w:val="15"/>
                <w:b w:val="1"/>
                <w:bCs w:val="1"/>
                <w:color w:val="auto"/>
                <w:w w:val="87"/>
              </w:rPr>
              <w:t>Percent of</w:t>
            </w:r>
          </w:p>
        </w:tc>
      </w:tr>
      <w:tr>
        <w:trPr>
          <w:trHeight w:val="186"/>
        </w:trPr>
        <w:tc>
          <w:tcPr>
            <w:tcW w:w="1120" w:type="dxa"/>
            <w:vAlign w:val="bottom"/>
          </w:tcPr>
          <w:p>
            <w:pPr>
              <w:spacing w:after="0"/>
              <w:rPr>
                <w:sz w:val="20"/>
                <w:szCs w:val="20"/>
                <w:color w:val="auto"/>
              </w:rPr>
            </w:pPr>
            <w:r>
              <w:rPr>
                <w:rFonts w:ascii="Arial" w:cs="Arial" w:eastAsia="Arial" w:hAnsi="Arial"/>
                <w:sz w:val="15"/>
                <w:szCs w:val="15"/>
                <w:b w:val="1"/>
                <w:bCs w:val="1"/>
                <w:color w:val="auto"/>
                <w:w w:val="90"/>
              </w:rPr>
              <w:t>Beneficial Owner</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5"/>
                <w:szCs w:val="15"/>
                <w:b w:val="1"/>
                <w:bCs w:val="1"/>
                <w:color w:val="auto"/>
              </w:rPr>
              <w:t>Ownership (1)</w:t>
            </w:r>
          </w:p>
        </w:tc>
        <w:tc>
          <w:tcPr>
            <w:tcW w:w="720" w:type="dxa"/>
            <w:vAlign w:val="bottom"/>
            <w:gridSpan w:val="3"/>
          </w:tcPr>
          <w:p>
            <w:pPr>
              <w:ind w:left="60"/>
              <w:spacing w:after="0"/>
              <w:rPr>
                <w:sz w:val="20"/>
                <w:szCs w:val="20"/>
                <w:color w:val="auto"/>
              </w:rPr>
            </w:pPr>
            <w:r>
              <w:rPr>
                <w:rFonts w:ascii="Arial" w:cs="Arial" w:eastAsia="Arial" w:hAnsi="Arial"/>
                <w:sz w:val="15"/>
                <w:szCs w:val="15"/>
                <w:b w:val="1"/>
                <w:bCs w:val="1"/>
                <w:color w:val="auto"/>
              </w:rPr>
              <w:t>Class</w:t>
            </w:r>
          </w:p>
        </w:tc>
      </w:tr>
      <w:tr>
        <w:trPr>
          <w:trHeight w:val="20"/>
        </w:trPr>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Arial" w:cs="Arial" w:eastAsia="Arial" w:hAnsi="Arial"/>
                <w:sz w:val="15"/>
                <w:szCs w:val="15"/>
                <w:color w:val="auto"/>
                <w:w w:val="93"/>
              </w:rPr>
              <w:t>Michael E. Batten</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6"/>
              </w:rPr>
              <w:t>2,569,819</w:t>
            </w: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5"/>
                <w:szCs w:val="15"/>
                <w:color w:val="auto"/>
              </w:rPr>
              <w:t>23.0%</w:t>
            </w: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Christopher J. Eperjesy</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30,142</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James E. Feiertag</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24,308</w:t>
            </w:r>
          </w:p>
        </w:tc>
        <w:tc>
          <w:tcPr>
            <w:tcW w:w="300" w:type="dxa"/>
            <w:vAlign w:val="bottom"/>
          </w:tcPr>
          <w:p>
            <w:pPr>
              <w:jc w:val="right"/>
              <w:spacing w:after="0"/>
              <w:rPr>
                <w:sz w:val="20"/>
                <w:szCs w:val="20"/>
                <w:color w:val="auto"/>
              </w:rPr>
            </w:pPr>
            <w:r>
              <w:rPr>
                <w:rFonts w:ascii="Arial" w:cs="Arial" w:eastAsia="Arial" w:hAnsi="Arial"/>
                <w:sz w:val="15"/>
                <w:szCs w:val="15"/>
                <w:color w:val="auto"/>
              </w:rPr>
              <w:t>(5)</w:t>
            </w: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John H. Batten</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16,191</w:t>
            </w:r>
          </w:p>
        </w:tc>
        <w:tc>
          <w:tcPr>
            <w:tcW w:w="300" w:type="dxa"/>
            <w:vAlign w:val="bottom"/>
          </w:tcPr>
          <w:p>
            <w:pPr>
              <w:jc w:val="right"/>
              <w:spacing w:after="0"/>
              <w:rPr>
                <w:sz w:val="20"/>
                <w:szCs w:val="20"/>
                <w:color w:val="auto"/>
              </w:rPr>
            </w:pPr>
            <w:r>
              <w:rPr>
                <w:rFonts w:ascii="Arial" w:cs="Arial" w:eastAsia="Arial" w:hAnsi="Arial"/>
                <w:sz w:val="15"/>
                <w:szCs w:val="15"/>
                <w:color w:val="auto"/>
              </w:rPr>
              <w:t>(5)</w:t>
            </w: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H. Claude Fabry</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8,399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John A. Mellowes</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29,600</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David B. Rayburn</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24,000</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r>
        <w:trPr>
          <w:trHeight w:val="219"/>
        </w:trPr>
        <w:tc>
          <w:tcPr>
            <w:tcW w:w="1580" w:type="dxa"/>
            <w:vAlign w:val="bottom"/>
            <w:gridSpan w:val="2"/>
          </w:tcPr>
          <w:p>
            <w:pPr>
              <w:spacing w:after="0"/>
              <w:rPr>
                <w:sz w:val="20"/>
                <w:szCs w:val="20"/>
                <w:color w:val="auto"/>
              </w:rPr>
            </w:pPr>
            <w:r>
              <w:rPr>
                <w:rFonts w:ascii="Arial" w:cs="Arial" w:eastAsia="Arial" w:hAnsi="Arial"/>
                <w:sz w:val="15"/>
                <w:szCs w:val="15"/>
                <w:color w:val="auto"/>
              </w:rPr>
              <w:t>David L. Swift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35,200</w:t>
            </w: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r>
    </w:tbl>
    <w:p>
      <w:pPr>
        <w:spacing w:after="0" w:line="386"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26"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460" w:type="dxa"/>
            <w:vAlign w:val="bottom"/>
          </w:tcPr>
          <w:p>
            <w:pPr>
              <w:spacing w:after="0"/>
              <w:rPr>
                <w:sz w:val="20"/>
                <w:szCs w:val="20"/>
                <w:color w:val="auto"/>
              </w:rPr>
            </w:pPr>
            <w:r>
              <w:rPr>
                <w:rFonts w:ascii="Arial" w:cs="Arial" w:eastAsia="Arial" w:hAnsi="Arial"/>
                <w:sz w:val="15"/>
                <w:szCs w:val="15"/>
                <w:color w:val="auto"/>
              </w:rPr>
              <w:t>Malcolm F. Moore</w:t>
            </w:r>
          </w:p>
        </w:tc>
        <w:tc>
          <w:tcPr>
            <w:tcW w:w="800" w:type="dxa"/>
            <w:vAlign w:val="bottom"/>
          </w:tcPr>
          <w:p>
            <w:pPr>
              <w:jc w:val="right"/>
              <w:spacing w:after="0"/>
              <w:rPr>
                <w:sz w:val="20"/>
                <w:szCs w:val="20"/>
                <w:color w:val="auto"/>
              </w:rPr>
            </w:pPr>
            <w:r>
              <w:rPr>
                <w:rFonts w:ascii="Arial" w:cs="Arial" w:eastAsia="Arial" w:hAnsi="Arial"/>
                <w:sz w:val="15"/>
                <w:szCs w:val="15"/>
                <w:color w:val="auto"/>
              </w:rPr>
              <w:t>4,800</w:t>
            </w:r>
          </w:p>
        </w:tc>
        <w:tc>
          <w:tcPr>
            <w:tcW w:w="480" w:type="dxa"/>
            <w:vAlign w:val="bottom"/>
          </w:tcPr>
          <w:p>
            <w:pPr>
              <w:jc w:val="right"/>
              <w:ind w:right="205"/>
              <w:spacing w:after="0"/>
              <w:rPr>
                <w:sz w:val="20"/>
                <w:szCs w:val="20"/>
                <w:color w:val="auto"/>
              </w:rPr>
            </w:pPr>
            <w:r>
              <w:rPr>
                <w:rFonts w:ascii="Arial" w:cs="Arial" w:eastAsia="Arial" w:hAnsi="Arial"/>
                <w:sz w:val="15"/>
                <w:szCs w:val="15"/>
                <w:color w:val="auto"/>
                <w:w w:val="97"/>
              </w:rPr>
              <w:t>(3)</w:t>
            </w:r>
          </w:p>
        </w:tc>
        <w:tc>
          <w:tcPr>
            <w:tcW w:w="680" w:type="dxa"/>
            <w:vAlign w:val="bottom"/>
          </w:tcPr>
          <w:p>
            <w:pPr>
              <w:ind w:left="300"/>
              <w:spacing w:after="0"/>
              <w:rPr>
                <w:sz w:val="20"/>
                <w:szCs w:val="20"/>
                <w:color w:val="auto"/>
              </w:rPr>
            </w:pPr>
            <w:r>
              <w:rPr>
                <w:rFonts w:ascii="Arial" w:cs="Arial" w:eastAsia="Arial" w:hAnsi="Arial"/>
                <w:sz w:val="15"/>
                <w:szCs w:val="15"/>
                <w:color w:val="auto"/>
              </w:rPr>
              <w:t>*</w:t>
            </w:r>
          </w:p>
        </w:tc>
      </w:tr>
      <w:tr>
        <w:trPr>
          <w:trHeight w:val="219"/>
        </w:trPr>
        <w:tc>
          <w:tcPr>
            <w:tcW w:w="1460" w:type="dxa"/>
            <w:vAlign w:val="bottom"/>
          </w:tcPr>
          <w:p>
            <w:pPr>
              <w:spacing w:after="0"/>
              <w:rPr>
                <w:sz w:val="20"/>
                <w:szCs w:val="20"/>
                <w:color w:val="auto"/>
              </w:rPr>
            </w:pPr>
            <w:r>
              <w:rPr>
                <w:rFonts w:ascii="Arial" w:cs="Arial" w:eastAsia="Arial" w:hAnsi="Arial"/>
                <w:sz w:val="15"/>
                <w:szCs w:val="15"/>
                <w:color w:val="auto"/>
              </w:rPr>
              <w:t>David R. Zimmer</w:t>
            </w:r>
          </w:p>
        </w:tc>
        <w:tc>
          <w:tcPr>
            <w:tcW w:w="800" w:type="dxa"/>
            <w:vAlign w:val="bottom"/>
          </w:tcPr>
          <w:p>
            <w:pPr>
              <w:jc w:val="right"/>
              <w:spacing w:after="0"/>
              <w:rPr>
                <w:sz w:val="20"/>
                <w:szCs w:val="20"/>
                <w:color w:val="auto"/>
              </w:rPr>
            </w:pPr>
            <w:r>
              <w:rPr>
                <w:rFonts w:ascii="Arial" w:cs="Arial" w:eastAsia="Arial" w:hAnsi="Arial"/>
                <w:sz w:val="15"/>
                <w:szCs w:val="15"/>
                <w:color w:val="auto"/>
              </w:rPr>
              <w:t>15,360</w:t>
            </w:r>
          </w:p>
        </w:tc>
        <w:tc>
          <w:tcPr>
            <w:tcW w:w="480" w:type="dxa"/>
            <w:vAlign w:val="bottom"/>
          </w:tcPr>
          <w:p>
            <w:pPr>
              <w:jc w:val="right"/>
              <w:ind w:right="205"/>
              <w:spacing w:after="0"/>
              <w:rPr>
                <w:sz w:val="20"/>
                <w:szCs w:val="20"/>
                <w:color w:val="auto"/>
              </w:rPr>
            </w:pPr>
            <w:r>
              <w:rPr>
                <w:rFonts w:ascii="Arial" w:cs="Arial" w:eastAsia="Arial" w:hAnsi="Arial"/>
                <w:sz w:val="15"/>
                <w:szCs w:val="15"/>
                <w:color w:val="auto"/>
                <w:w w:val="97"/>
              </w:rPr>
              <w:t>(3)</w:t>
            </w:r>
          </w:p>
        </w:tc>
        <w:tc>
          <w:tcPr>
            <w:tcW w:w="680" w:type="dxa"/>
            <w:vAlign w:val="bottom"/>
          </w:tcPr>
          <w:p>
            <w:pPr>
              <w:ind w:left="300"/>
              <w:spacing w:after="0"/>
              <w:rPr>
                <w:sz w:val="20"/>
                <w:szCs w:val="20"/>
                <w:color w:val="auto"/>
              </w:rPr>
            </w:pPr>
            <w:r>
              <w:rPr>
                <w:rFonts w:ascii="Arial" w:cs="Arial" w:eastAsia="Arial" w:hAnsi="Arial"/>
                <w:sz w:val="15"/>
                <w:szCs w:val="15"/>
                <w:color w:val="auto"/>
              </w:rPr>
              <w:t>*</w:t>
            </w:r>
          </w:p>
        </w:tc>
      </w:tr>
      <w:tr>
        <w:trPr>
          <w:trHeight w:val="219"/>
        </w:trPr>
        <w:tc>
          <w:tcPr>
            <w:tcW w:w="1460" w:type="dxa"/>
            <w:vAlign w:val="bottom"/>
          </w:tcPr>
          <w:p>
            <w:pPr>
              <w:spacing w:after="0"/>
              <w:rPr>
                <w:sz w:val="20"/>
                <w:szCs w:val="20"/>
                <w:color w:val="auto"/>
              </w:rPr>
            </w:pPr>
            <w:r>
              <w:rPr>
                <w:rFonts w:ascii="Arial" w:cs="Arial" w:eastAsia="Arial" w:hAnsi="Arial"/>
                <w:sz w:val="15"/>
                <w:szCs w:val="15"/>
                <w:color w:val="auto"/>
              </w:rPr>
              <w:t>Harold M. Stratton II</w:t>
            </w:r>
          </w:p>
        </w:tc>
        <w:tc>
          <w:tcPr>
            <w:tcW w:w="800" w:type="dxa"/>
            <w:vAlign w:val="bottom"/>
          </w:tcPr>
          <w:p>
            <w:pPr>
              <w:jc w:val="right"/>
              <w:spacing w:after="0"/>
              <w:rPr>
                <w:sz w:val="20"/>
                <w:szCs w:val="20"/>
                <w:color w:val="auto"/>
              </w:rPr>
            </w:pPr>
            <w:r>
              <w:rPr>
                <w:rFonts w:ascii="Arial" w:cs="Arial" w:eastAsia="Arial" w:hAnsi="Arial"/>
                <w:sz w:val="15"/>
                <w:szCs w:val="15"/>
                <w:color w:val="auto"/>
              </w:rPr>
              <w:t>600</w:t>
            </w:r>
          </w:p>
        </w:tc>
        <w:tc>
          <w:tcPr>
            <w:tcW w:w="480" w:type="dxa"/>
            <w:vAlign w:val="bottom"/>
          </w:tcPr>
          <w:p>
            <w:pPr>
              <w:jc w:val="right"/>
              <w:ind w:right="205"/>
              <w:spacing w:after="0"/>
              <w:rPr>
                <w:sz w:val="20"/>
                <w:szCs w:val="20"/>
                <w:color w:val="auto"/>
              </w:rPr>
            </w:pPr>
            <w:r>
              <w:rPr>
                <w:rFonts w:ascii="Arial" w:cs="Arial" w:eastAsia="Arial" w:hAnsi="Arial"/>
                <w:sz w:val="15"/>
                <w:szCs w:val="15"/>
                <w:color w:val="auto"/>
                <w:w w:val="97"/>
              </w:rPr>
              <w:t>(3)</w:t>
            </w:r>
          </w:p>
        </w:tc>
        <w:tc>
          <w:tcPr>
            <w:tcW w:w="680" w:type="dxa"/>
            <w:vAlign w:val="bottom"/>
          </w:tcPr>
          <w:p>
            <w:pPr>
              <w:ind w:left="300"/>
              <w:spacing w:after="0"/>
              <w:rPr>
                <w:sz w:val="20"/>
                <w:szCs w:val="20"/>
                <w:color w:val="auto"/>
              </w:rPr>
            </w:pPr>
            <w:r>
              <w:rPr>
                <w:rFonts w:ascii="Arial" w:cs="Arial" w:eastAsia="Arial" w:hAnsi="Arial"/>
                <w:sz w:val="15"/>
                <w:szCs w:val="15"/>
                <w:color w:val="auto"/>
              </w:rPr>
              <w:t>*</w:t>
            </w:r>
          </w:p>
        </w:tc>
      </w:tr>
      <w:tr>
        <w:trPr>
          <w:trHeight w:val="219"/>
        </w:trPr>
        <w:tc>
          <w:tcPr>
            <w:tcW w:w="1460" w:type="dxa"/>
            <w:vAlign w:val="bottom"/>
          </w:tcPr>
          <w:p>
            <w:pPr>
              <w:spacing w:after="0"/>
              <w:rPr>
                <w:sz w:val="20"/>
                <w:szCs w:val="20"/>
                <w:color w:val="auto"/>
              </w:rPr>
            </w:pPr>
            <w:r>
              <w:rPr>
                <w:rFonts w:ascii="Arial" w:cs="Arial" w:eastAsia="Arial" w:hAnsi="Arial"/>
                <w:sz w:val="15"/>
                <w:szCs w:val="15"/>
                <w:color w:val="auto"/>
              </w:rPr>
              <w:t>All Directors and</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1460" w:type="dxa"/>
            <w:vAlign w:val="bottom"/>
          </w:tcPr>
          <w:p>
            <w:pPr>
              <w:spacing w:after="0"/>
              <w:rPr>
                <w:sz w:val="20"/>
                <w:szCs w:val="20"/>
                <w:color w:val="auto"/>
              </w:rPr>
            </w:pPr>
            <w:r>
              <w:rPr>
                <w:rFonts w:ascii="Arial" w:cs="Arial" w:eastAsia="Arial" w:hAnsi="Arial"/>
                <w:sz w:val="15"/>
                <w:szCs w:val="15"/>
                <w:color w:val="auto"/>
              </w:rPr>
              <w:t>Executive Officers</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5"/>
                <w:szCs w:val="15"/>
                <w:color w:val="auto"/>
              </w:rPr>
              <w:t>as a group (15</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1460" w:type="dxa"/>
            <w:vAlign w:val="bottom"/>
          </w:tcPr>
          <w:p>
            <w:pPr>
              <w:spacing w:after="0"/>
              <w:rPr>
                <w:sz w:val="20"/>
                <w:szCs w:val="20"/>
                <w:color w:val="auto"/>
              </w:rPr>
            </w:pPr>
            <w:r>
              <w:rPr>
                <w:rFonts w:ascii="Arial" w:cs="Arial" w:eastAsia="Arial" w:hAnsi="Arial"/>
                <w:sz w:val="15"/>
                <w:szCs w:val="15"/>
                <w:color w:val="auto"/>
              </w:rPr>
              <w:t>persons)</w:t>
            </w:r>
          </w:p>
        </w:tc>
        <w:tc>
          <w:tcPr>
            <w:tcW w:w="800" w:type="dxa"/>
            <w:vAlign w:val="bottom"/>
          </w:tcPr>
          <w:p>
            <w:pPr>
              <w:jc w:val="right"/>
              <w:spacing w:after="0"/>
              <w:rPr>
                <w:sz w:val="20"/>
                <w:szCs w:val="20"/>
                <w:color w:val="auto"/>
              </w:rPr>
            </w:pPr>
            <w:r>
              <w:rPr>
                <w:rFonts w:ascii="Arial" w:cs="Arial" w:eastAsia="Arial" w:hAnsi="Arial"/>
                <w:sz w:val="15"/>
                <w:szCs w:val="15"/>
                <w:color w:val="auto"/>
              </w:rPr>
              <w:t>2,793,346</w:t>
            </w:r>
          </w:p>
        </w:tc>
        <w:tc>
          <w:tcPr>
            <w:tcW w:w="480" w:type="dxa"/>
            <w:vAlign w:val="bottom"/>
          </w:tcPr>
          <w:p>
            <w:pPr>
              <w:jc w:val="right"/>
              <w:ind w:right="205"/>
              <w:spacing w:after="0"/>
              <w:rPr>
                <w:sz w:val="20"/>
                <w:szCs w:val="20"/>
                <w:color w:val="auto"/>
              </w:rPr>
            </w:pPr>
            <w:r>
              <w:rPr>
                <w:rFonts w:ascii="Arial" w:cs="Arial" w:eastAsia="Arial" w:hAnsi="Arial"/>
                <w:sz w:val="15"/>
                <w:szCs w:val="15"/>
                <w:color w:val="auto"/>
                <w:w w:val="97"/>
              </w:rPr>
              <w:t>(3)</w:t>
            </w:r>
          </w:p>
        </w:tc>
        <w:tc>
          <w:tcPr>
            <w:tcW w:w="680" w:type="dxa"/>
            <w:vAlign w:val="bottom"/>
          </w:tcPr>
          <w:p>
            <w:pPr>
              <w:ind w:left="300"/>
              <w:spacing w:after="0"/>
              <w:rPr>
                <w:sz w:val="20"/>
                <w:szCs w:val="20"/>
                <w:color w:val="auto"/>
              </w:rPr>
            </w:pPr>
            <w:r>
              <w:rPr>
                <w:rFonts w:ascii="Arial" w:cs="Arial" w:eastAsia="Arial" w:hAnsi="Arial"/>
                <w:sz w:val="15"/>
                <w:szCs w:val="15"/>
                <w:color w:val="auto"/>
                <w:w w:val="84"/>
              </w:rPr>
              <w:t>25.0%</w:t>
            </w:r>
          </w:p>
        </w:tc>
      </w:tr>
    </w:tbl>
    <w:p>
      <w:pPr>
        <w:spacing w:after="0" w:line="6" w:lineRule="exact"/>
        <w:rPr>
          <w:sz w:val="20"/>
          <w:szCs w:val="20"/>
          <w:color w:val="auto"/>
        </w:rPr>
      </w:pPr>
    </w:p>
    <w:p>
      <w:pPr>
        <w:ind w:left="8"/>
        <w:spacing w:after="0"/>
        <w:rPr>
          <w:sz w:val="20"/>
          <w:szCs w:val="20"/>
          <w:color w:val="auto"/>
        </w:rPr>
      </w:pPr>
      <w:r>
        <w:rPr>
          <w:rFonts w:ascii="Arial" w:cs="Arial" w:eastAsia="Arial" w:hAnsi="Arial"/>
          <w:sz w:val="15"/>
          <w:szCs w:val="15"/>
          <w:color w:val="auto"/>
        </w:rPr>
        <w:t>* Denotes ownership of less than one percent of shares outstanding.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 w:hanging="8"/>
        <w:spacing w:after="0" w:line="279" w:lineRule="auto"/>
        <w:tabs>
          <w:tab w:leader="none" w:pos="2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51" w:lineRule="exact"/>
        <w:rPr>
          <w:rFonts w:ascii="Arial" w:cs="Arial" w:eastAsia="Arial" w:hAnsi="Arial"/>
          <w:sz w:val="15"/>
          <w:szCs w:val="15"/>
          <w:color w:val="auto"/>
        </w:rPr>
      </w:pPr>
    </w:p>
    <w:p>
      <w:pPr>
        <w:ind w:left="208" w:hanging="208"/>
        <w:spacing w:after="0"/>
        <w:tabs>
          <w:tab w:leader="none" w:pos="208"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10,400 shares held by Mr. Batten’s wife, 2,137,740 shares held by him as trustee under various family trusts, and 72,000 shares subject to presently exercisable stock options.</w:t>
      </w:r>
    </w:p>
    <w:p>
      <w:pPr>
        <w:spacing w:after="0" w:line="218" w:lineRule="exact"/>
        <w:rPr>
          <w:rFonts w:ascii="Arial" w:cs="Arial" w:eastAsia="Arial" w:hAnsi="Arial"/>
          <w:sz w:val="13"/>
          <w:szCs w:val="13"/>
          <w:color w:val="auto"/>
        </w:rPr>
      </w:pPr>
    </w:p>
    <w:p>
      <w:pPr>
        <w:ind w:left="8" w:right="260" w:hanging="8"/>
        <w:spacing w:after="0" w:line="279" w:lineRule="auto"/>
        <w:tabs>
          <w:tab w:leader="none" w:pos="2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Shares subject to currently exercisable stock options included in the above are as follows: Mr. Rayburn 19,200, Mr. Swift 27,200, Mr. Zimmer 4,800, Mr. Mellowes 24,800, Mr. Moore 2,400, Mr. Stratton 4,800 and all Directors and executive officers as a group 155,200.</w:t>
      </w:r>
    </w:p>
    <w:p>
      <w:pPr>
        <w:spacing w:after="0" w:line="151" w:lineRule="exact"/>
        <w:rPr>
          <w:rFonts w:ascii="Arial" w:cs="Arial" w:eastAsia="Arial" w:hAnsi="Arial"/>
          <w:sz w:val="15"/>
          <w:szCs w:val="15"/>
          <w:color w:val="auto"/>
        </w:rPr>
      </w:pPr>
    </w:p>
    <w:p>
      <w:pPr>
        <w:ind w:left="208" w:hanging="208"/>
        <w:spacing w:after="0"/>
        <w:tabs>
          <w:tab w:leader="none" w:pos="208"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restricted stock grants of 6,000 shares that vest in fiscal 2009 and 2,500 shares that vest in fiscal 2012.</w:t>
      </w:r>
    </w:p>
    <w:p>
      <w:pPr>
        <w:spacing w:after="0" w:line="195" w:lineRule="exact"/>
        <w:rPr>
          <w:rFonts w:ascii="Arial" w:cs="Arial" w:eastAsia="Arial" w:hAnsi="Arial"/>
          <w:sz w:val="15"/>
          <w:szCs w:val="15"/>
          <w:color w:val="auto"/>
        </w:rPr>
      </w:pPr>
    </w:p>
    <w:p>
      <w:pPr>
        <w:ind w:left="208" w:hanging="208"/>
        <w:spacing w:after="0"/>
        <w:tabs>
          <w:tab w:leader="none" w:pos="208"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restricted stock grants of 2,500 shares that vest in fiscal 2012.</w:t>
      </w: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PROPOSAL 1: ELECTION OF DIRECTORS</w:t>
      </w:r>
    </w:p>
    <w:p>
      <w:pPr>
        <w:spacing w:after="0" w:line="234" w:lineRule="exact"/>
        <w:rPr>
          <w:sz w:val="20"/>
          <w:szCs w:val="20"/>
          <w:color w:val="auto"/>
        </w:rPr>
      </w:pPr>
    </w:p>
    <w:p>
      <w:pPr>
        <w:ind w:left="8" w:right="280"/>
        <w:spacing w:after="0" w:line="279" w:lineRule="auto"/>
        <w:rPr>
          <w:sz w:val="20"/>
          <w:szCs w:val="20"/>
          <w:color w:val="auto"/>
        </w:rPr>
      </w:pPr>
      <w:r>
        <w:rPr>
          <w:rFonts w:ascii="Arial" w:cs="Arial" w:eastAsia="Arial" w:hAnsi="Arial"/>
          <w:sz w:val="15"/>
          <w:szCs w:val="15"/>
          <w:color w:val="auto"/>
        </w:rPr>
        <w:t>Three directors are to be elected for a term to expire at the annual meeting following the fiscal year ended June 30, 2011. Shares of common stock represented by properly executed proxy appointments in the accompanying form will be voted for the nominees listed for the term indicated unless authority to do so is withheld.</w:t>
      </w:r>
    </w:p>
    <w:p>
      <w:pPr>
        <w:sectPr>
          <w:pgSz w:w="11900" w:h="16838" w:orient="portrait"/>
          <w:cols w:equalWidth="0" w:num="1">
            <w:col w:w="11448"/>
          </w:cols>
          <w:pgMar w:left="232" w:top="132" w:right="219" w:bottom="60" w:gutter="0" w:footer="0" w:header="0"/>
        </w:sectPr>
      </w:pPr>
    </w:p>
    <w:bookmarkStart w:id="3" w:name="page4"/>
    <w:bookmarkEnd w:id="3"/>
    <w:p>
      <w:pPr>
        <w:spacing w:after="0" w:line="316" w:lineRule="auto"/>
        <w:rPr>
          <w:sz w:val="20"/>
          <w:szCs w:val="20"/>
          <w:color w:val="auto"/>
        </w:rPr>
      </w:pPr>
      <w:r>
        <w:rPr>
          <w:rFonts w:ascii="Arial" w:cs="Arial" w:eastAsia="Arial" w:hAnsi="Arial"/>
          <w:sz w:val="14"/>
          <w:szCs w:val="14"/>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 John H. Batten is the son of Michael E. Batten.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60" w:type="dxa"/>
            <w:vAlign w:val="bottom"/>
            <w:gridSpan w:val="3"/>
          </w:tcPr>
          <w:p>
            <w:pPr>
              <w:ind w:left="1260"/>
              <w:spacing w:after="0"/>
              <w:rPr>
                <w:sz w:val="20"/>
                <w:szCs w:val="20"/>
                <w:color w:val="auto"/>
              </w:rPr>
            </w:pPr>
            <w:r>
              <w:rPr>
                <w:rFonts w:ascii="Arial" w:cs="Arial" w:eastAsia="Arial" w:hAnsi="Arial"/>
                <w:sz w:val="15"/>
                <w:szCs w:val="15"/>
                <w:color w:val="auto"/>
              </w:rPr>
              <w:t>Served as</w:t>
            </w:r>
          </w:p>
        </w:tc>
      </w:tr>
      <w:tr>
        <w:trPr>
          <w:trHeight w:val="253"/>
        </w:trPr>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spacing w:after="0"/>
              <w:rPr>
                <w:sz w:val="20"/>
                <w:szCs w:val="20"/>
                <w:color w:val="auto"/>
              </w:rPr>
            </w:pPr>
            <w:r>
              <w:rPr>
                <w:rFonts w:ascii="Arial" w:cs="Arial" w:eastAsia="Arial" w:hAnsi="Arial"/>
                <w:sz w:val="15"/>
                <w:szCs w:val="15"/>
                <w:color w:val="auto"/>
              </w:rPr>
              <w:t>Principal Occupation</w:t>
            </w:r>
          </w:p>
        </w:tc>
        <w:tc>
          <w:tcPr>
            <w:tcW w:w="2060" w:type="dxa"/>
            <w:vAlign w:val="bottom"/>
            <w:gridSpan w:val="3"/>
          </w:tcPr>
          <w:p>
            <w:pPr>
              <w:ind w:left="1260"/>
              <w:spacing w:after="0"/>
              <w:rPr>
                <w:sz w:val="20"/>
                <w:szCs w:val="20"/>
                <w:color w:val="auto"/>
              </w:rPr>
            </w:pPr>
            <w:r>
              <w:rPr>
                <w:rFonts w:ascii="Arial" w:cs="Arial" w:eastAsia="Arial" w:hAnsi="Arial"/>
                <w:sz w:val="15"/>
                <w:szCs w:val="15"/>
                <w:color w:val="auto"/>
              </w:rPr>
              <w:t>Director</w:t>
            </w:r>
          </w:p>
        </w:tc>
      </w:tr>
      <w:tr>
        <w:trPr>
          <w:trHeight w:val="253"/>
        </w:trPr>
        <w:tc>
          <w:tcPr>
            <w:tcW w:w="1380" w:type="dxa"/>
            <w:vAlign w:val="bottom"/>
            <w:gridSpan w:val="2"/>
          </w:tcPr>
          <w:p>
            <w:pPr>
              <w:spacing w:after="0"/>
              <w:rPr>
                <w:sz w:val="20"/>
                <w:szCs w:val="20"/>
                <w:color w:val="auto"/>
              </w:rPr>
            </w:pPr>
            <w:r>
              <w:rPr>
                <w:rFonts w:ascii="Arial" w:cs="Arial" w:eastAsia="Arial" w:hAnsi="Arial"/>
                <w:sz w:val="15"/>
                <w:szCs w:val="15"/>
                <w:color w:val="auto"/>
              </w:rPr>
              <w:t>Name of Director</w:t>
            </w:r>
          </w:p>
        </w:tc>
        <w:tc>
          <w:tcPr>
            <w:tcW w:w="1460" w:type="dxa"/>
            <w:vAlign w:val="bottom"/>
          </w:tcPr>
          <w:p>
            <w:pPr>
              <w:spacing w:after="0"/>
              <w:rPr>
                <w:sz w:val="20"/>
                <w:szCs w:val="20"/>
                <w:color w:val="auto"/>
              </w:rPr>
            </w:pPr>
            <w:r>
              <w:rPr>
                <w:rFonts w:ascii="Arial" w:cs="Arial" w:eastAsia="Arial" w:hAnsi="Arial"/>
                <w:sz w:val="15"/>
                <w:szCs w:val="15"/>
                <w:color w:val="auto"/>
              </w:rPr>
              <w:t>and other Public</w:t>
            </w:r>
          </w:p>
        </w:tc>
        <w:tc>
          <w:tcPr>
            <w:tcW w:w="2060" w:type="dxa"/>
            <w:vAlign w:val="bottom"/>
            <w:gridSpan w:val="3"/>
          </w:tcPr>
          <w:p>
            <w:pPr>
              <w:ind w:left="1260"/>
              <w:spacing w:after="0"/>
              <w:rPr>
                <w:sz w:val="20"/>
                <w:szCs w:val="20"/>
                <w:color w:val="auto"/>
              </w:rPr>
            </w:pPr>
            <w:r>
              <w:rPr>
                <w:rFonts w:ascii="Arial" w:cs="Arial" w:eastAsia="Arial" w:hAnsi="Arial"/>
                <w:sz w:val="15"/>
                <w:szCs w:val="15"/>
                <w:color w:val="auto"/>
                <w:w w:val="89"/>
              </w:rPr>
              <w:t>Continuously</w:t>
            </w:r>
          </w:p>
        </w:tc>
      </w:tr>
      <w:tr>
        <w:trPr>
          <w:trHeight w:val="221"/>
        </w:trPr>
        <w:tc>
          <w:tcPr>
            <w:tcW w:w="1380" w:type="dxa"/>
            <w:vAlign w:val="bottom"/>
            <w:gridSpan w:val="2"/>
          </w:tcPr>
          <w:p>
            <w:pPr>
              <w:spacing w:after="0"/>
              <w:rPr>
                <w:sz w:val="20"/>
                <w:szCs w:val="20"/>
                <w:color w:val="auto"/>
              </w:rPr>
            </w:pPr>
            <w:r>
              <w:rPr>
                <w:rFonts w:ascii="Arial" w:cs="Arial" w:eastAsia="Arial" w:hAnsi="Arial"/>
                <w:sz w:val="15"/>
                <w:szCs w:val="15"/>
                <w:color w:val="auto"/>
              </w:rPr>
              <w:t>and Current Age</w:t>
            </w:r>
          </w:p>
        </w:tc>
        <w:tc>
          <w:tcPr>
            <w:tcW w:w="1460" w:type="dxa"/>
            <w:vAlign w:val="bottom"/>
          </w:tcPr>
          <w:p>
            <w:pPr>
              <w:spacing w:after="0"/>
              <w:rPr>
                <w:sz w:val="20"/>
                <w:szCs w:val="20"/>
                <w:color w:val="auto"/>
              </w:rPr>
            </w:pPr>
            <w:r>
              <w:rPr>
                <w:rFonts w:ascii="Arial" w:cs="Arial" w:eastAsia="Arial" w:hAnsi="Arial"/>
                <w:sz w:val="15"/>
                <w:szCs w:val="15"/>
                <w:color w:val="auto"/>
                <w:w w:val="92"/>
              </w:rPr>
              <w:t>Company Directorships</w:t>
            </w:r>
          </w:p>
        </w:tc>
        <w:tc>
          <w:tcPr>
            <w:tcW w:w="2060" w:type="dxa"/>
            <w:vAlign w:val="bottom"/>
            <w:gridSpan w:val="3"/>
          </w:tcPr>
          <w:p>
            <w:pPr>
              <w:ind w:left="1260"/>
              <w:spacing w:after="0"/>
              <w:rPr>
                <w:sz w:val="20"/>
                <w:szCs w:val="20"/>
                <w:color w:val="auto"/>
              </w:rPr>
            </w:pPr>
            <w:r>
              <w:rPr>
                <w:rFonts w:ascii="Arial" w:cs="Arial" w:eastAsia="Arial" w:hAnsi="Arial"/>
                <w:sz w:val="15"/>
                <w:szCs w:val="15"/>
                <w:color w:val="auto"/>
              </w:rPr>
              <w:t>Since</w:t>
            </w:r>
          </w:p>
        </w:tc>
      </w:tr>
      <w:tr>
        <w:trPr>
          <w:trHeight w:val="20"/>
        </w:trPr>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NOMINEES FOR DIRECTORS FOR TERMS TO EXPIRE IN 2011:</w:t>
      </w: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20"/>
                <w:szCs w:val="20"/>
                <w:color w:val="auto"/>
              </w:rPr>
            </w:pPr>
            <w:r>
              <w:rPr>
                <w:rFonts w:ascii="Arial" w:cs="Arial" w:eastAsia="Arial" w:hAnsi="Arial"/>
                <w:sz w:val="15"/>
                <w:szCs w:val="15"/>
                <w:color w:val="auto"/>
              </w:rPr>
              <w:t>Michael E. Batten</w:t>
            </w:r>
          </w:p>
        </w:tc>
        <w:tc>
          <w:tcPr>
            <w:tcW w:w="2620" w:type="dxa"/>
            <w:vAlign w:val="bottom"/>
          </w:tcPr>
          <w:p>
            <w:pPr>
              <w:ind w:left="120"/>
              <w:spacing w:after="0"/>
              <w:rPr>
                <w:sz w:val="20"/>
                <w:szCs w:val="20"/>
                <w:color w:val="auto"/>
              </w:rPr>
            </w:pPr>
            <w:r>
              <w:rPr>
                <w:rFonts w:ascii="Arial" w:cs="Arial" w:eastAsia="Arial" w:hAnsi="Arial"/>
                <w:sz w:val="15"/>
                <w:szCs w:val="15"/>
                <w:color w:val="auto"/>
                <w:w w:val="97"/>
              </w:rPr>
              <w:t>Chairman and Chief Executive Officer,</w:t>
            </w:r>
          </w:p>
        </w:tc>
        <w:tc>
          <w:tcPr>
            <w:tcW w:w="1100" w:type="dxa"/>
            <w:vAlign w:val="bottom"/>
          </w:tcPr>
          <w:p>
            <w:pPr>
              <w:ind w:left="160"/>
              <w:spacing w:after="0"/>
              <w:rPr>
                <w:sz w:val="20"/>
                <w:szCs w:val="20"/>
                <w:color w:val="auto"/>
              </w:rPr>
            </w:pPr>
            <w:r>
              <w:rPr>
                <w:rFonts w:ascii="Arial" w:cs="Arial" w:eastAsia="Arial" w:hAnsi="Arial"/>
                <w:sz w:val="15"/>
                <w:szCs w:val="15"/>
                <w:color w:val="auto"/>
              </w:rPr>
              <w:t>May 1974</w:t>
            </w:r>
          </w:p>
        </w:tc>
      </w:tr>
      <w:tr>
        <w:trPr>
          <w:trHeight w:val="219"/>
        </w:trPr>
        <w:tc>
          <w:tcPr>
            <w:tcW w:w="1260" w:type="dxa"/>
            <w:vAlign w:val="bottom"/>
          </w:tcPr>
          <w:p>
            <w:pPr>
              <w:ind w:left="140"/>
              <w:spacing w:after="0"/>
              <w:rPr>
                <w:sz w:val="20"/>
                <w:szCs w:val="20"/>
                <w:color w:val="auto"/>
              </w:rPr>
            </w:pPr>
            <w:r>
              <w:rPr>
                <w:rFonts w:ascii="Arial" w:cs="Arial" w:eastAsia="Arial" w:hAnsi="Arial"/>
                <w:sz w:val="15"/>
                <w:szCs w:val="15"/>
                <w:color w:val="auto"/>
              </w:rPr>
              <w:t>Age 68</w:t>
            </w:r>
          </w:p>
        </w:tc>
        <w:tc>
          <w:tcPr>
            <w:tcW w:w="2620" w:type="dxa"/>
            <w:vAlign w:val="bottom"/>
          </w:tcPr>
          <w:p>
            <w:pPr>
              <w:ind w:left="120"/>
              <w:spacing w:after="0"/>
              <w:rPr>
                <w:sz w:val="20"/>
                <w:szCs w:val="20"/>
                <w:color w:val="auto"/>
              </w:rPr>
            </w:pPr>
            <w:r>
              <w:rPr>
                <w:rFonts w:ascii="Arial" w:cs="Arial" w:eastAsia="Arial" w:hAnsi="Arial"/>
                <w:sz w:val="15"/>
                <w:szCs w:val="15"/>
                <w:color w:val="auto"/>
              </w:rPr>
              <w:t>Twin Disc, Incorporated</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Also Director,</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Briggs &amp; Stratton Corporation</w:t>
            </w:r>
          </w:p>
        </w:tc>
        <w:tc>
          <w:tcPr>
            <w:tcW w:w="1100" w:type="dxa"/>
            <w:vAlign w:val="bottom"/>
          </w:tcPr>
          <w:p>
            <w:pPr>
              <w:spacing w:after="0"/>
              <w:rPr>
                <w:sz w:val="19"/>
                <w:szCs w:val="19"/>
                <w:color w:val="auto"/>
              </w:rPr>
            </w:pPr>
          </w:p>
        </w:tc>
      </w:tr>
      <w:tr>
        <w:trPr>
          <w:trHeight w:val="437"/>
        </w:trPr>
        <w:tc>
          <w:tcPr>
            <w:tcW w:w="1260" w:type="dxa"/>
            <w:vAlign w:val="bottom"/>
          </w:tcPr>
          <w:p>
            <w:pPr>
              <w:spacing w:after="0"/>
              <w:rPr>
                <w:sz w:val="20"/>
                <w:szCs w:val="20"/>
                <w:color w:val="auto"/>
              </w:rPr>
            </w:pPr>
            <w:r>
              <w:rPr>
                <w:rFonts w:ascii="Arial" w:cs="Arial" w:eastAsia="Arial" w:hAnsi="Arial"/>
                <w:sz w:val="15"/>
                <w:szCs w:val="15"/>
                <w:color w:val="auto"/>
              </w:rPr>
              <w:t>Michael Doar</w:t>
            </w:r>
          </w:p>
        </w:tc>
        <w:tc>
          <w:tcPr>
            <w:tcW w:w="2620" w:type="dxa"/>
            <w:vAlign w:val="bottom"/>
          </w:tcPr>
          <w:p>
            <w:pPr>
              <w:ind w:left="120"/>
              <w:spacing w:after="0"/>
              <w:rPr>
                <w:sz w:val="20"/>
                <w:szCs w:val="20"/>
                <w:color w:val="auto"/>
              </w:rPr>
            </w:pPr>
            <w:r>
              <w:rPr>
                <w:rFonts w:ascii="Arial" w:cs="Arial" w:eastAsia="Arial" w:hAnsi="Arial"/>
                <w:sz w:val="15"/>
                <w:szCs w:val="15"/>
                <w:color w:val="auto"/>
                <w:w w:val="97"/>
              </w:rPr>
              <w:t>Chairman and Chief Executive Officer,</w:t>
            </w:r>
          </w:p>
        </w:tc>
        <w:tc>
          <w:tcPr>
            <w:tcW w:w="1100" w:type="dxa"/>
            <w:vAlign w:val="bottom"/>
          </w:tcPr>
          <w:p>
            <w:pPr>
              <w:ind w:left="160"/>
              <w:spacing w:after="0"/>
              <w:rPr>
                <w:sz w:val="20"/>
                <w:szCs w:val="20"/>
                <w:color w:val="auto"/>
              </w:rPr>
            </w:pPr>
            <w:r>
              <w:rPr>
                <w:rFonts w:ascii="Arial" w:cs="Arial" w:eastAsia="Arial" w:hAnsi="Arial"/>
                <w:sz w:val="15"/>
                <w:szCs w:val="15"/>
                <w:color w:val="auto"/>
              </w:rPr>
              <w:t>New nominee</w:t>
            </w:r>
          </w:p>
        </w:tc>
      </w:tr>
      <w:tr>
        <w:trPr>
          <w:trHeight w:val="219"/>
        </w:trPr>
        <w:tc>
          <w:tcPr>
            <w:tcW w:w="1260" w:type="dxa"/>
            <w:vAlign w:val="bottom"/>
          </w:tcPr>
          <w:p>
            <w:pPr>
              <w:ind w:left="140"/>
              <w:spacing w:after="0"/>
              <w:rPr>
                <w:sz w:val="20"/>
                <w:szCs w:val="20"/>
                <w:color w:val="auto"/>
              </w:rPr>
            </w:pPr>
            <w:r>
              <w:rPr>
                <w:rFonts w:ascii="Arial" w:cs="Arial" w:eastAsia="Arial" w:hAnsi="Arial"/>
                <w:sz w:val="15"/>
                <w:szCs w:val="15"/>
                <w:color w:val="auto"/>
              </w:rPr>
              <w:t>Age 53</w:t>
            </w:r>
          </w:p>
        </w:tc>
        <w:tc>
          <w:tcPr>
            <w:tcW w:w="2620" w:type="dxa"/>
            <w:vAlign w:val="bottom"/>
          </w:tcPr>
          <w:p>
            <w:pPr>
              <w:ind w:left="120"/>
              <w:spacing w:after="0"/>
              <w:rPr>
                <w:sz w:val="20"/>
                <w:szCs w:val="20"/>
                <w:color w:val="auto"/>
              </w:rPr>
            </w:pPr>
            <w:r>
              <w:rPr>
                <w:rFonts w:ascii="Arial" w:cs="Arial" w:eastAsia="Arial" w:hAnsi="Arial"/>
                <w:sz w:val="15"/>
                <w:szCs w:val="15"/>
                <w:color w:val="auto"/>
              </w:rPr>
              <w:t>Hurco Companies, Inc.</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Indianapolis, IN</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 global manufacturer of machine</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tools)</w:t>
            </w:r>
          </w:p>
        </w:tc>
        <w:tc>
          <w:tcPr>
            <w:tcW w:w="1100" w:type="dxa"/>
            <w:vAlign w:val="bottom"/>
          </w:tcPr>
          <w:p>
            <w:pPr>
              <w:spacing w:after="0"/>
              <w:rPr>
                <w:sz w:val="19"/>
                <w:szCs w:val="19"/>
                <w:color w:val="auto"/>
              </w:rPr>
            </w:pPr>
          </w:p>
        </w:tc>
      </w:tr>
      <w:tr>
        <w:trPr>
          <w:trHeight w:val="437"/>
        </w:trPr>
        <w:tc>
          <w:tcPr>
            <w:tcW w:w="1260" w:type="dxa"/>
            <w:vAlign w:val="bottom"/>
          </w:tcPr>
          <w:p>
            <w:pPr>
              <w:spacing w:after="0"/>
              <w:rPr>
                <w:sz w:val="20"/>
                <w:szCs w:val="20"/>
                <w:color w:val="auto"/>
              </w:rPr>
            </w:pPr>
            <w:r>
              <w:rPr>
                <w:rFonts w:ascii="Arial" w:cs="Arial" w:eastAsia="Arial" w:hAnsi="Arial"/>
                <w:sz w:val="15"/>
                <w:szCs w:val="15"/>
                <w:color w:val="auto"/>
              </w:rPr>
              <w:t>David R. Zimmer</w:t>
            </w:r>
          </w:p>
        </w:tc>
        <w:tc>
          <w:tcPr>
            <w:tcW w:w="2620" w:type="dxa"/>
            <w:vAlign w:val="bottom"/>
          </w:tcPr>
          <w:p>
            <w:pPr>
              <w:ind w:left="120"/>
              <w:spacing w:after="0"/>
              <w:rPr>
                <w:sz w:val="20"/>
                <w:szCs w:val="20"/>
                <w:color w:val="auto"/>
              </w:rPr>
            </w:pPr>
            <w:r>
              <w:rPr>
                <w:rFonts w:ascii="Arial" w:cs="Arial" w:eastAsia="Arial" w:hAnsi="Arial"/>
                <w:sz w:val="15"/>
                <w:szCs w:val="15"/>
                <w:color w:val="auto"/>
              </w:rPr>
              <w:t>Managing Partner, Stonebridge</w:t>
            </w:r>
          </w:p>
        </w:tc>
        <w:tc>
          <w:tcPr>
            <w:tcW w:w="1100" w:type="dxa"/>
            <w:vAlign w:val="bottom"/>
          </w:tcPr>
          <w:p>
            <w:pPr>
              <w:ind w:left="160"/>
              <w:spacing w:after="0"/>
              <w:rPr>
                <w:sz w:val="20"/>
                <w:szCs w:val="20"/>
                <w:color w:val="auto"/>
              </w:rPr>
            </w:pPr>
            <w:r>
              <w:rPr>
                <w:rFonts w:ascii="Arial" w:cs="Arial" w:eastAsia="Arial" w:hAnsi="Arial"/>
                <w:sz w:val="15"/>
                <w:szCs w:val="15"/>
                <w:color w:val="auto"/>
              </w:rPr>
              <w:t>July 1995</w:t>
            </w:r>
          </w:p>
        </w:tc>
      </w:tr>
      <w:tr>
        <w:trPr>
          <w:trHeight w:val="219"/>
        </w:trPr>
        <w:tc>
          <w:tcPr>
            <w:tcW w:w="1260" w:type="dxa"/>
            <w:vAlign w:val="bottom"/>
          </w:tcPr>
          <w:p>
            <w:pPr>
              <w:ind w:left="140"/>
              <w:spacing w:after="0"/>
              <w:rPr>
                <w:sz w:val="20"/>
                <w:szCs w:val="20"/>
                <w:color w:val="auto"/>
              </w:rPr>
            </w:pPr>
            <w:r>
              <w:rPr>
                <w:rFonts w:ascii="Arial" w:cs="Arial" w:eastAsia="Arial" w:hAnsi="Arial"/>
                <w:sz w:val="15"/>
                <w:szCs w:val="15"/>
                <w:color w:val="auto"/>
              </w:rPr>
              <w:t>Age 62</w:t>
            </w:r>
          </w:p>
        </w:tc>
        <w:tc>
          <w:tcPr>
            <w:tcW w:w="2620" w:type="dxa"/>
            <w:vAlign w:val="bottom"/>
          </w:tcPr>
          <w:p>
            <w:pPr>
              <w:ind w:left="120"/>
              <w:spacing w:after="0"/>
              <w:rPr>
                <w:sz w:val="20"/>
                <w:szCs w:val="20"/>
                <w:color w:val="auto"/>
              </w:rPr>
            </w:pPr>
            <w:r>
              <w:rPr>
                <w:rFonts w:ascii="Arial" w:cs="Arial" w:eastAsia="Arial" w:hAnsi="Arial"/>
                <w:sz w:val="15"/>
                <w:szCs w:val="15"/>
                <w:color w:val="auto"/>
              </w:rPr>
              <w:t>Equity LLC, Troy, Michigan, since</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2005 (A merger, acquisition and</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value consulting firm)</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Formerly Chief Executive Officer,</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Twitchell Corporation,</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Dothan, AL</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 privately held manufacturer</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and marketer of highly engineered,</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synthetic yarns, fabrics, extrusions,</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and coatings)</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Also Director,</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Detrex Corporation</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Strattec Security Corporation</w:t>
            </w:r>
          </w:p>
        </w:tc>
        <w:tc>
          <w:tcPr>
            <w:tcW w:w="1100" w:type="dxa"/>
            <w:vAlign w:val="bottom"/>
          </w:tcPr>
          <w:p>
            <w:pPr>
              <w:spacing w:after="0"/>
              <w:rPr>
                <w:sz w:val="19"/>
                <w:szCs w:val="19"/>
                <w:color w:val="auto"/>
              </w:rPr>
            </w:pPr>
          </w:p>
        </w:tc>
      </w:tr>
      <w:tr>
        <w:trPr>
          <w:trHeight w:val="437"/>
        </w:trPr>
        <w:tc>
          <w:tcPr>
            <w:tcW w:w="3880" w:type="dxa"/>
            <w:vAlign w:val="bottom"/>
            <w:gridSpan w:val="2"/>
          </w:tcPr>
          <w:p>
            <w:pPr>
              <w:spacing w:after="0"/>
              <w:rPr>
                <w:sz w:val="20"/>
                <w:szCs w:val="20"/>
                <w:color w:val="auto"/>
              </w:rPr>
            </w:pPr>
            <w:r>
              <w:rPr>
                <w:rFonts w:ascii="Arial" w:cs="Arial" w:eastAsia="Arial" w:hAnsi="Arial"/>
                <w:sz w:val="15"/>
                <w:szCs w:val="15"/>
                <w:color w:val="auto"/>
              </w:rPr>
              <w:t>DIRECTORS WHOSE TERMS EXPIRE IN 2009:</w:t>
            </w:r>
          </w:p>
        </w:tc>
        <w:tc>
          <w:tcPr>
            <w:tcW w:w="1100" w:type="dxa"/>
            <w:vAlign w:val="bottom"/>
          </w:tcPr>
          <w:p>
            <w:pPr>
              <w:spacing w:after="0"/>
              <w:rPr>
                <w:sz w:val="24"/>
                <w:szCs w:val="24"/>
                <w:color w:val="auto"/>
              </w:rPr>
            </w:pPr>
          </w:p>
        </w:tc>
      </w:tr>
      <w:tr>
        <w:trPr>
          <w:trHeight w:val="437"/>
        </w:trPr>
        <w:tc>
          <w:tcPr>
            <w:tcW w:w="1260" w:type="dxa"/>
            <w:vAlign w:val="bottom"/>
          </w:tcPr>
          <w:p>
            <w:pPr>
              <w:spacing w:after="0"/>
              <w:rPr>
                <w:sz w:val="20"/>
                <w:szCs w:val="20"/>
                <w:color w:val="auto"/>
              </w:rPr>
            </w:pPr>
            <w:r>
              <w:rPr>
                <w:rFonts w:ascii="Arial" w:cs="Arial" w:eastAsia="Arial" w:hAnsi="Arial"/>
                <w:sz w:val="15"/>
                <w:szCs w:val="15"/>
                <w:color w:val="auto"/>
              </w:rPr>
              <w:t>David B. Rayburn</w:t>
            </w:r>
          </w:p>
        </w:tc>
        <w:tc>
          <w:tcPr>
            <w:tcW w:w="2620" w:type="dxa"/>
            <w:vAlign w:val="bottom"/>
          </w:tcPr>
          <w:p>
            <w:pPr>
              <w:ind w:left="120"/>
              <w:spacing w:after="0"/>
              <w:rPr>
                <w:sz w:val="20"/>
                <w:szCs w:val="20"/>
                <w:color w:val="auto"/>
              </w:rPr>
            </w:pPr>
            <w:r>
              <w:rPr>
                <w:rFonts w:ascii="Arial" w:cs="Arial" w:eastAsia="Arial" w:hAnsi="Arial"/>
                <w:sz w:val="15"/>
                <w:szCs w:val="15"/>
                <w:color w:val="auto"/>
              </w:rPr>
              <w:t>Retired President and</w:t>
            </w:r>
          </w:p>
        </w:tc>
        <w:tc>
          <w:tcPr>
            <w:tcW w:w="1100" w:type="dxa"/>
            <w:vAlign w:val="bottom"/>
          </w:tcPr>
          <w:p>
            <w:pPr>
              <w:ind w:left="160"/>
              <w:spacing w:after="0"/>
              <w:rPr>
                <w:sz w:val="20"/>
                <w:szCs w:val="20"/>
                <w:color w:val="auto"/>
              </w:rPr>
            </w:pPr>
            <w:r>
              <w:rPr>
                <w:rFonts w:ascii="Arial" w:cs="Arial" w:eastAsia="Arial" w:hAnsi="Arial"/>
                <w:sz w:val="15"/>
                <w:szCs w:val="15"/>
                <w:color w:val="auto"/>
              </w:rPr>
              <w:t>July 2000</w:t>
            </w:r>
          </w:p>
        </w:tc>
      </w:tr>
      <w:tr>
        <w:trPr>
          <w:trHeight w:val="219"/>
        </w:trPr>
        <w:tc>
          <w:tcPr>
            <w:tcW w:w="1260" w:type="dxa"/>
            <w:vAlign w:val="bottom"/>
          </w:tcPr>
          <w:p>
            <w:pPr>
              <w:ind w:left="140"/>
              <w:spacing w:after="0"/>
              <w:rPr>
                <w:sz w:val="20"/>
                <w:szCs w:val="20"/>
                <w:color w:val="auto"/>
              </w:rPr>
            </w:pPr>
            <w:r>
              <w:rPr>
                <w:rFonts w:ascii="Arial" w:cs="Arial" w:eastAsia="Arial" w:hAnsi="Arial"/>
                <w:sz w:val="15"/>
                <w:szCs w:val="15"/>
                <w:color w:val="auto"/>
              </w:rPr>
              <w:t>Age 60</w:t>
            </w:r>
          </w:p>
        </w:tc>
        <w:tc>
          <w:tcPr>
            <w:tcW w:w="2620" w:type="dxa"/>
            <w:vAlign w:val="bottom"/>
          </w:tcPr>
          <w:p>
            <w:pPr>
              <w:ind w:left="120"/>
              <w:spacing w:after="0"/>
              <w:rPr>
                <w:sz w:val="20"/>
                <w:szCs w:val="20"/>
                <w:color w:val="auto"/>
              </w:rPr>
            </w:pPr>
            <w:r>
              <w:rPr>
                <w:rFonts w:ascii="Arial" w:cs="Arial" w:eastAsia="Arial" w:hAnsi="Arial"/>
                <w:sz w:val="15"/>
                <w:szCs w:val="15"/>
                <w:color w:val="auto"/>
              </w:rPr>
              <w:t>Chief Executive Officer,</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Modine Manufacturing Company,</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Racine, Wisconsin</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 manufacturer of heat</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exchange equipment)</w:t>
            </w:r>
          </w:p>
        </w:tc>
        <w:tc>
          <w:tcPr>
            <w:tcW w:w="1100" w:type="dxa"/>
            <w:vAlign w:val="bottom"/>
          </w:tcPr>
          <w:p>
            <w:pPr>
              <w:spacing w:after="0"/>
              <w:rPr>
                <w:sz w:val="19"/>
                <w:szCs w:val="19"/>
                <w:color w:val="auto"/>
              </w:rPr>
            </w:pPr>
          </w:p>
        </w:tc>
      </w:tr>
      <w:tr>
        <w:trPr>
          <w:trHeight w:val="656"/>
        </w:trPr>
        <w:tc>
          <w:tcPr>
            <w:tcW w:w="1260" w:type="dxa"/>
            <w:vAlign w:val="bottom"/>
          </w:tcPr>
          <w:p>
            <w:pPr>
              <w:spacing w:after="0"/>
              <w:rPr>
                <w:sz w:val="20"/>
                <w:szCs w:val="20"/>
                <w:color w:val="auto"/>
              </w:rPr>
            </w:pPr>
            <w:r>
              <w:rPr>
                <w:rFonts w:ascii="Arial" w:cs="Arial" w:eastAsia="Arial" w:hAnsi="Arial"/>
                <w:sz w:val="15"/>
                <w:szCs w:val="15"/>
                <w:color w:val="auto"/>
              </w:rPr>
              <w:t>Malcolm F. Moore</w:t>
            </w:r>
          </w:p>
        </w:tc>
        <w:tc>
          <w:tcPr>
            <w:tcW w:w="2620" w:type="dxa"/>
            <w:vAlign w:val="bottom"/>
          </w:tcPr>
          <w:p>
            <w:pPr>
              <w:ind w:left="120"/>
              <w:spacing w:after="0"/>
              <w:rPr>
                <w:sz w:val="20"/>
                <w:szCs w:val="20"/>
                <w:color w:val="auto"/>
              </w:rPr>
            </w:pPr>
            <w:r>
              <w:rPr>
                <w:rFonts w:ascii="Arial" w:cs="Arial" w:eastAsia="Arial" w:hAnsi="Arial"/>
                <w:sz w:val="15"/>
                <w:szCs w:val="15"/>
                <w:color w:val="auto"/>
              </w:rPr>
              <w:t>President and</w:t>
            </w:r>
          </w:p>
        </w:tc>
        <w:tc>
          <w:tcPr>
            <w:tcW w:w="1100" w:type="dxa"/>
            <w:vAlign w:val="bottom"/>
          </w:tcPr>
          <w:p>
            <w:pPr>
              <w:ind w:left="160"/>
              <w:spacing w:after="0"/>
              <w:rPr>
                <w:sz w:val="20"/>
                <w:szCs w:val="20"/>
                <w:color w:val="auto"/>
              </w:rPr>
            </w:pPr>
            <w:r>
              <w:rPr>
                <w:rFonts w:ascii="Arial" w:cs="Arial" w:eastAsia="Arial" w:hAnsi="Arial"/>
                <w:sz w:val="15"/>
                <w:szCs w:val="15"/>
                <w:color w:val="auto"/>
              </w:rPr>
              <w:t>October 2006</w:t>
            </w:r>
          </w:p>
        </w:tc>
      </w:tr>
      <w:tr>
        <w:trPr>
          <w:trHeight w:val="219"/>
        </w:trPr>
        <w:tc>
          <w:tcPr>
            <w:tcW w:w="1260" w:type="dxa"/>
            <w:vAlign w:val="bottom"/>
          </w:tcPr>
          <w:p>
            <w:pPr>
              <w:ind w:left="140"/>
              <w:spacing w:after="0"/>
              <w:rPr>
                <w:sz w:val="20"/>
                <w:szCs w:val="20"/>
                <w:color w:val="auto"/>
              </w:rPr>
            </w:pPr>
            <w:r>
              <w:rPr>
                <w:rFonts w:ascii="Arial" w:cs="Arial" w:eastAsia="Arial" w:hAnsi="Arial"/>
                <w:sz w:val="15"/>
                <w:szCs w:val="15"/>
                <w:color w:val="auto"/>
              </w:rPr>
              <w:t>Age 58</w:t>
            </w:r>
          </w:p>
        </w:tc>
        <w:tc>
          <w:tcPr>
            <w:tcW w:w="2620" w:type="dxa"/>
            <w:vAlign w:val="bottom"/>
          </w:tcPr>
          <w:p>
            <w:pPr>
              <w:ind w:left="120"/>
              <w:spacing w:after="0"/>
              <w:rPr>
                <w:sz w:val="20"/>
                <w:szCs w:val="20"/>
                <w:color w:val="auto"/>
              </w:rPr>
            </w:pPr>
            <w:r>
              <w:rPr>
                <w:rFonts w:ascii="Arial" w:cs="Arial" w:eastAsia="Arial" w:hAnsi="Arial"/>
                <w:sz w:val="15"/>
                <w:szCs w:val="15"/>
                <w:color w:val="auto"/>
              </w:rPr>
              <w:t>Chief Operating Officer,</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Gehl Company,</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West Bend, Wisconsin</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 manufacturer and distributor of</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compact equipment for construction</w:t>
            </w:r>
          </w:p>
        </w:tc>
        <w:tc>
          <w:tcPr>
            <w:tcW w:w="1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5"/>
                <w:szCs w:val="15"/>
                <w:color w:val="auto"/>
              </w:rPr>
              <w:t>and agricultural markets)</w:t>
            </w:r>
          </w:p>
        </w:tc>
        <w:tc>
          <w:tcPr>
            <w:tcW w:w="1100" w:type="dxa"/>
            <w:vAlign w:val="bottom"/>
          </w:tcPr>
          <w:p>
            <w:pPr>
              <w:spacing w:after="0"/>
              <w:rPr>
                <w:sz w:val="19"/>
                <w:szCs w:val="19"/>
                <w:color w:val="auto"/>
              </w:rPr>
            </w:pPr>
          </w:p>
        </w:tc>
      </w:tr>
      <w:tr>
        <w:trPr>
          <w:trHeight w:val="437"/>
        </w:trPr>
        <w:tc>
          <w:tcPr>
            <w:tcW w:w="3880" w:type="dxa"/>
            <w:vAlign w:val="bottom"/>
            <w:gridSpan w:val="2"/>
          </w:tcPr>
          <w:p>
            <w:pPr>
              <w:spacing w:after="0"/>
              <w:rPr>
                <w:sz w:val="20"/>
                <w:szCs w:val="20"/>
                <w:color w:val="auto"/>
              </w:rPr>
            </w:pPr>
            <w:r>
              <w:rPr>
                <w:rFonts w:ascii="Arial" w:cs="Arial" w:eastAsia="Arial" w:hAnsi="Arial"/>
                <w:sz w:val="15"/>
                <w:szCs w:val="15"/>
                <w:color w:val="auto"/>
              </w:rPr>
              <w:t>DIRECTORS WHOSE TERMS EXPIRE IN 2010:</w:t>
            </w:r>
          </w:p>
        </w:tc>
        <w:tc>
          <w:tcPr>
            <w:tcW w:w="1100" w:type="dxa"/>
            <w:vAlign w:val="bottom"/>
          </w:tcPr>
          <w:p>
            <w:pPr>
              <w:spacing w:after="0"/>
              <w:rPr>
                <w:sz w:val="24"/>
                <w:szCs w:val="24"/>
                <w:color w:val="auto"/>
              </w:rPr>
            </w:pPr>
          </w:p>
        </w:tc>
      </w:tr>
      <w:tr>
        <w:trPr>
          <w:trHeight w:val="437"/>
        </w:trPr>
        <w:tc>
          <w:tcPr>
            <w:tcW w:w="1260" w:type="dxa"/>
            <w:vAlign w:val="bottom"/>
          </w:tcPr>
          <w:p>
            <w:pPr>
              <w:spacing w:after="0"/>
              <w:rPr>
                <w:sz w:val="20"/>
                <w:szCs w:val="20"/>
                <w:color w:val="auto"/>
              </w:rPr>
            </w:pPr>
            <w:r>
              <w:rPr>
                <w:rFonts w:ascii="Arial" w:cs="Arial" w:eastAsia="Arial" w:hAnsi="Arial"/>
                <w:sz w:val="15"/>
                <w:szCs w:val="15"/>
                <w:color w:val="auto"/>
              </w:rPr>
              <w:t>John H. Batten</w:t>
            </w:r>
          </w:p>
        </w:tc>
        <w:tc>
          <w:tcPr>
            <w:tcW w:w="2620" w:type="dxa"/>
            <w:vAlign w:val="bottom"/>
          </w:tcPr>
          <w:p>
            <w:pPr>
              <w:ind w:left="120"/>
              <w:spacing w:after="0"/>
              <w:rPr>
                <w:sz w:val="20"/>
                <w:szCs w:val="20"/>
                <w:color w:val="auto"/>
              </w:rPr>
            </w:pPr>
            <w:r>
              <w:rPr>
                <w:rFonts w:ascii="Arial" w:cs="Arial" w:eastAsia="Arial" w:hAnsi="Arial"/>
                <w:sz w:val="15"/>
                <w:szCs w:val="15"/>
                <w:color w:val="auto"/>
                <w:w w:val="99"/>
              </w:rPr>
              <w:t>President and Chief Operating Officer</w:t>
            </w:r>
          </w:p>
        </w:tc>
        <w:tc>
          <w:tcPr>
            <w:tcW w:w="1100" w:type="dxa"/>
            <w:vAlign w:val="bottom"/>
          </w:tcPr>
          <w:p>
            <w:pPr>
              <w:ind w:left="160"/>
              <w:spacing w:after="0"/>
              <w:rPr>
                <w:sz w:val="20"/>
                <w:szCs w:val="20"/>
                <w:color w:val="auto"/>
              </w:rPr>
            </w:pPr>
            <w:r>
              <w:rPr>
                <w:rFonts w:ascii="Arial" w:cs="Arial" w:eastAsia="Arial" w:hAnsi="Arial"/>
                <w:sz w:val="15"/>
                <w:szCs w:val="15"/>
                <w:color w:val="auto"/>
                <w:w w:val="86"/>
              </w:rPr>
              <w:t>December 2002</w:t>
            </w:r>
          </w:p>
        </w:tc>
      </w:tr>
      <w:tr>
        <w:trPr>
          <w:trHeight w:val="219"/>
        </w:trPr>
        <w:tc>
          <w:tcPr>
            <w:tcW w:w="1260" w:type="dxa"/>
            <w:vAlign w:val="bottom"/>
          </w:tcPr>
          <w:p>
            <w:pPr>
              <w:ind w:left="140"/>
              <w:spacing w:after="0"/>
              <w:rPr>
                <w:sz w:val="20"/>
                <w:szCs w:val="20"/>
                <w:color w:val="auto"/>
              </w:rPr>
            </w:pPr>
            <w:r>
              <w:rPr>
                <w:rFonts w:ascii="Arial" w:cs="Arial" w:eastAsia="Arial" w:hAnsi="Arial"/>
                <w:sz w:val="15"/>
                <w:szCs w:val="15"/>
                <w:color w:val="auto"/>
              </w:rPr>
              <w:t>Age 43</w:t>
            </w:r>
          </w:p>
        </w:tc>
        <w:tc>
          <w:tcPr>
            <w:tcW w:w="2620" w:type="dxa"/>
            <w:vAlign w:val="bottom"/>
          </w:tcPr>
          <w:p>
            <w:pPr>
              <w:ind w:left="120"/>
              <w:spacing w:after="0"/>
              <w:rPr>
                <w:sz w:val="20"/>
                <w:szCs w:val="20"/>
                <w:color w:val="auto"/>
              </w:rPr>
            </w:pPr>
            <w:r>
              <w:rPr>
                <w:rFonts w:ascii="Arial" w:cs="Arial" w:eastAsia="Arial" w:hAnsi="Arial"/>
                <w:sz w:val="15"/>
                <w:szCs w:val="15"/>
                <w:color w:val="auto"/>
              </w:rPr>
              <w:t>July 2008; formerly Executive Vice</w:t>
            </w:r>
          </w:p>
        </w:tc>
        <w:tc>
          <w:tcPr>
            <w:tcW w:w="1100" w:type="dxa"/>
            <w:vAlign w:val="bottom"/>
          </w:tcPr>
          <w:p>
            <w:pPr>
              <w:spacing w:after="0"/>
              <w:rPr>
                <w:sz w:val="19"/>
                <w:szCs w:val="19"/>
                <w:color w:val="auto"/>
              </w:rPr>
            </w:pPr>
          </w:p>
        </w:tc>
      </w:tr>
    </w:tbl>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2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President since October 2004, and Vice</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President and General Manager</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Marine &amp; Propulsion since 2001</w:t>
      </w:r>
    </w:p>
    <w:p>
      <w:pPr>
        <w:sectPr>
          <w:pgSz w:w="11900" w:h="16838" w:orient="portrait"/>
          <w:cols w:equalWidth="0" w:num="1">
            <w:col w:w="11100"/>
          </w:cols>
          <w:pgMar w:left="240" w:top="132" w:right="559" w:bottom="0" w:gutter="0" w:footer="0" w:header="0"/>
        </w:sectPr>
      </w:pPr>
    </w:p>
    <w:p>
      <w:pPr>
        <w:spacing w:after="0" w:line="265" w:lineRule="exact"/>
        <w:rPr>
          <w:sz w:val="20"/>
          <w:szCs w:val="20"/>
          <w:color w:val="auto"/>
        </w:rPr>
      </w:pPr>
    </w:p>
    <w:p>
      <w:pPr>
        <w:ind w:left="140" w:hanging="137"/>
        <w:spacing w:after="0" w:line="368" w:lineRule="auto"/>
        <w:rPr>
          <w:sz w:val="20"/>
          <w:szCs w:val="20"/>
          <w:color w:val="auto"/>
        </w:rPr>
      </w:pPr>
      <w:r>
        <w:rPr>
          <w:rFonts w:ascii="Arial" w:cs="Arial" w:eastAsia="Arial" w:hAnsi="Arial"/>
          <w:sz w:val="14"/>
          <w:szCs w:val="14"/>
          <w:color w:val="auto"/>
        </w:rPr>
        <w:t>John A. Mellowes Age 70</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Chairman and</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Charter Manufacturing Co.,</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Mequon, Wisconsin</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(A privately held producer of bar,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October 1998</w:t>
      </w:r>
    </w:p>
    <w:p>
      <w:pPr>
        <w:sectPr>
          <w:pgSz w:w="11900" w:h="16838" w:orient="portrait"/>
          <w:cols w:equalWidth="0" w:num="3">
            <w:col w:w="1100" w:space="380"/>
            <w:col w:w="2020" w:space="660"/>
            <w:col w:w="6940"/>
          </w:cols>
          <w:pgMar w:left="240" w:top="132" w:right="559" w:bottom="0" w:gutter="0" w:footer="0" w:header="0"/>
          <w:type w:val="continuous"/>
        </w:sectPr>
      </w:pPr>
    </w:p>
    <w:bookmarkStart w:id="4" w:name="page5"/>
    <w:bookmarkEnd w:id="4"/>
    <w:p>
      <w:pPr>
        <w:spacing w:after="0" w:line="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rod wire and wire parts)</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Also Director,</w:t>
      </w:r>
    </w:p>
    <w:p>
      <w:pPr>
        <w:spacing w:after="0" w:line="17"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Ma</w:t>
      </w:r>
      <w:r>
        <w:rPr>
          <w:rFonts w:ascii="Arial" w:cs="Arial" w:eastAsia="Arial" w:hAnsi="Arial"/>
          <w:sz w:val="17"/>
          <w:szCs w:val="17"/>
          <w:color w:val="auto"/>
        </w:rPr>
        <w:t>rshall &amp; Ilsley Corporation</w:t>
      </w:r>
    </w:p>
    <w:p>
      <w:pPr>
        <w:sectPr>
          <w:pgSz w:w="11900" w:h="16840" w:orient="portrait"/>
          <w:cols w:equalWidth="0" w:num="1">
            <w:col w:w="11420"/>
          </w:cols>
          <w:pgMar w:left="240" w:top="155" w:right="239" w:bottom="0" w:gutter="0" w:footer="0" w:header="0"/>
        </w:sectPr>
      </w:pPr>
    </w:p>
    <w:p>
      <w:pPr>
        <w:spacing w:after="0" w:line="271" w:lineRule="exact"/>
        <w:rPr>
          <w:sz w:val="20"/>
          <w:szCs w:val="20"/>
          <w:color w:val="auto"/>
        </w:rPr>
      </w:pPr>
    </w:p>
    <w:p>
      <w:pPr>
        <w:ind w:left="140" w:hanging="137"/>
        <w:spacing w:after="0" w:line="327" w:lineRule="auto"/>
        <w:rPr>
          <w:sz w:val="20"/>
          <w:szCs w:val="20"/>
          <w:color w:val="auto"/>
        </w:rPr>
      </w:pPr>
      <w:r>
        <w:rPr>
          <w:rFonts w:ascii="Arial" w:cs="Arial" w:eastAsia="Arial" w:hAnsi="Arial"/>
          <w:sz w:val="15"/>
          <w:szCs w:val="15"/>
          <w:color w:val="auto"/>
        </w:rPr>
        <w:t>Harold M. Stratton II Age 60</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Chairman, President and</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Strattec Security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Milwaukee, Wisconsin</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(A leading manufacturer of mechanical</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locks, electromechanical locks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and related security/access control</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products for global automotive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manufacturers)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Also Director,</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Smith Investment Company</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July 2004</w:t>
      </w:r>
    </w:p>
    <w:p>
      <w:pPr>
        <w:spacing w:after="0" w:line="2410" w:lineRule="exact"/>
        <w:rPr>
          <w:sz w:val="20"/>
          <w:szCs w:val="20"/>
          <w:color w:val="auto"/>
        </w:rPr>
      </w:pPr>
    </w:p>
    <w:p>
      <w:pPr>
        <w:sectPr>
          <w:pgSz w:w="11900" w:h="16840" w:orient="portrait"/>
          <w:cols w:equalWidth="0" w:num="3">
            <w:col w:w="1320" w:space="160"/>
            <w:col w:w="2360" w:space="320"/>
            <w:col w:w="7260"/>
          </w:cols>
          <w:pgMar w:left="240" w:top="155" w:right="239" w:bottom="0" w:gutter="0" w:footer="0" w:header="0"/>
          <w:type w:val="continuous"/>
        </w:sectPr>
      </w:pPr>
    </w:p>
    <w:p>
      <w:pPr>
        <w:spacing w:after="0" w:line="19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Audit Committee has selected PricewaterhouseCoopers LLP (“PricewaterhouseCoopers”) as our independent registered public accounting firm for the fiscal year ending June 30, 2009,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by our bylaws or other applicable legal requirement. However, the Audit Committee is submitting the selection of PricewaterhouseCoopers to the stockholders for ratification as a matter of good corporate governance.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Audit Fees</w:t>
      </w:r>
    </w:p>
    <w:p>
      <w:pPr>
        <w:spacing w:after="0" w:line="21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Aggregate fees billed, including out-of-pocket expenses, for professional services rendered by PricewaterhouseCoopers LLP (“PricewaterhouseCoopers”) in connection with (i) the audit of the Company’s consolidated financial statements as of and for the years ended June 30, 2008 and June 30, 2007, including statutory audits of the financial statements of the Company’s affiliates, and (ii) the limited reviews of the Company’s quarterly financial statements were $763,000 and $648,000, respectively.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Audit-Related Fees</w:t>
      </w:r>
    </w:p>
    <w:p>
      <w:pPr>
        <w:spacing w:after="0" w:line="21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Aggregate fees billed, for professional services rendered by PricewaterhouseCoopers for assurance and services reasonably related to the performance of the audit or review of the Company’s financial statements not included in audit fees above were $2,000 and $212,000 for the years ended June 30, 2008 and 2007, respectively.</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Tax Fees</w:t>
      </w:r>
    </w:p>
    <w:p>
      <w:pPr>
        <w:spacing w:after="0" w:line="219"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In addition to the other fees described above, aggregate fees billed, including out-of-pocket expenses, of $142,000 and $505,000 were paid to PricewaterhouseCoopers during the years ended June 30, 2008 and 2007, primarily for tax related services. Included in this amount are fees for tax compliance services of $117,000 and $110,000 during the years ended June 30, 2008 and 2007, respectively.</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All Other Fees</w:t>
      </w:r>
    </w:p>
    <w:p>
      <w:pPr>
        <w:spacing w:after="0" w:line="21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During the years ended June 30, 2008 and 2007, PricewaterhouseCoopers rendered professional services to the Company other than those listed under audit fees, audit related fees and tax fees totaling $5,000 and $0, respectively.</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Company's financial statements were at all times compatible with maintaining PricewaterhouseCoopers’ independence.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2008, 100% of audit-related, tax and non-audit fees were pre-ap</w:t>
      </w:r>
      <w:r>
        <w:rPr>
          <w:rFonts w:ascii="Arial" w:cs="Arial" w:eastAsia="Arial" w:hAnsi="Arial"/>
          <w:sz w:val="14"/>
          <w:szCs w:val="14"/>
          <w:color w:val="auto"/>
        </w:rPr>
        <w:t>proved.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68"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b w:val="1"/>
          <w:bCs w:val="1"/>
          <w:color w:val="auto"/>
        </w:rPr>
        <w:t>THE BOARD OF DIRECTORS RECOMMENDS THAT YOU VOTE TO RATIFY THE SELECTION OF PRICEWATERHOUSECOOPERS LLP AS OUR INDEPENDENT AUDITORS FOR FISCAL YEAR 2009. UNLESS YOU INDICATE OTHERWISE, YOUR PROXY WILL BE VOTED "FOR" RATIFICATION.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CORPORATE GOVERNANCE</w:t>
      </w:r>
    </w:p>
    <w:p>
      <w:pPr>
        <w:spacing w:after="0" w:line="234" w:lineRule="exact"/>
        <w:rPr>
          <w:sz w:val="20"/>
          <w:szCs w:val="20"/>
          <w:color w:val="auto"/>
        </w:rPr>
      </w:pPr>
    </w:p>
    <w:p>
      <w:pPr>
        <w:ind w:right="200"/>
        <w:spacing w:after="0" w:line="359" w:lineRule="auto"/>
        <w:rPr>
          <w:sz w:val="20"/>
          <w:szCs w:val="20"/>
          <w:color w:val="auto"/>
        </w:rPr>
      </w:pPr>
      <w:r>
        <w:rPr>
          <w:rFonts w:ascii="Arial" w:cs="Arial" w:eastAsia="Arial" w:hAnsi="Arial"/>
          <w:sz w:val="13"/>
          <w:szCs w:val="13"/>
          <w:color w:val="auto"/>
        </w:rPr>
        <w:t>The Company's business is conducted under the direction of the Board of Directors, pursuant to the laws of the State of Wisconsin and our Restated By-laws. Members of the Board of Directors are kept informed of the Company's business through discussions with the Chairman and Chief Executive Officer, and with key members of management, by reviewing materials</w:t>
      </w:r>
    </w:p>
    <w:p>
      <w:pPr>
        <w:sectPr>
          <w:pgSz w:w="11900" w:h="16840" w:orient="portrait"/>
          <w:cols w:equalWidth="0" w:num="1">
            <w:col w:w="11420"/>
          </w:cols>
          <w:pgMar w:left="240" w:top="155" w:right="239" w:bottom="0" w:gutter="0" w:footer="0" w:header="0"/>
          <w:type w:val="continuous"/>
        </w:sectPr>
      </w:pPr>
    </w:p>
    <w:bookmarkStart w:id="5" w:name="page6"/>
    <w:bookmarkEnd w:id="5"/>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provided to them and by participating in meetings of the Board of Directors and its committees.</w:t>
      </w:r>
    </w:p>
    <w:p>
      <w:pPr>
        <w:spacing w:after="0" w:line="196" w:lineRule="exact"/>
        <w:rPr>
          <w:sz w:val="20"/>
          <w:szCs w:val="20"/>
          <w:color w:val="auto"/>
        </w:rPr>
      </w:pPr>
    </w:p>
    <w:p>
      <w:pPr>
        <w:ind w:right="120"/>
        <w:spacing w:after="0" w:line="327" w:lineRule="auto"/>
        <w:rPr>
          <w:sz w:val="20"/>
          <w:szCs w:val="20"/>
          <w:color w:val="auto"/>
        </w:rPr>
      </w:pPr>
      <w:r>
        <w:rPr>
          <w:rFonts w:ascii="Arial" w:cs="Arial" w:eastAsia="Arial" w:hAnsi="Arial"/>
          <w:sz w:val="13"/>
          <w:szCs w:val="13"/>
          <w:color w:val="auto"/>
        </w:rPr>
        <w:t xml:space="preserve">The Company has reviewed its corporate governance policies and practices, particularly in light of the Sarbanes-Oxley Act of 2002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3"/>
          <w:szCs w:val="13"/>
          <w:u w:val="single" w:color="auto"/>
          <w:color w:val="0000FF"/>
        </w:rPr>
        <w:t>www.twindisc.com</w:t>
      </w:r>
      <w:r>
        <w:rPr>
          <w:rFonts w:ascii="Arial" w:cs="Arial" w:eastAsia="Arial" w:hAnsi="Arial"/>
          <w:sz w:val="13"/>
          <w:szCs w:val="13"/>
          <w:color w:val="auto"/>
        </w:rPr>
        <w:t xml:space="preserve"> , and/or through appropriate mailings.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Board Independence</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Company requires, as set forth in its Guidelines for Corporate Governance, that a majority of the Board members be independent outside directors. However, the Company is not opposed to having members of the Company's management, including the CEO, serve as directors</w:t>
      </w:r>
      <w:r>
        <w:rPr>
          <w:rFonts w:ascii="Arial" w:cs="Arial" w:eastAsia="Arial" w:hAnsi="Arial"/>
          <w:sz w:val="15"/>
          <w:szCs w:val="15"/>
          <w:i w:val="1"/>
          <w:iCs w:val="1"/>
          <w:color w:val="auto"/>
        </w:rPr>
        <w:t>.</w:t>
      </w:r>
      <w:r>
        <w:rPr>
          <w:rFonts w:ascii="Arial" w:cs="Arial" w:eastAsia="Arial" w:hAnsi="Arial"/>
          <w:sz w:val="15"/>
          <w:szCs w:val="15"/>
          <w:color w:val="auto"/>
        </w:rPr>
        <w:t xml:space="preserve"> "Independent Director," as used here, means a person other than an officer or employee of the Company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shall assess independence on an ongoing basis, and each director is responsible for bringing to the attention of the Nominating and Governance Committee any changes to his or her status that may affect independence. In addition, the directors shall complete, on at least an annual basis, a questionnaire prepared by the Company that is designed to elicit information that relates to the independence assessment. A majority of the Company's current directors are Independent Directors.</w:t>
      </w:r>
    </w:p>
    <w:p>
      <w:pPr>
        <w:spacing w:after="0" w:line="169"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The Board has determined that the following directors are independent within the meaning of the SEC regulations, the listing standards of the NASDAQ Stock Market and the Company's Guidelines for Corporate Governance: Messrs. Mellowes, Moore, Rayburn, Stratton, Swift and Zimmer.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Guidelines for Business Conduct and Ethics</w:t>
      </w:r>
    </w:p>
    <w:p>
      <w:pPr>
        <w:spacing w:after="0" w:line="234"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color w:val="auto"/>
        </w:rPr>
        <w:t>Our Guidelines for Business Conduct and Ethics (our "Guidelines") summarize the compliance and ethical standards and expectations we have for all our employees, officers and directors with respect to their conduct in furtherance of Company business. It contains procedures for reporting suspected violations of the Guidelines, including procedures for the reporting of questionable accounting or auditing matters, or other concerns regarding accounting, internal accounting controls or auditing matters. These materials 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8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also available in print to any shareholder upon request. If we make any substantive amendment to the Guidelines, we will disclose the nature of such amendment on our website or in a current report on Form 8-K. In addition, if a waiver from the Guidelines is granted to an executive officer or director, we will disclose the nature of such waiver on our website at </w:t>
      </w:r>
      <w:r>
        <w:rPr>
          <w:rFonts w:ascii="Arial" w:cs="Arial" w:eastAsia="Arial" w:hAnsi="Arial"/>
          <w:sz w:val="15"/>
          <w:szCs w:val="15"/>
          <w:u w:val="single" w:color="auto"/>
          <w:color w:val="0000FF"/>
        </w:rPr>
        <w:t>www.twindisc.com</w:t>
      </w:r>
      <w:r>
        <w:rPr>
          <w:rFonts w:ascii="Arial" w:cs="Arial" w:eastAsia="Arial" w:hAnsi="Arial"/>
          <w:sz w:val="15"/>
          <w:szCs w:val="15"/>
          <w:color w:val="auto"/>
        </w:rPr>
        <w:t xml:space="preserve"> or in a current report on Form 8-K.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Review, Approval or Ratification of Transactions with Related Persons</w:t>
      </w:r>
    </w:p>
    <w:p>
      <w:pPr>
        <w:spacing w:after="0" w:line="200" w:lineRule="exact"/>
        <w:rPr>
          <w:sz w:val="20"/>
          <w:szCs w:val="20"/>
          <w:color w:val="auto"/>
        </w:rPr>
      </w:pPr>
    </w:p>
    <w:p>
      <w:pPr>
        <w:ind w:right="280"/>
        <w:spacing w:after="0" w:line="310" w:lineRule="auto"/>
        <w:rPr>
          <w:sz w:val="20"/>
          <w:szCs w:val="20"/>
          <w:color w:val="auto"/>
        </w:rPr>
      </w:pPr>
      <w:r>
        <w:rPr>
          <w:rFonts w:ascii="Arial" w:cs="Arial" w:eastAsia="Arial" w:hAnsi="Arial"/>
          <w:sz w:val="13"/>
          <w:szCs w:val="13"/>
          <w:color w:val="auto"/>
        </w:rPr>
        <w:t xml:space="preserve">The Company’s Guidelines for Business Conduct and Ethics (“Guidelines”) apply to all directors, officers, employees and representatives of the Company. The Guidelines require that all such persons refrain from business activities, including personal investments, which conflict with the proper discharge of their responsibilities to the Company or impair their ability to exercise independent judgment with respect to transactions in which they are involved on behalf of the Company. The Guidelines, which include policies on the review and approval of significant transactions between the Company and its officers or employees, and their relatives or businesses, are available on the Company’s website, </w:t>
      </w:r>
      <w:r>
        <w:rPr>
          <w:rFonts w:ascii="Arial" w:cs="Arial" w:eastAsia="Arial" w:hAnsi="Arial"/>
          <w:sz w:val="16"/>
          <w:szCs w:val="16"/>
          <w:u w:val="single" w:color="auto"/>
          <w:color w:val="0000FF"/>
        </w:rPr>
        <w:t>www.twindisc.com</w:t>
      </w:r>
      <w:r>
        <w:rPr>
          <w:rFonts w:ascii="Arial" w:cs="Arial" w:eastAsia="Arial" w:hAnsi="Arial"/>
          <w:sz w:val="13"/>
          <w:szCs w:val="13"/>
          <w:color w:val="auto"/>
        </w:rPr>
        <w:t>.</w:t>
      </w:r>
    </w:p>
    <w:p>
      <w:pPr>
        <w:spacing w:after="0" w:line="12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At the end of each fiscal year, each director and officer must respond to a questionnaire that requires him or her to identify any transaction or relationship that occurred during the year or any proposed transaction that involves the Company (or any subsidiary or affiliate of the Company) and that individual, his or her immediate family and any entity with which he, she or such immediate family member is associated. All responses to the questionnaires are reviewed by the Company’s internal auditor and shared with the CEO, as appropriate. Based upon such review, there were no related party transactions with respect to persons who were directors or officers during fiscal 2008 requiring disclosure under the rules of the Securities and Exchange Commission.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DIRECTOR COMMITTEES AND ATTENDANCE</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Board Of Directors Meetings And Attendance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The Corporation’s Board of Directors met 6 times during the year ended June 30, 2008. There was one absence from these meetings.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Directors Committee Meetings And Attendance</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The Audit Committee met 5 times during the year. The Nominating and Governance Committee met 3 times during the year. The Pension, Finance and Compensation Committees each met 2 times during the year. Each Director attended at least 75% of the meetings requiring his attendance.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Director Committee Functions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Audit Committee</w:t>
      </w:r>
    </w:p>
    <w:p>
      <w:pPr>
        <w:spacing w:after="0" w:line="230"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 xml:space="preserve">The Company has a separately-designated Audit Committee established in accordance with Section 3(a)(58)(A) of the Securities Exchange Act of 1934.The charter of the Audit Committee is available on the Company's website, </w:t>
      </w:r>
      <w:r>
        <w:rPr>
          <w:rFonts w:ascii="Arial" w:cs="Arial" w:eastAsia="Arial" w:hAnsi="Arial"/>
          <w:sz w:val="15"/>
          <w:szCs w:val="15"/>
          <w:u w:val="single" w:color="auto"/>
          <w:color w:val="auto"/>
        </w:rPr>
        <w:t>www.twindisc.com</w:t>
      </w:r>
      <w:r>
        <w:rPr>
          <w:rFonts w:ascii="Arial" w:cs="Arial" w:eastAsia="Arial" w:hAnsi="Arial"/>
          <w:sz w:val="15"/>
          <w:szCs w:val="15"/>
          <w:color w:val="auto"/>
        </w:rPr>
        <w:t>. The Board most recently revised its Audit Committee charter on April 18, 2008.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83"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In October of each year, the Board selects the members of the Audit Committee. All of the members of the Audit Committee are independent within the meaning of the SEC regulations, the listing standards of NASDAQ Stock Market and the Company's Guidelines for Corporate Governance. The Board of Directors has determined that each audit committee member (Mr. Zimmer, Mr. Moore, Mr. Rayburn and Mr. Stratton) qualifies as an “audit committee financial expert” within the meaning of the SEC rules.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As set forth in the charter, the Audit Committee's purpose is to assist the Board of Directors in monitoring the:</w:t>
      </w:r>
    </w:p>
    <w:p>
      <w:pPr>
        <w:spacing w:after="0" w:line="213" w:lineRule="exact"/>
        <w:rPr>
          <w:sz w:val="20"/>
          <w:szCs w:val="20"/>
          <w:color w:val="auto"/>
        </w:rPr>
      </w:pPr>
    </w:p>
    <w:p>
      <w:pPr>
        <w:ind w:left="180" w:hanging="107"/>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5"/>
          <w:szCs w:val="15"/>
          <w:color w:val="auto"/>
        </w:rPr>
        <w:t>Integrity of the Company's financial statements;</w:t>
      </w:r>
    </w:p>
    <w:p>
      <w:pPr>
        <w:spacing w:after="0" w:line="11" w:lineRule="exact"/>
        <w:rPr>
          <w:rFonts w:ascii="Arial" w:cs="Arial" w:eastAsia="Arial" w:hAnsi="Arial"/>
          <w:sz w:val="18"/>
          <w:szCs w:val="18"/>
          <w:color w:val="auto"/>
        </w:rPr>
      </w:pPr>
    </w:p>
    <w:p>
      <w:pPr>
        <w:ind w:left="180" w:hanging="107"/>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5"/>
          <w:szCs w:val="15"/>
          <w:color w:val="auto"/>
        </w:rPr>
        <w:t>Independent auditor's qualifications and independence;</w:t>
      </w:r>
    </w:p>
    <w:p>
      <w:pPr>
        <w:spacing w:after="0" w:line="29" w:lineRule="exact"/>
        <w:rPr>
          <w:rFonts w:ascii="Arial" w:cs="Arial" w:eastAsia="Arial" w:hAnsi="Arial"/>
          <w:sz w:val="18"/>
          <w:szCs w:val="18"/>
          <w:color w:val="auto"/>
        </w:rPr>
      </w:pPr>
    </w:p>
    <w:p>
      <w:pPr>
        <w:ind w:left="200" w:right="6220" w:hanging="127"/>
        <w:spacing w:after="0" w:line="258"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5"/>
          <w:szCs w:val="15"/>
          <w:color w:val="auto"/>
        </w:rPr>
        <w:t>Performance of the Company's internal audit function and the independent auditors; and</w:t>
      </w:r>
    </w:p>
    <w:p>
      <w:pPr>
        <w:spacing w:after="0" w:line="11" w:lineRule="exact"/>
        <w:rPr>
          <w:rFonts w:ascii="Arial" w:cs="Arial" w:eastAsia="Arial" w:hAnsi="Arial"/>
          <w:sz w:val="18"/>
          <w:szCs w:val="18"/>
          <w:color w:val="auto"/>
        </w:rPr>
      </w:pPr>
    </w:p>
    <w:p>
      <w:pPr>
        <w:ind w:left="180" w:hanging="107"/>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5"/>
          <w:szCs w:val="15"/>
          <w:color w:val="auto"/>
        </w:rPr>
        <w:t>Company's compliance with legal and regulatory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In carrying out these responsibilities, the Audit Committee, among other things:</w:t>
      </w:r>
    </w:p>
    <w:p>
      <w:pPr>
        <w:spacing w:after="0" w:line="247" w:lineRule="exact"/>
        <w:rPr>
          <w:sz w:val="20"/>
          <w:szCs w:val="20"/>
          <w:color w:val="auto"/>
        </w:rPr>
      </w:pPr>
    </w:p>
    <w:p>
      <w:pPr>
        <w:ind w:left="180" w:hanging="107"/>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5"/>
          <w:szCs w:val="15"/>
          <w:color w:val="auto"/>
        </w:rPr>
        <w:t>Appoints the independent auditor for the purpose of preparing and issuing an audit</w:t>
      </w:r>
    </w:p>
    <w:p>
      <w:pPr>
        <w:spacing w:after="0" w:line="29" w:lineRule="exact"/>
        <w:rPr>
          <w:rFonts w:ascii="Arial" w:cs="Arial" w:eastAsia="Arial" w:hAnsi="Arial"/>
          <w:sz w:val="18"/>
          <w:szCs w:val="18"/>
          <w:color w:val="auto"/>
        </w:rPr>
      </w:pPr>
    </w:p>
    <w:p>
      <w:pPr>
        <w:ind w:left="200" w:right="5800"/>
        <w:spacing w:after="0" w:line="283" w:lineRule="auto"/>
        <w:rPr>
          <w:rFonts w:ascii="Arial" w:cs="Arial" w:eastAsia="Arial" w:hAnsi="Arial"/>
          <w:sz w:val="18"/>
          <w:szCs w:val="18"/>
          <w:color w:val="auto"/>
        </w:rPr>
      </w:pPr>
      <w:r>
        <w:rPr>
          <w:rFonts w:ascii="Arial" w:cs="Arial" w:eastAsia="Arial" w:hAnsi="Arial"/>
          <w:sz w:val="15"/>
          <w:szCs w:val="15"/>
          <w:color w:val="auto"/>
        </w:rPr>
        <w:t>report and to perform related work, and discusses with the independent auditor appropriate staffing and compensation;</w:t>
      </w:r>
    </w:p>
    <w:p>
      <w:pPr>
        <w:spacing w:after="0" w:line="13" w:lineRule="exact"/>
        <w:rPr>
          <w:rFonts w:ascii="Arial" w:cs="Arial" w:eastAsia="Arial" w:hAnsi="Arial"/>
          <w:sz w:val="18"/>
          <w:szCs w:val="18"/>
          <w:color w:val="auto"/>
        </w:rPr>
      </w:pPr>
    </w:p>
    <w:p>
      <w:pPr>
        <w:ind w:left="180" w:hanging="107"/>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5"/>
          <w:szCs w:val="15"/>
          <w:color w:val="auto"/>
        </w:rPr>
        <w:t>Retains, to the extent it deems necessary or appropriate, independent legal, accounting</w:t>
      </w:r>
    </w:p>
    <w:p>
      <w:pPr>
        <w:sectPr>
          <w:pgSz w:w="11900" w:h="16893" w:orient="portrait"/>
          <w:cols w:equalWidth="0" w:num="1">
            <w:col w:w="11420"/>
          </w:cols>
          <w:pgMar w:left="240" w:top="132" w:right="239" w:bottom="0" w:gutter="0" w:footer="0" w:header="0"/>
        </w:sectPr>
      </w:pPr>
    </w:p>
    <w:bookmarkStart w:id="6" w:name="page7"/>
    <w:bookmarkEnd w:id="6"/>
    <w:p>
      <w:pPr>
        <w:spacing w:after="0" w:line="20" w:lineRule="exact"/>
        <w:rPr>
          <w:sz w:val="20"/>
          <w:szCs w:val="20"/>
          <w:color w:val="auto"/>
        </w:rPr>
      </w:pPr>
    </w:p>
    <w:p>
      <w:pPr>
        <w:ind w:left="168"/>
        <w:spacing w:after="0"/>
        <w:rPr>
          <w:sz w:val="20"/>
          <w:szCs w:val="20"/>
          <w:color w:val="auto"/>
        </w:rPr>
      </w:pPr>
      <w:r>
        <w:rPr>
          <w:rFonts w:ascii="Arial" w:cs="Arial" w:eastAsia="Arial" w:hAnsi="Arial"/>
          <w:sz w:val="15"/>
          <w:szCs w:val="15"/>
          <w:color w:val="auto"/>
        </w:rPr>
        <w:t>or other advisors;</w:t>
      </w:r>
    </w:p>
    <w:p>
      <w:pPr>
        <w:spacing w:after="0" w:line="46" w:lineRule="exact"/>
        <w:rPr>
          <w:sz w:val="20"/>
          <w:szCs w:val="20"/>
          <w:color w:val="auto"/>
        </w:rPr>
      </w:pPr>
    </w:p>
    <w:p>
      <w:pPr>
        <w:ind w:left="128" w:right="6200" w:hanging="47"/>
        <w:spacing w:after="0" w:line="280"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5"/>
          <w:szCs w:val="15"/>
          <w:color w:val="auto"/>
        </w:rPr>
        <w:t>Oversees management's implementation of systems of internal controls, including review of policies relating to legal and regulatory compliance, ethics and conflicts of interests; and reviews the activities and recommendations of the Company's internal auditing program;</w:t>
      </w:r>
    </w:p>
    <w:p>
      <w:pPr>
        <w:spacing w:after="0" w:line="29" w:lineRule="exact"/>
        <w:rPr>
          <w:rFonts w:ascii="Arial" w:cs="Arial" w:eastAsia="Arial" w:hAnsi="Arial"/>
          <w:sz w:val="18"/>
          <w:szCs w:val="18"/>
          <w:color w:val="auto"/>
        </w:rPr>
      </w:pPr>
    </w:p>
    <w:p>
      <w:pPr>
        <w:ind w:left="128" w:right="5860" w:hanging="47"/>
        <w:spacing w:after="0" w:line="311" w:lineRule="auto"/>
        <w:tabs>
          <w:tab w:leader="none" w:pos="188" w:val="left"/>
        </w:tabs>
        <w:numPr>
          <w:ilvl w:val="0"/>
          <w:numId w:val="13"/>
        </w:numPr>
        <w:rPr>
          <w:rFonts w:ascii="Arial" w:cs="Arial" w:eastAsia="Arial" w:hAnsi="Arial"/>
          <w:sz w:val="16"/>
          <w:szCs w:val="16"/>
          <w:color w:val="auto"/>
        </w:rPr>
      </w:pPr>
      <w:r>
        <w:rPr>
          <w:rFonts w:ascii="Arial" w:cs="Arial" w:eastAsia="Arial" w:hAnsi="Arial"/>
          <w:sz w:val="13"/>
          <w:szCs w:val="13"/>
          <w:color w:val="auto"/>
        </w:rPr>
        <w:t>Monitors the preparation of quarterly and annual financial reports by the Company's management, including discussions with management and the Company's outside auditors about draft annual financial statements and key accounting and reporting matters;</w:t>
      </w:r>
    </w:p>
    <w:p>
      <w:pPr>
        <w:spacing w:after="0" w:line="30" w:lineRule="exact"/>
        <w:rPr>
          <w:rFonts w:ascii="Arial" w:cs="Arial" w:eastAsia="Arial" w:hAnsi="Arial"/>
          <w:sz w:val="16"/>
          <w:szCs w:val="16"/>
          <w:color w:val="auto"/>
        </w:rPr>
      </w:pPr>
    </w:p>
    <w:p>
      <w:pPr>
        <w:ind w:left="168" w:right="5940" w:hanging="87"/>
        <w:spacing w:after="0" w:line="314" w:lineRule="auto"/>
        <w:tabs>
          <w:tab w:leader="none" w:pos="191" w:val="left"/>
        </w:tabs>
        <w:numPr>
          <w:ilvl w:val="0"/>
          <w:numId w:val="13"/>
        </w:numPr>
        <w:rPr>
          <w:rFonts w:ascii="Arial" w:cs="Arial" w:eastAsia="Arial" w:hAnsi="Arial"/>
          <w:sz w:val="16"/>
          <w:szCs w:val="16"/>
          <w:color w:val="auto"/>
        </w:rPr>
      </w:pPr>
      <w:r>
        <w:rPr>
          <w:rFonts w:ascii="Arial" w:cs="Arial" w:eastAsia="Arial" w:hAnsi="Arial"/>
          <w:sz w:val="13"/>
          <w:szCs w:val="13"/>
          <w:color w:val="auto"/>
        </w:rPr>
        <w:t xml:space="preserve">Determines whether the outside auditors are independent (based in part on the annual letter provided to the Company pursuant to </w:t>
      </w:r>
      <w:r>
        <w:rPr>
          <w:rFonts w:ascii="Arial" w:cs="Arial" w:eastAsia="Arial" w:hAnsi="Arial"/>
          <w:sz w:val="13"/>
          <w:szCs w:val="13"/>
          <w:i w:val="1"/>
          <w:iCs w:val="1"/>
          <w:color w:val="auto"/>
        </w:rPr>
        <w:t>Independence Standards Board Standard No.</w:t>
      </w:r>
    </w:p>
    <w:p>
      <w:pPr>
        <w:spacing w:after="0" w:line="1" w:lineRule="exact"/>
        <w:rPr>
          <w:sz w:val="20"/>
          <w:szCs w:val="20"/>
          <w:color w:val="auto"/>
        </w:rPr>
      </w:pPr>
    </w:p>
    <w:p>
      <w:pPr>
        <w:ind w:left="128"/>
        <w:spacing w:after="0"/>
        <w:rPr>
          <w:sz w:val="20"/>
          <w:szCs w:val="20"/>
          <w:color w:val="auto"/>
        </w:rPr>
      </w:pPr>
      <w:r>
        <w:rPr>
          <w:rFonts w:ascii="Arial" w:cs="Arial" w:eastAsia="Arial" w:hAnsi="Arial"/>
          <w:sz w:val="15"/>
          <w:szCs w:val="15"/>
          <w:i w:val="1"/>
          <w:iCs w:val="1"/>
          <w:color w:val="auto"/>
        </w:rPr>
        <w:t>1</w:t>
      </w:r>
      <w:r>
        <w:rPr>
          <w:rFonts w:ascii="Arial" w:cs="Arial" w:eastAsia="Arial" w:hAnsi="Arial"/>
          <w:sz w:val="15"/>
          <w:szCs w:val="15"/>
          <w:color w:val="auto"/>
        </w:rPr>
        <w:t>); and</w:t>
      </w:r>
    </w:p>
    <w:p>
      <w:pPr>
        <w:spacing w:after="0" w:line="46" w:lineRule="exact"/>
        <w:rPr>
          <w:sz w:val="20"/>
          <w:szCs w:val="20"/>
          <w:color w:val="auto"/>
        </w:rPr>
      </w:pPr>
    </w:p>
    <w:p>
      <w:pPr>
        <w:ind w:left="208" w:right="6080" w:hanging="127"/>
        <w:spacing w:after="0" w:line="279" w:lineRule="auto"/>
        <w:tabs>
          <w:tab w:leader="none" w:pos="194" w:val="left"/>
        </w:tabs>
        <w:numPr>
          <w:ilvl w:val="0"/>
          <w:numId w:val="14"/>
        </w:numPr>
        <w:rPr>
          <w:rFonts w:ascii="Arial" w:cs="Arial" w:eastAsia="Arial" w:hAnsi="Arial"/>
          <w:sz w:val="18"/>
          <w:szCs w:val="18"/>
          <w:color w:val="auto"/>
        </w:rPr>
      </w:pPr>
      <w:r>
        <w:rPr>
          <w:rFonts w:ascii="Arial" w:cs="Arial" w:eastAsia="Arial" w:hAnsi="Arial"/>
          <w:sz w:val="15"/>
          <w:szCs w:val="15"/>
          <w:color w:val="auto"/>
        </w:rPr>
        <w:t>Annually reviews management's programs to monitor compliance with the Company's Guidelines for Business Conduct and Ethics.</w:t>
      </w:r>
    </w:p>
    <w:p>
      <w:pPr>
        <w:spacing w:after="0" w:line="399" w:lineRule="exact"/>
        <w:rPr>
          <w:sz w:val="20"/>
          <w:szCs w:val="20"/>
          <w:color w:val="auto"/>
        </w:rPr>
      </w:pPr>
    </w:p>
    <w:p>
      <w:pPr>
        <w:ind w:left="28"/>
        <w:spacing w:after="0"/>
        <w:rPr>
          <w:sz w:val="20"/>
          <w:szCs w:val="20"/>
          <w:color w:val="auto"/>
        </w:rPr>
      </w:pPr>
      <w:r>
        <w:rPr>
          <w:rFonts w:ascii="Arial" w:cs="Arial" w:eastAsia="Arial" w:hAnsi="Arial"/>
          <w:sz w:val="15"/>
          <w:szCs w:val="15"/>
          <w:i w:val="1"/>
          <w:iCs w:val="1"/>
          <w:color w:val="auto"/>
        </w:rPr>
        <w:t>Finance Committee</w:t>
      </w:r>
    </w:p>
    <w:p>
      <w:pPr>
        <w:spacing w:after="0" w:line="230" w:lineRule="exact"/>
        <w:rPr>
          <w:sz w:val="20"/>
          <w:szCs w:val="20"/>
          <w:color w:val="auto"/>
        </w:rPr>
      </w:pPr>
    </w:p>
    <w:p>
      <w:pPr>
        <w:ind w:left="8" w:right="80"/>
        <w:spacing w:after="0" w:line="268" w:lineRule="auto"/>
        <w:rPr>
          <w:sz w:val="20"/>
          <w:szCs w:val="20"/>
          <w:color w:val="auto"/>
        </w:rPr>
      </w:pPr>
      <w:r>
        <w:rPr>
          <w:rFonts w:ascii="Arial" w:cs="Arial" w:eastAsia="Arial" w:hAnsi="Arial"/>
          <w:sz w:val="15"/>
          <w:szCs w:val="15"/>
          <w:color w:val="auto"/>
        </w:rPr>
        <w:t>The Finance Committee is appointed by the Board of Directors of the Company to assist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94" w:lineRule="exact"/>
        <w:rPr>
          <w:sz w:val="20"/>
          <w:szCs w:val="20"/>
          <w:color w:val="auto"/>
        </w:rPr>
      </w:pPr>
    </w:p>
    <w:p>
      <w:pPr>
        <w:ind w:left="28"/>
        <w:spacing w:after="0"/>
        <w:rPr>
          <w:sz w:val="20"/>
          <w:szCs w:val="20"/>
          <w:color w:val="auto"/>
        </w:rPr>
      </w:pPr>
      <w:r>
        <w:rPr>
          <w:rFonts w:ascii="Arial" w:cs="Arial" w:eastAsia="Arial" w:hAnsi="Arial"/>
          <w:sz w:val="15"/>
          <w:szCs w:val="15"/>
          <w:i w:val="1"/>
          <w:iCs w:val="1"/>
          <w:color w:val="auto"/>
        </w:rPr>
        <w:t>Nominating and Governance Committee</w:t>
      </w:r>
    </w:p>
    <w:p>
      <w:pPr>
        <w:spacing w:after="0" w:line="230" w:lineRule="exact"/>
        <w:rPr>
          <w:sz w:val="20"/>
          <w:szCs w:val="20"/>
          <w:color w:val="auto"/>
        </w:rPr>
      </w:pPr>
    </w:p>
    <w:p>
      <w:pPr>
        <w:ind w:left="8" w:right="20"/>
        <w:spacing w:after="0" w:line="268" w:lineRule="auto"/>
        <w:rPr>
          <w:sz w:val="20"/>
          <w:szCs w:val="20"/>
          <w:color w:val="auto"/>
        </w:rPr>
      </w:pPr>
      <w:r>
        <w:rPr>
          <w:rFonts w:ascii="Arial" w:cs="Arial" w:eastAsia="Arial" w:hAnsi="Arial"/>
          <w:sz w:val="15"/>
          <w:szCs w:val="15"/>
          <w:color w:val="auto"/>
        </w:rPr>
        <w:t>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83"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recommendations to the Board as appropriate. The charter of the Nominating and Governance Committee is available on the Company's website, </w:t>
      </w:r>
      <w:r>
        <w:rPr>
          <w:rFonts w:ascii="Arial" w:cs="Arial" w:eastAsia="Arial" w:hAnsi="Arial"/>
          <w:sz w:val="15"/>
          <w:szCs w:val="15"/>
          <w:u w:val="single" w:color="auto"/>
          <w:color w:val="auto"/>
        </w:rPr>
        <w:t>www.twindisc.com</w:t>
      </w:r>
      <w:r>
        <w:rPr>
          <w:rFonts w:ascii="Arial" w:cs="Arial" w:eastAsia="Arial" w:hAnsi="Arial"/>
          <w:sz w:val="15"/>
          <w:szCs w:val="15"/>
          <w:color w:val="auto"/>
        </w:rPr>
        <w:t>.</w:t>
      </w:r>
    </w:p>
    <w:p>
      <w:pPr>
        <w:spacing w:after="0" w:line="196" w:lineRule="exact"/>
        <w:rPr>
          <w:sz w:val="20"/>
          <w:szCs w:val="20"/>
          <w:color w:val="auto"/>
        </w:rPr>
      </w:pPr>
    </w:p>
    <w:p>
      <w:pPr>
        <w:ind w:left="8" w:right="400"/>
        <w:spacing w:after="0" w:line="279" w:lineRule="auto"/>
        <w:rPr>
          <w:sz w:val="20"/>
          <w:szCs w:val="20"/>
          <w:color w:val="auto"/>
        </w:rPr>
      </w:pPr>
      <w:r>
        <w:rPr>
          <w:rFonts w:ascii="Arial" w:cs="Arial" w:eastAsia="Arial" w:hAnsi="Arial"/>
          <w:sz w:val="15"/>
          <w:szCs w:val="15"/>
          <w:color w:val="auto"/>
        </w:rPr>
        <w:t>In October of each year, the Board selects members of the Nominating and Governance Committee for the coming year. The independence of the Committee is in compliance with SEC regulations, the listing standards of the NASDAQ Stock Market and the Company's Guidelines for Corporate Governance.</w:t>
      </w:r>
    </w:p>
    <w:p>
      <w:pPr>
        <w:spacing w:after="0" w:line="194" w:lineRule="exact"/>
        <w:rPr>
          <w:sz w:val="20"/>
          <w:szCs w:val="20"/>
          <w:color w:val="auto"/>
        </w:rPr>
      </w:pPr>
    </w:p>
    <w:p>
      <w:pPr>
        <w:ind w:left="488"/>
        <w:spacing w:after="0"/>
        <w:rPr>
          <w:sz w:val="20"/>
          <w:szCs w:val="20"/>
          <w:color w:val="auto"/>
        </w:rPr>
      </w:pPr>
      <w:r>
        <w:rPr>
          <w:rFonts w:ascii="Arial" w:cs="Arial" w:eastAsia="Arial" w:hAnsi="Arial"/>
          <w:sz w:val="15"/>
          <w:szCs w:val="15"/>
          <w:b w:val="1"/>
          <w:bCs w:val="1"/>
          <w:color w:val="auto"/>
        </w:rPr>
        <w:t>Selection of Nominees for the Board</w:t>
      </w:r>
    </w:p>
    <w:p>
      <w:pPr>
        <w:spacing w:after="0" w:line="246" w:lineRule="exact"/>
        <w:rPr>
          <w:sz w:val="20"/>
          <w:szCs w:val="20"/>
          <w:color w:val="auto"/>
        </w:rPr>
      </w:pPr>
    </w:p>
    <w:p>
      <w:pPr>
        <w:ind w:left="8"/>
        <w:spacing w:after="0" w:line="327" w:lineRule="auto"/>
        <w:rPr>
          <w:sz w:val="20"/>
          <w:szCs w:val="20"/>
          <w:color w:val="auto"/>
        </w:rPr>
      </w:pPr>
      <w:r>
        <w:rPr>
          <w:rFonts w:ascii="Arial" w:cs="Arial" w:eastAsia="Arial" w:hAnsi="Arial"/>
          <w:sz w:val="13"/>
          <w:szCs w:val="13"/>
          <w:color w:val="auto"/>
        </w:rPr>
        <w:t xml:space="preserve">The Nominating and Goverance Committee shall identify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by stockholders. The procedures for recommendation of nominees by stockholders is available on the Company’s web site, </w:t>
      </w:r>
      <w:r>
        <w:rPr>
          <w:rFonts w:ascii="Arial" w:cs="Arial" w:eastAsia="Arial" w:hAnsi="Arial"/>
          <w:sz w:val="13"/>
          <w:szCs w:val="13"/>
          <w:u w:val="single" w:color="auto"/>
          <w:color w:val="auto"/>
        </w:rPr>
        <w:t>www.twindisc.com</w:t>
      </w:r>
      <w:r>
        <w:rPr>
          <w:rFonts w:ascii="Arial" w:cs="Arial" w:eastAsia="Arial" w:hAnsi="Arial"/>
          <w:sz w:val="13"/>
          <w:szCs w:val="13"/>
          <w:color w:val="auto"/>
        </w:rPr>
        <w:t>.</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5"/>
          <w:szCs w:val="15"/>
          <w:color w:val="auto"/>
        </w:rPr>
        <w:t>Stockholders, in submitting recommendations to the Committee for director candidates, shall follow the following procedures:</w:t>
      </w:r>
    </w:p>
    <w:p>
      <w:pPr>
        <w:spacing w:after="0" w:line="207" w:lineRule="exact"/>
        <w:rPr>
          <w:sz w:val="20"/>
          <w:szCs w:val="20"/>
          <w:color w:val="auto"/>
        </w:rPr>
      </w:pPr>
    </w:p>
    <w:p>
      <w:pPr>
        <w:ind w:left="348" w:right="4440" w:hanging="348"/>
        <w:spacing w:after="0" w:line="181" w:lineRule="auto"/>
        <w:tabs>
          <w:tab w:leader="none" w:pos="348" w:val="left"/>
        </w:tabs>
        <w:numPr>
          <w:ilvl w:val="0"/>
          <w:numId w:val="15"/>
        </w:numPr>
        <w:rPr>
          <w:rFonts w:ascii="Arial" w:cs="Arial" w:eastAsia="Arial" w:hAnsi="Arial"/>
          <w:sz w:val="29"/>
          <w:szCs w:val="29"/>
          <w:color w:val="auto"/>
          <w:vertAlign w:val="superscript"/>
        </w:rPr>
      </w:pPr>
      <w:r>
        <w:rPr>
          <w:rFonts w:ascii="Arial" w:cs="Arial" w:eastAsia="Arial" w:hAnsi="Arial"/>
          <w:sz w:val="15"/>
          <w:szCs w:val="15"/>
          <w:color w:val="auto"/>
        </w:rPr>
        <w:t>The Committee must receive any such recommendation for nomination by a date not later than the 80</w:t>
      </w:r>
      <w:r>
        <w:rPr>
          <w:rFonts w:ascii="Arial" w:cs="Arial" w:eastAsia="Arial" w:hAnsi="Arial"/>
          <w:sz w:val="28"/>
          <w:szCs w:val="28"/>
          <w:color w:val="auto"/>
          <w:vertAlign w:val="superscript"/>
        </w:rPr>
        <w:t>th</w:t>
      </w:r>
      <w:r>
        <w:rPr>
          <w:rFonts w:ascii="Arial" w:cs="Arial" w:eastAsia="Arial" w:hAnsi="Arial"/>
          <w:sz w:val="15"/>
          <w:szCs w:val="15"/>
          <w:color w:val="auto"/>
        </w:rPr>
        <w:t xml:space="preserve"> calendar day before the date the Corporation's proxy statement was released to stockholders in connection with the previous year's annual meeting.</w:t>
      </w:r>
    </w:p>
    <w:p>
      <w:pPr>
        <w:spacing w:after="0" w:line="285" w:lineRule="exact"/>
        <w:rPr>
          <w:rFonts w:ascii="Arial" w:cs="Arial" w:eastAsia="Arial" w:hAnsi="Arial"/>
          <w:sz w:val="29"/>
          <w:szCs w:val="29"/>
          <w:color w:val="auto"/>
          <w:vertAlign w:val="superscript"/>
        </w:rPr>
      </w:pPr>
    </w:p>
    <w:p>
      <w:pPr>
        <w:ind w:left="348" w:hanging="348"/>
        <w:spacing w:after="0"/>
        <w:tabs>
          <w:tab w:leader="none" w:pos="3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Such recommendation for nomination shall be in writing and shall include the following information:</w:t>
      </w:r>
    </w:p>
    <w:p>
      <w:pPr>
        <w:spacing w:after="0" w:line="311" w:lineRule="exact"/>
        <w:rPr>
          <w:rFonts w:ascii="Arial" w:cs="Arial" w:eastAsia="Arial" w:hAnsi="Arial"/>
          <w:sz w:val="15"/>
          <w:szCs w:val="15"/>
          <w:color w:val="auto"/>
        </w:rPr>
      </w:pPr>
    </w:p>
    <w:p>
      <w:pPr>
        <w:ind w:left="768" w:hanging="423"/>
        <w:spacing w:after="0"/>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Name of the Stockholder, whether an entity or an individual, making the recommendation;</w:t>
      </w:r>
    </w:p>
    <w:p>
      <w:pPr>
        <w:spacing w:after="0" w:line="311" w:lineRule="exact"/>
        <w:rPr>
          <w:rFonts w:ascii="Arial" w:cs="Arial" w:eastAsia="Arial" w:hAnsi="Arial"/>
          <w:sz w:val="15"/>
          <w:szCs w:val="15"/>
          <w:color w:val="auto"/>
        </w:rPr>
      </w:pPr>
    </w:p>
    <w:p>
      <w:pPr>
        <w:ind w:left="768" w:hanging="423"/>
        <w:spacing w:after="0"/>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A written statement disclosing such stockholder’s beneficial ownership of the Corporation's securities;</w:t>
      </w:r>
    </w:p>
    <w:p>
      <w:pPr>
        <w:spacing w:after="0" w:line="311" w:lineRule="exact"/>
        <w:rPr>
          <w:rFonts w:ascii="Arial" w:cs="Arial" w:eastAsia="Arial" w:hAnsi="Arial"/>
          <w:sz w:val="15"/>
          <w:szCs w:val="15"/>
          <w:color w:val="auto"/>
        </w:rPr>
      </w:pPr>
    </w:p>
    <w:p>
      <w:pPr>
        <w:ind w:left="768" w:hanging="423"/>
        <w:spacing w:after="0"/>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Name of the individual recommended for consideration as a director nominee;</w:t>
      </w:r>
    </w:p>
    <w:p>
      <w:pPr>
        <w:spacing w:after="0" w:line="299" w:lineRule="exact"/>
        <w:rPr>
          <w:rFonts w:ascii="Arial" w:cs="Arial" w:eastAsia="Arial" w:hAnsi="Arial"/>
          <w:sz w:val="15"/>
          <w:szCs w:val="15"/>
          <w:color w:val="auto"/>
        </w:rPr>
      </w:pPr>
    </w:p>
    <w:p>
      <w:pPr>
        <w:ind w:left="768" w:right="4520" w:hanging="423"/>
        <w:spacing w:after="0" w:line="279" w:lineRule="auto"/>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A written statement from the stockholder making the recommendation stating why such recommended candidate would be able to fulfill the duties of a director;</w:t>
      </w:r>
    </w:p>
    <w:p>
      <w:pPr>
        <w:spacing w:after="0" w:line="243" w:lineRule="exact"/>
        <w:rPr>
          <w:rFonts w:ascii="Arial" w:cs="Arial" w:eastAsia="Arial" w:hAnsi="Arial"/>
          <w:sz w:val="15"/>
          <w:szCs w:val="15"/>
          <w:color w:val="auto"/>
        </w:rPr>
      </w:pPr>
    </w:p>
    <w:p>
      <w:pPr>
        <w:ind w:left="768" w:right="4600" w:hanging="423"/>
        <w:spacing w:after="0" w:line="268" w:lineRule="auto"/>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A written statement from the stockholder making the recommendation stating how the recommended candidate meets the independence requirements established by the SEC and the NASDAQ Stock Market;</w:t>
      </w:r>
    </w:p>
    <w:p>
      <w:pPr>
        <w:spacing w:after="0" w:line="262" w:lineRule="exact"/>
        <w:rPr>
          <w:rFonts w:ascii="Arial" w:cs="Arial" w:eastAsia="Arial" w:hAnsi="Arial"/>
          <w:sz w:val="15"/>
          <w:szCs w:val="15"/>
          <w:color w:val="auto"/>
        </w:rPr>
      </w:pPr>
    </w:p>
    <w:p>
      <w:pPr>
        <w:ind w:left="768" w:right="4520" w:hanging="423"/>
        <w:spacing w:after="0" w:line="279" w:lineRule="auto"/>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A written statement disclosing the recommended candidate's beneficial ownership of the Corporation's securities; and</w:t>
      </w:r>
    </w:p>
    <w:p>
      <w:pPr>
        <w:spacing w:after="0" w:line="266" w:lineRule="exact"/>
        <w:rPr>
          <w:rFonts w:ascii="Arial" w:cs="Arial" w:eastAsia="Arial" w:hAnsi="Arial"/>
          <w:sz w:val="15"/>
          <w:szCs w:val="15"/>
          <w:color w:val="auto"/>
        </w:rPr>
      </w:pPr>
    </w:p>
    <w:p>
      <w:pPr>
        <w:ind w:left="768" w:right="4540" w:hanging="423"/>
        <w:spacing w:after="0" w:line="279" w:lineRule="auto"/>
        <w:tabs>
          <w:tab w:leader="none" w:pos="7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A written statement disclosing relationships between the recommended candidate and the Corporation which may constitute a conflict of interest.</w:t>
      </w:r>
    </w:p>
    <w:p>
      <w:pPr>
        <w:spacing w:after="0" w:line="278" w:lineRule="exact"/>
        <w:rPr>
          <w:rFonts w:ascii="Arial" w:cs="Arial" w:eastAsia="Arial" w:hAnsi="Arial"/>
          <w:sz w:val="15"/>
          <w:szCs w:val="15"/>
          <w:color w:val="auto"/>
        </w:rPr>
      </w:pPr>
    </w:p>
    <w:p>
      <w:pPr>
        <w:ind w:left="348" w:hanging="348"/>
        <w:spacing w:after="0"/>
        <w:tabs>
          <w:tab w:leader="none" w:pos="3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Nominations may be sent to the attention of the Committee via the method listed below:</w:t>
      </w:r>
    </w:p>
    <w:p>
      <w:pPr>
        <w:spacing w:after="0" w:line="200" w:lineRule="exact"/>
        <w:rPr>
          <w:sz w:val="20"/>
          <w:szCs w:val="20"/>
          <w:color w:val="auto"/>
        </w:rPr>
      </w:pPr>
    </w:p>
    <w:p>
      <w:pPr>
        <w:spacing w:after="0" w:line="318" w:lineRule="exact"/>
        <w:rPr>
          <w:sz w:val="20"/>
          <w:szCs w:val="20"/>
          <w:color w:val="auto"/>
        </w:rPr>
      </w:pPr>
    </w:p>
    <w:p>
      <w:pPr>
        <w:ind w:left="908"/>
        <w:spacing w:after="0"/>
        <w:rPr>
          <w:sz w:val="20"/>
          <w:szCs w:val="20"/>
          <w:color w:val="auto"/>
        </w:rPr>
      </w:pPr>
      <w:r>
        <w:rPr>
          <w:rFonts w:ascii="Arial" w:cs="Arial" w:eastAsia="Arial" w:hAnsi="Arial"/>
          <w:sz w:val="15"/>
          <w:szCs w:val="15"/>
          <w:color w:val="auto"/>
        </w:rPr>
        <w:t>U.S. Mail or Expedited Delivery Service:</w:t>
      </w:r>
    </w:p>
    <w:p>
      <w:pPr>
        <w:spacing w:after="0" w:line="219" w:lineRule="exact"/>
        <w:rPr>
          <w:sz w:val="20"/>
          <w:szCs w:val="20"/>
          <w:color w:val="auto"/>
        </w:rPr>
      </w:pPr>
    </w:p>
    <w:p>
      <w:pPr>
        <w:ind w:left="908"/>
        <w:spacing w:after="0"/>
        <w:rPr>
          <w:sz w:val="20"/>
          <w:szCs w:val="20"/>
          <w:color w:val="auto"/>
        </w:rPr>
      </w:pPr>
      <w:r>
        <w:rPr>
          <w:rFonts w:ascii="Arial" w:cs="Arial" w:eastAsia="Arial" w:hAnsi="Arial"/>
          <w:sz w:val="15"/>
          <w:szCs w:val="15"/>
          <w:color w:val="auto"/>
        </w:rPr>
        <w:t>Twin Disc, Incorporated</w:t>
      </w:r>
    </w:p>
    <w:p>
      <w:pPr>
        <w:spacing w:after="0" w:line="17" w:lineRule="exact"/>
        <w:rPr>
          <w:sz w:val="20"/>
          <w:szCs w:val="20"/>
          <w:color w:val="auto"/>
        </w:rPr>
      </w:pPr>
    </w:p>
    <w:p>
      <w:pPr>
        <w:ind w:left="908"/>
        <w:spacing w:after="0"/>
        <w:rPr>
          <w:sz w:val="20"/>
          <w:szCs w:val="20"/>
          <w:color w:val="auto"/>
        </w:rPr>
      </w:pPr>
      <w:r>
        <w:rPr>
          <w:rFonts w:ascii="Arial" w:cs="Arial" w:eastAsia="Arial" w:hAnsi="Arial"/>
          <w:sz w:val="15"/>
          <w:szCs w:val="15"/>
          <w:color w:val="auto"/>
        </w:rPr>
        <w:t>1328 Racine Street</w:t>
      </w:r>
    </w:p>
    <w:p>
      <w:pPr>
        <w:spacing w:after="0" w:line="12" w:lineRule="exact"/>
        <w:rPr>
          <w:sz w:val="20"/>
          <w:szCs w:val="20"/>
          <w:color w:val="auto"/>
        </w:rPr>
      </w:pPr>
    </w:p>
    <w:p>
      <w:pPr>
        <w:ind w:left="908"/>
        <w:spacing w:after="0"/>
        <w:rPr>
          <w:sz w:val="20"/>
          <w:szCs w:val="20"/>
          <w:color w:val="auto"/>
        </w:rPr>
      </w:pPr>
      <w:r>
        <w:rPr>
          <w:rFonts w:ascii="Arial" w:cs="Arial" w:eastAsia="Arial" w:hAnsi="Arial"/>
          <w:sz w:val="15"/>
          <w:szCs w:val="15"/>
          <w:color w:val="auto"/>
        </w:rPr>
        <w:t>Racine, WI 53403</w:t>
      </w:r>
    </w:p>
    <w:p>
      <w:pPr>
        <w:spacing w:after="0" w:line="12" w:lineRule="exact"/>
        <w:rPr>
          <w:sz w:val="20"/>
          <w:szCs w:val="20"/>
          <w:color w:val="auto"/>
        </w:rPr>
      </w:pPr>
    </w:p>
    <w:p>
      <w:pPr>
        <w:ind w:left="908"/>
        <w:spacing w:after="0"/>
        <w:rPr>
          <w:sz w:val="20"/>
          <w:szCs w:val="20"/>
          <w:color w:val="auto"/>
        </w:rPr>
      </w:pPr>
      <w:r>
        <w:rPr>
          <w:rFonts w:ascii="Arial" w:cs="Arial" w:eastAsia="Arial" w:hAnsi="Arial"/>
          <w:sz w:val="15"/>
          <w:szCs w:val="15"/>
          <w:color w:val="auto"/>
        </w:rPr>
        <w:t>Attn: Nominating and Governance Committee</w:t>
      </w:r>
    </w:p>
    <w:p>
      <w:pPr>
        <w:spacing w:after="0" w:line="12" w:lineRule="exact"/>
        <w:rPr>
          <w:sz w:val="20"/>
          <w:szCs w:val="20"/>
          <w:color w:val="auto"/>
        </w:rPr>
      </w:pPr>
    </w:p>
    <w:p>
      <w:pPr>
        <w:ind w:left="908"/>
        <w:spacing w:after="0"/>
        <w:rPr>
          <w:sz w:val="20"/>
          <w:szCs w:val="20"/>
          <w:color w:val="auto"/>
        </w:rPr>
      </w:pPr>
      <w:r>
        <w:rPr>
          <w:rFonts w:ascii="Arial" w:cs="Arial" w:eastAsia="Arial" w:hAnsi="Arial"/>
          <w:sz w:val="15"/>
          <w:szCs w:val="15"/>
          <w:color w:val="auto"/>
        </w:rPr>
        <w:t>c/o Secretary of Twin Disc, Incorporated</w:t>
      </w:r>
    </w:p>
    <w:p>
      <w:pPr>
        <w:sectPr>
          <w:pgSz w:w="11900" w:h="16859" w:orient="portrait"/>
          <w:cols w:equalWidth="0" w:num="1">
            <w:col w:w="11428"/>
          </w:cols>
          <w:pgMar w:left="232" w:top="340" w:right="239" w:bottom="0" w:gutter="0" w:footer="0" w:header="0"/>
        </w:sectPr>
      </w:pPr>
    </w:p>
    <w:bookmarkStart w:id="7" w:name="page8"/>
    <w:bookmarkEnd w:id="7"/>
    <w:p>
      <w:pPr>
        <w:jc w:val="center"/>
        <w:ind w:right="-7"/>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28662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82" w:lineRule="exact"/>
        <w:rPr>
          <w:sz w:val="20"/>
          <w:szCs w:val="20"/>
          <w:color w:val="auto"/>
        </w:rPr>
      </w:pPr>
    </w:p>
    <w:p>
      <w:pPr>
        <w:ind w:left="8" w:right="200"/>
        <w:spacing w:after="0" w:line="317" w:lineRule="auto"/>
        <w:rPr>
          <w:sz w:val="20"/>
          <w:szCs w:val="20"/>
          <w:color w:val="auto"/>
        </w:rPr>
      </w:pPr>
      <w:r>
        <w:rPr>
          <w:rFonts w:ascii="Arial" w:cs="Arial" w:eastAsia="Arial" w:hAnsi="Arial"/>
          <w:sz w:val="13"/>
          <w:szCs w:val="13"/>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 There shall be no difference in the manner by which the Committee evaluates director nominees, whether nominated by the Board or by a nominating stockholder.</w:t>
      </w:r>
    </w:p>
    <w:p>
      <w:pPr>
        <w:spacing w:after="0" w:line="131" w:lineRule="exact"/>
        <w:rPr>
          <w:sz w:val="20"/>
          <w:szCs w:val="20"/>
          <w:color w:val="auto"/>
        </w:rPr>
      </w:pPr>
    </w:p>
    <w:p>
      <w:pPr>
        <w:ind w:left="8" w:right="20"/>
        <w:spacing w:after="0" w:line="306" w:lineRule="auto"/>
        <w:rPr>
          <w:sz w:val="20"/>
          <w:szCs w:val="20"/>
          <w:color w:val="auto"/>
        </w:rPr>
      </w:pPr>
      <w:r>
        <w:rPr>
          <w:rFonts w:ascii="Arial" w:cs="Arial" w:eastAsia="Arial" w:hAnsi="Arial"/>
          <w:sz w:val="13"/>
          <w:szCs w:val="13"/>
          <w:color w:val="auto"/>
        </w:rPr>
        <w:t>The Corporation evaluates each individual candidate in the context of the overall composition and needs of the Board, with the objective of recommending a group that can best manage the business and affairs of the Corporation and represent Stockholder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shall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74" w:lineRule="exact"/>
        <w:rPr>
          <w:sz w:val="20"/>
          <w:szCs w:val="20"/>
          <w:color w:val="auto"/>
        </w:rPr>
      </w:pPr>
    </w:p>
    <w:p>
      <w:pPr>
        <w:ind w:left="28"/>
        <w:spacing w:after="0"/>
        <w:rPr>
          <w:sz w:val="20"/>
          <w:szCs w:val="20"/>
          <w:color w:val="auto"/>
        </w:rPr>
      </w:pPr>
      <w:r>
        <w:rPr>
          <w:rFonts w:ascii="Arial" w:cs="Arial" w:eastAsia="Arial" w:hAnsi="Arial"/>
          <w:sz w:val="15"/>
          <w:szCs w:val="15"/>
          <w:i w:val="1"/>
          <w:iCs w:val="1"/>
          <w:color w:val="auto"/>
        </w:rPr>
        <w:t>Compensation Committee</w:t>
      </w:r>
    </w:p>
    <w:p>
      <w:pPr>
        <w:spacing w:after="0" w:line="253" w:lineRule="exact"/>
        <w:rPr>
          <w:sz w:val="20"/>
          <w:szCs w:val="20"/>
          <w:color w:val="auto"/>
        </w:rPr>
      </w:pPr>
    </w:p>
    <w:p>
      <w:pPr>
        <w:jc w:val="both"/>
        <w:ind w:left="8" w:right="200" w:firstLine="230"/>
        <w:spacing w:after="0" w:line="264" w:lineRule="auto"/>
        <w:rPr>
          <w:sz w:val="20"/>
          <w:szCs w:val="20"/>
          <w:color w:val="auto"/>
        </w:rPr>
      </w:pPr>
      <w:r>
        <w:rPr>
          <w:rFonts w:ascii="Arial" w:cs="Arial" w:eastAsia="Arial" w:hAnsi="Arial"/>
          <w:sz w:val="15"/>
          <w:szCs w:val="15"/>
          <w:u w:val="single" w:color="auto"/>
          <w:color w:val="auto"/>
        </w:rPr>
        <w:t>Scope of Authority</w:t>
      </w:r>
      <w:r>
        <w:rPr>
          <w:rFonts w:ascii="Arial" w:cs="Arial" w:eastAsia="Arial" w:hAnsi="Arial"/>
          <w:sz w:val="15"/>
          <w:szCs w:val="15"/>
          <w:color w:val="auto"/>
        </w:rPr>
        <w:t xml:space="preserve"> - The primary purpose of the Compensation Committee is: (i) to assist the Board in discharging its responsibilities in respect to the compensation of the Company's executive officers; (ii) to produce an annual report for inclusion in the Company's proxy statement on executive compensation; and (iii) to lead the process of management succession. The Committee approves the design of, assesses the effectiveness of, and administers executive compensation programs in support of compensation policies of the Company. The charter of the Compensation Committee is available on the Company’s website at </w:t>
      </w:r>
      <w:r>
        <w:rPr>
          <w:rFonts w:ascii="Arial" w:cs="Arial" w:eastAsia="Arial" w:hAnsi="Arial"/>
          <w:sz w:val="15"/>
          <w:szCs w:val="15"/>
          <w:u w:val="single" w:color="auto"/>
          <w:color w:val="auto"/>
        </w:rPr>
        <w:t>www.twindisc.com</w:t>
      </w:r>
      <w:r>
        <w:rPr>
          <w:rFonts w:ascii="Arial" w:cs="Arial" w:eastAsia="Arial" w:hAnsi="Arial"/>
          <w:sz w:val="15"/>
          <w:szCs w:val="15"/>
          <w:color w:val="auto"/>
        </w:rPr>
        <w:t>.</w:t>
      </w:r>
    </w:p>
    <w:p>
      <w:pPr>
        <w:spacing w:after="0" w:line="185" w:lineRule="exact"/>
        <w:rPr>
          <w:sz w:val="20"/>
          <w:szCs w:val="20"/>
          <w:color w:val="auto"/>
        </w:rPr>
      </w:pPr>
    </w:p>
    <w:p>
      <w:pPr>
        <w:ind w:left="8" w:right="40" w:firstLine="230"/>
        <w:spacing w:after="0" w:line="279" w:lineRule="auto"/>
        <w:rPr>
          <w:sz w:val="20"/>
          <w:szCs w:val="20"/>
          <w:color w:val="auto"/>
        </w:rPr>
      </w:pPr>
      <w:r>
        <w:rPr>
          <w:rFonts w:ascii="Arial" w:cs="Arial" w:eastAsia="Arial" w:hAnsi="Arial"/>
          <w:sz w:val="15"/>
          <w:szCs w:val="15"/>
          <w:u w:val="single" w:color="auto"/>
          <w:color w:val="auto"/>
        </w:rPr>
        <w:t>Composition</w:t>
      </w:r>
      <w:r>
        <w:rPr>
          <w:rFonts w:ascii="Arial" w:cs="Arial" w:eastAsia="Arial" w:hAnsi="Arial"/>
          <w:sz w:val="15"/>
          <w:szCs w:val="15"/>
          <w:color w:val="auto"/>
        </w:rPr>
        <w:t xml:space="preserve"> - The Compensation Committee is composed exclusively of non-employee, independent directors none of whom has a business relationship with the Company, other than in their capacity as directors. The Compensation Committee reports to the entire Board.</w:t>
      </w:r>
    </w:p>
    <w:p>
      <w:pPr>
        <w:spacing w:after="0" w:line="175" w:lineRule="exact"/>
        <w:rPr>
          <w:sz w:val="20"/>
          <w:szCs w:val="20"/>
          <w:color w:val="auto"/>
        </w:rPr>
      </w:pPr>
    </w:p>
    <w:p>
      <w:pPr>
        <w:ind w:left="8" w:right="120" w:firstLine="230"/>
        <w:spacing w:after="0" w:line="327" w:lineRule="auto"/>
        <w:rPr>
          <w:sz w:val="20"/>
          <w:szCs w:val="20"/>
          <w:color w:val="auto"/>
        </w:rPr>
      </w:pPr>
      <w:r>
        <w:rPr>
          <w:rFonts w:ascii="Arial" w:cs="Arial" w:eastAsia="Arial" w:hAnsi="Arial"/>
          <w:sz w:val="13"/>
          <w:szCs w:val="13"/>
          <w:u w:val="single" w:color="auto"/>
          <w:color w:val="auto"/>
        </w:rPr>
        <w:t>Role of Consultants</w:t>
      </w:r>
      <w:r>
        <w:rPr>
          <w:rFonts w:ascii="Arial" w:cs="Arial" w:eastAsia="Arial" w:hAnsi="Arial"/>
          <w:sz w:val="13"/>
          <w:szCs w:val="13"/>
          <w:color w:val="auto"/>
        </w:rPr>
        <w:t xml:space="preserve"> - Periodically, the Compensation Committee engages an independent consultant to review its compensation program for the officers of the Company, in order to ensure market competitiveness. During Fiscal 2007, the Compensation Committee engaged Towers Perrin, a global human resources consulting firm, for this review. Towers Perrin provides the Compensation Committee with information regarding market compensation practices and alternatives to consider when making compensation decisions for the executives.</w:t>
      </w:r>
    </w:p>
    <w:p>
      <w:pPr>
        <w:spacing w:after="0" w:line="149" w:lineRule="exact"/>
        <w:rPr>
          <w:sz w:val="20"/>
          <w:szCs w:val="20"/>
          <w:color w:val="auto"/>
        </w:rPr>
      </w:pPr>
    </w:p>
    <w:p>
      <w:pPr>
        <w:ind w:left="8" w:right="40" w:firstLine="230"/>
        <w:spacing w:after="0" w:line="295" w:lineRule="auto"/>
        <w:rPr>
          <w:sz w:val="20"/>
          <w:szCs w:val="20"/>
          <w:color w:val="auto"/>
        </w:rPr>
      </w:pPr>
      <w:r>
        <w:rPr>
          <w:rFonts w:ascii="Arial" w:cs="Arial" w:eastAsia="Arial" w:hAnsi="Arial"/>
          <w:sz w:val="14"/>
          <w:szCs w:val="14"/>
          <w:u w:val="single" w:color="auto"/>
          <w:color w:val="auto"/>
        </w:rPr>
        <w:t>Role of Executive Officers</w:t>
      </w:r>
      <w:r>
        <w:rPr>
          <w:rFonts w:ascii="Arial" w:cs="Arial" w:eastAsia="Arial" w:hAnsi="Arial"/>
          <w:sz w:val="14"/>
          <w:szCs w:val="14"/>
          <w:color w:val="auto"/>
        </w:rPr>
        <w:t xml:space="preserve"> - The Compensation Committee makes all compensation decisions for the Chairman and Chief Executive Officer (Mr. M. Batten) and approves recommendations for compensation actions for all other elected officers of the Company. The Chairman and Chief Executive Officer annually reviews the performance of each elected officer with the Compensation Committee. Recommendations based on these reviews, including those pertaining to salary adjustments, bonus payouts</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83" w:lineRule="exact"/>
        <w:rPr>
          <w:sz w:val="20"/>
          <w:szCs w:val="20"/>
          <w:color w:val="auto"/>
        </w:rPr>
      </w:pPr>
    </w:p>
    <w:p>
      <w:pPr>
        <w:ind w:left="8" w:right="440"/>
        <w:spacing w:after="0" w:line="359" w:lineRule="auto"/>
        <w:rPr>
          <w:sz w:val="20"/>
          <w:szCs w:val="20"/>
          <w:color w:val="auto"/>
        </w:rPr>
      </w:pPr>
      <w:r>
        <w:rPr>
          <w:rFonts w:ascii="Arial" w:cs="Arial" w:eastAsia="Arial" w:hAnsi="Arial"/>
          <w:sz w:val="13"/>
          <w:szCs w:val="13"/>
          <w:color w:val="auto"/>
        </w:rPr>
        <w:t>and equity compensation, are presented to the Compensation Committee, which may exercise its discretion in modifying any of the recommendations presented. The Compensation Committee also reviews the performance of the Chairman and Chief Executive Officer. It alone determines the salary adjustment, bonus payment and equity awards for this individual.</w:t>
      </w:r>
    </w:p>
    <w:p>
      <w:pPr>
        <w:spacing w:after="0" w:line="140" w:lineRule="exact"/>
        <w:rPr>
          <w:sz w:val="20"/>
          <w:szCs w:val="20"/>
          <w:color w:val="auto"/>
        </w:rPr>
      </w:pPr>
    </w:p>
    <w:p>
      <w:pPr>
        <w:ind w:left="28"/>
        <w:spacing w:after="0"/>
        <w:rPr>
          <w:sz w:val="20"/>
          <w:szCs w:val="20"/>
          <w:color w:val="auto"/>
        </w:rPr>
      </w:pPr>
      <w:r>
        <w:rPr>
          <w:rFonts w:ascii="Arial" w:cs="Arial" w:eastAsia="Arial" w:hAnsi="Arial"/>
          <w:sz w:val="15"/>
          <w:szCs w:val="15"/>
          <w:i w:val="1"/>
          <w:iCs w:val="1"/>
          <w:color w:val="auto"/>
        </w:rPr>
        <w:t>Pension Committee</w:t>
      </w:r>
    </w:p>
    <w:p>
      <w:pPr>
        <w:spacing w:after="0" w:line="230" w:lineRule="exact"/>
        <w:rPr>
          <w:sz w:val="20"/>
          <w:szCs w:val="20"/>
          <w:color w:val="auto"/>
        </w:rPr>
      </w:pPr>
    </w:p>
    <w:p>
      <w:pPr>
        <w:ind w:left="8" w:right="220"/>
        <w:spacing w:after="0" w:line="279" w:lineRule="auto"/>
        <w:rPr>
          <w:sz w:val="20"/>
          <w:szCs w:val="20"/>
          <w:color w:val="auto"/>
        </w:rPr>
      </w:pPr>
      <w:r>
        <w:rPr>
          <w:rFonts w:ascii="Arial" w:cs="Arial" w:eastAsia="Arial" w:hAnsi="Arial"/>
          <w:sz w:val="15"/>
          <w:szCs w:val="15"/>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186" w:lineRule="exact"/>
        <w:rPr>
          <w:sz w:val="20"/>
          <w:szCs w:val="20"/>
          <w:color w:val="auto"/>
        </w:rPr>
      </w:pPr>
    </w:p>
    <w:p>
      <w:pPr>
        <w:ind w:left="28"/>
        <w:spacing w:after="0"/>
        <w:rPr>
          <w:sz w:val="20"/>
          <w:szCs w:val="20"/>
          <w:color w:val="auto"/>
        </w:rPr>
      </w:pPr>
      <w:r>
        <w:rPr>
          <w:rFonts w:ascii="Arial" w:cs="Arial" w:eastAsia="Arial" w:hAnsi="Arial"/>
          <w:sz w:val="15"/>
          <w:szCs w:val="15"/>
          <w:i w:val="1"/>
          <w:iCs w:val="1"/>
          <w:color w:val="auto"/>
        </w:rPr>
        <w:t>Committee Membership</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Board’s committees are currently comprised of the following Directors; the Chairman of the Committee is listed first:</w:t>
      </w:r>
    </w:p>
    <w:p>
      <w:pPr>
        <w:spacing w:after="0" w:line="230"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w w:val="92"/>
              </w:rPr>
              <w:t>Nominating</w:t>
            </w:r>
          </w:p>
        </w:tc>
      </w:tr>
      <w:tr>
        <w:trPr>
          <w:trHeight w:val="219"/>
        </w:trPr>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240"/>
              <w:spacing w:after="0"/>
              <w:rPr>
                <w:sz w:val="20"/>
                <w:szCs w:val="20"/>
                <w:color w:val="auto"/>
              </w:rPr>
            </w:pPr>
            <w:r>
              <w:rPr>
                <w:rFonts w:ascii="Arial" w:cs="Arial" w:eastAsia="Arial" w:hAnsi="Arial"/>
                <w:sz w:val="15"/>
                <w:szCs w:val="15"/>
                <w:color w:val="auto"/>
              </w:rPr>
              <w:t>And</w:t>
            </w:r>
          </w:p>
        </w:tc>
      </w:tr>
      <w:tr>
        <w:trPr>
          <w:trHeight w:val="186"/>
        </w:trPr>
        <w:tc>
          <w:tcPr>
            <w:tcW w:w="600" w:type="dxa"/>
            <w:vAlign w:val="bottom"/>
            <w:gridSpan w:val="2"/>
          </w:tcPr>
          <w:p>
            <w:pPr>
              <w:spacing w:after="0"/>
              <w:rPr>
                <w:sz w:val="20"/>
                <w:szCs w:val="20"/>
                <w:color w:val="auto"/>
              </w:rPr>
            </w:pPr>
            <w:r>
              <w:rPr>
                <w:rFonts w:ascii="Arial" w:cs="Arial" w:eastAsia="Arial" w:hAnsi="Arial"/>
                <w:sz w:val="15"/>
                <w:szCs w:val="15"/>
                <w:color w:val="auto"/>
              </w:rPr>
              <w:t>Audit</w:t>
            </w:r>
          </w:p>
        </w:tc>
        <w:tc>
          <w:tcPr>
            <w:tcW w:w="960" w:type="dxa"/>
            <w:vAlign w:val="bottom"/>
            <w:gridSpan w:val="3"/>
          </w:tcPr>
          <w:p>
            <w:pPr>
              <w:ind w:left="80"/>
              <w:spacing w:after="0"/>
              <w:rPr>
                <w:sz w:val="20"/>
                <w:szCs w:val="20"/>
                <w:color w:val="auto"/>
              </w:rPr>
            </w:pPr>
            <w:r>
              <w:rPr>
                <w:rFonts w:ascii="Arial" w:cs="Arial" w:eastAsia="Arial" w:hAnsi="Arial"/>
                <w:sz w:val="15"/>
                <w:szCs w:val="15"/>
                <w:color w:val="auto"/>
              </w:rPr>
              <w:t>Finance</w:t>
            </w:r>
          </w:p>
        </w:tc>
        <w:tc>
          <w:tcPr>
            <w:tcW w:w="740" w:type="dxa"/>
            <w:vAlign w:val="bottom"/>
            <w:gridSpan w:val="2"/>
          </w:tcPr>
          <w:p>
            <w:pPr>
              <w:spacing w:after="0"/>
              <w:rPr>
                <w:sz w:val="20"/>
                <w:szCs w:val="20"/>
                <w:color w:val="auto"/>
              </w:rPr>
            </w:pPr>
            <w:r>
              <w:rPr>
                <w:rFonts w:ascii="Arial" w:cs="Arial" w:eastAsia="Arial" w:hAnsi="Arial"/>
                <w:sz w:val="15"/>
                <w:szCs w:val="15"/>
                <w:color w:val="auto"/>
              </w:rPr>
              <w:t>Pension</w:t>
            </w:r>
          </w:p>
        </w:tc>
        <w:tc>
          <w:tcPr>
            <w:tcW w:w="1160" w:type="dxa"/>
            <w:vAlign w:val="bottom"/>
            <w:gridSpan w:val="3"/>
          </w:tcPr>
          <w:p>
            <w:pPr>
              <w:ind w:left="160"/>
              <w:spacing w:after="0"/>
              <w:rPr>
                <w:sz w:val="20"/>
                <w:szCs w:val="20"/>
                <w:color w:val="auto"/>
              </w:rPr>
            </w:pPr>
            <w:r>
              <w:rPr>
                <w:rFonts w:ascii="Arial" w:cs="Arial" w:eastAsia="Arial" w:hAnsi="Arial"/>
                <w:sz w:val="15"/>
                <w:szCs w:val="15"/>
                <w:color w:val="auto"/>
              </w:rPr>
              <w:t>Compensation</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w w:val="85"/>
              </w:rPr>
              <w:t>Governance</w:t>
            </w:r>
          </w:p>
        </w:tc>
      </w:tr>
      <w:tr>
        <w:trPr>
          <w:trHeight w:val="20"/>
        </w:trPr>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450"/>
        </w:trPr>
        <w:tc>
          <w:tcPr>
            <w:tcW w:w="600" w:type="dxa"/>
            <w:vAlign w:val="bottom"/>
            <w:gridSpan w:val="2"/>
          </w:tcPr>
          <w:p>
            <w:pPr>
              <w:spacing w:after="0"/>
              <w:rPr>
                <w:sz w:val="20"/>
                <w:szCs w:val="20"/>
                <w:color w:val="auto"/>
              </w:rPr>
            </w:pPr>
            <w:r>
              <w:rPr>
                <w:rFonts w:ascii="Arial" w:cs="Arial" w:eastAsia="Arial" w:hAnsi="Arial"/>
                <w:sz w:val="15"/>
                <w:szCs w:val="15"/>
                <w:color w:val="auto"/>
              </w:rPr>
              <w:t>Zimmer</w:t>
            </w:r>
          </w:p>
        </w:tc>
        <w:tc>
          <w:tcPr>
            <w:tcW w:w="960" w:type="dxa"/>
            <w:vAlign w:val="bottom"/>
            <w:gridSpan w:val="3"/>
          </w:tcPr>
          <w:p>
            <w:pPr>
              <w:ind w:left="80"/>
              <w:spacing w:after="0"/>
              <w:rPr>
                <w:sz w:val="20"/>
                <w:szCs w:val="20"/>
                <w:color w:val="auto"/>
              </w:rPr>
            </w:pPr>
            <w:r>
              <w:rPr>
                <w:rFonts w:ascii="Arial" w:cs="Arial" w:eastAsia="Arial" w:hAnsi="Arial"/>
                <w:sz w:val="15"/>
                <w:szCs w:val="15"/>
                <w:color w:val="auto"/>
              </w:rPr>
              <w:t>Mellowes</w:t>
            </w:r>
          </w:p>
        </w:tc>
        <w:tc>
          <w:tcPr>
            <w:tcW w:w="740" w:type="dxa"/>
            <w:vAlign w:val="bottom"/>
            <w:gridSpan w:val="2"/>
          </w:tcPr>
          <w:p>
            <w:pPr>
              <w:spacing w:after="0"/>
              <w:rPr>
                <w:sz w:val="20"/>
                <w:szCs w:val="20"/>
                <w:color w:val="auto"/>
              </w:rPr>
            </w:pPr>
            <w:r>
              <w:rPr>
                <w:rFonts w:ascii="Arial" w:cs="Arial" w:eastAsia="Arial" w:hAnsi="Arial"/>
                <w:sz w:val="15"/>
                <w:szCs w:val="15"/>
                <w:color w:val="auto"/>
              </w:rPr>
              <w:t>Stratton</w:t>
            </w:r>
          </w:p>
        </w:tc>
        <w:tc>
          <w:tcPr>
            <w:tcW w:w="1160" w:type="dxa"/>
            <w:vAlign w:val="bottom"/>
            <w:gridSpan w:val="3"/>
          </w:tcPr>
          <w:p>
            <w:pPr>
              <w:ind w:left="160"/>
              <w:spacing w:after="0"/>
              <w:rPr>
                <w:sz w:val="20"/>
                <w:szCs w:val="20"/>
                <w:color w:val="auto"/>
              </w:rPr>
            </w:pPr>
            <w:r>
              <w:rPr>
                <w:rFonts w:ascii="Arial" w:cs="Arial" w:eastAsia="Arial" w:hAnsi="Arial"/>
                <w:sz w:val="15"/>
                <w:szCs w:val="15"/>
                <w:color w:val="auto"/>
              </w:rPr>
              <w:t>Swift</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Rayburn</w:t>
            </w:r>
          </w:p>
        </w:tc>
      </w:tr>
      <w:tr>
        <w:trPr>
          <w:trHeight w:val="219"/>
        </w:trPr>
        <w:tc>
          <w:tcPr>
            <w:tcW w:w="600" w:type="dxa"/>
            <w:vAlign w:val="bottom"/>
            <w:gridSpan w:val="2"/>
          </w:tcPr>
          <w:p>
            <w:pPr>
              <w:spacing w:after="0"/>
              <w:rPr>
                <w:sz w:val="20"/>
                <w:szCs w:val="20"/>
                <w:color w:val="auto"/>
              </w:rPr>
            </w:pPr>
            <w:r>
              <w:rPr>
                <w:rFonts w:ascii="Arial" w:cs="Arial" w:eastAsia="Arial" w:hAnsi="Arial"/>
                <w:sz w:val="15"/>
                <w:szCs w:val="15"/>
                <w:color w:val="auto"/>
              </w:rPr>
              <w:t>Moore</w:t>
            </w:r>
          </w:p>
        </w:tc>
        <w:tc>
          <w:tcPr>
            <w:tcW w:w="960" w:type="dxa"/>
            <w:vAlign w:val="bottom"/>
            <w:gridSpan w:val="3"/>
          </w:tcPr>
          <w:p>
            <w:pPr>
              <w:ind w:left="80"/>
              <w:spacing w:after="0"/>
              <w:rPr>
                <w:sz w:val="20"/>
                <w:szCs w:val="20"/>
                <w:color w:val="auto"/>
              </w:rPr>
            </w:pPr>
            <w:r>
              <w:rPr>
                <w:rFonts w:ascii="Arial" w:cs="Arial" w:eastAsia="Arial" w:hAnsi="Arial"/>
                <w:sz w:val="15"/>
                <w:szCs w:val="15"/>
                <w:color w:val="auto"/>
              </w:rPr>
              <w:t>Moore</w:t>
            </w:r>
          </w:p>
        </w:tc>
        <w:tc>
          <w:tcPr>
            <w:tcW w:w="740" w:type="dxa"/>
            <w:vAlign w:val="bottom"/>
            <w:gridSpan w:val="2"/>
          </w:tcPr>
          <w:p>
            <w:pPr>
              <w:spacing w:after="0"/>
              <w:rPr>
                <w:sz w:val="20"/>
                <w:szCs w:val="20"/>
                <w:color w:val="auto"/>
              </w:rPr>
            </w:pPr>
            <w:r>
              <w:rPr>
                <w:rFonts w:ascii="Arial" w:cs="Arial" w:eastAsia="Arial" w:hAnsi="Arial"/>
                <w:sz w:val="15"/>
                <w:szCs w:val="15"/>
                <w:color w:val="auto"/>
              </w:rPr>
              <w:t>Mellowes</w:t>
            </w:r>
          </w:p>
        </w:tc>
        <w:tc>
          <w:tcPr>
            <w:tcW w:w="1160" w:type="dxa"/>
            <w:vAlign w:val="bottom"/>
            <w:gridSpan w:val="3"/>
          </w:tcPr>
          <w:p>
            <w:pPr>
              <w:ind w:left="160"/>
              <w:spacing w:after="0"/>
              <w:rPr>
                <w:sz w:val="20"/>
                <w:szCs w:val="20"/>
                <w:color w:val="auto"/>
              </w:rPr>
            </w:pPr>
            <w:r>
              <w:rPr>
                <w:rFonts w:ascii="Arial" w:cs="Arial" w:eastAsia="Arial" w:hAnsi="Arial"/>
                <w:sz w:val="15"/>
                <w:szCs w:val="15"/>
                <w:color w:val="auto"/>
              </w:rPr>
              <w:t>Mellowes</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Stratton</w:t>
            </w:r>
          </w:p>
        </w:tc>
      </w:tr>
      <w:tr>
        <w:trPr>
          <w:trHeight w:val="219"/>
        </w:trPr>
        <w:tc>
          <w:tcPr>
            <w:tcW w:w="600" w:type="dxa"/>
            <w:vAlign w:val="bottom"/>
            <w:gridSpan w:val="2"/>
          </w:tcPr>
          <w:p>
            <w:pPr>
              <w:spacing w:after="0"/>
              <w:rPr>
                <w:sz w:val="20"/>
                <w:szCs w:val="20"/>
                <w:color w:val="auto"/>
              </w:rPr>
            </w:pPr>
            <w:r>
              <w:rPr>
                <w:rFonts w:ascii="Arial" w:cs="Arial" w:eastAsia="Arial" w:hAnsi="Arial"/>
                <w:sz w:val="15"/>
                <w:szCs w:val="15"/>
                <w:color w:val="auto"/>
              </w:rPr>
              <w:t>Rayburn</w:t>
            </w:r>
          </w:p>
        </w:tc>
        <w:tc>
          <w:tcPr>
            <w:tcW w:w="960" w:type="dxa"/>
            <w:vAlign w:val="bottom"/>
            <w:gridSpan w:val="3"/>
          </w:tcPr>
          <w:p>
            <w:pPr>
              <w:ind w:left="80"/>
              <w:spacing w:after="0"/>
              <w:rPr>
                <w:sz w:val="20"/>
                <w:szCs w:val="20"/>
                <w:color w:val="auto"/>
              </w:rPr>
            </w:pPr>
            <w:r>
              <w:rPr>
                <w:rFonts w:ascii="Arial" w:cs="Arial" w:eastAsia="Arial" w:hAnsi="Arial"/>
                <w:sz w:val="15"/>
                <w:szCs w:val="15"/>
                <w:color w:val="auto"/>
              </w:rPr>
              <w:t>Swift</w:t>
            </w:r>
          </w:p>
        </w:tc>
        <w:tc>
          <w:tcPr>
            <w:tcW w:w="740" w:type="dxa"/>
            <w:vAlign w:val="bottom"/>
            <w:gridSpan w:val="2"/>
          </w:tcPr>
          <w:p>
            <w:pPr>
              <w:spacing w:after="0"/>
              <w:rPr>
                <w:sz w:val="20"/>
                <w:szCs w:val="20"/>
                <w:color w:val="auto"/>
              </w:rPr>
            </w:pPr>
            <w:r>
              <w:rPr>
                <w:rFonts w:ascii="Arial" w:cs="Arial" w:eastAsia="Arial" w:hAnsi="Arial"/>
                <w:sz w:val="15"/>
                <w:szCs w:val="15"/>
                <w:color w:val="auto"/>
              </w:rPr>
              <w:t>Swift</w:t>
            </w:r>
          </w:p>
        </w:tc>
        <w:tc>
          <w:tcPr>
            <w:tcW w:w="1160" w:type="dxa"/>
            <w:vAlign w:val="bottom"/>
            <w:gridSpan w:val="3"/>
          </w:tcPr>
          <w:p>
            <w:pPr>
              <w:ind w:left="160"/>
              <w:spacing w:after="0"/>
              <w:rPr>
                <w:sz w:val="20"/>
                <w:szCs w:val="20"/>
                <w:color w:val="auto"/>
              </w:rPr>
            </w:pPr>
            <w:r>
              <w:rPr>
                <w:rFonts w:ascii="Arial" w:cs="Arial" w:eastAsia="Arial" w:hAnsi="Arial"/>
                <w:sz w:val="15"/>
                <w:szCs w:val="15"/>
                <w:color w:val="auto"/>
              </w:rPr>
              <w:t>Rayburn</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Zimmer</w:t>
            </w:r>
          </w:p>
        </w:tc>
      </w:tr>
      <w:tr>
        <w:trPr>
          <w:trHeight w:val="219"/>
        </w:trPr>
        <w:tc>
          <w:tcPr>
            <w:tcW w:w="600" w:type="dxa"/>
            <w:vAlign w:val="bottom"/>
            <w:gridSpan w:val="2"/>
          </w:tcPr>
          <w:p>
            <w:pPr>
              <w:spacing w:after="0"/>
              <w:rPr>
                <w:sz w:val="20"/>
                <w:szCs w:val="20"/>
                <w:color w:val="auto"/>
              </w:rPr>
            </w:pPr>
            <w:r>
              <w:rPr>
                <w:rFonts w:ascii="Arial" w:cs="Arial" w:eastAsia="Arial" w:hAnsi="Arial"/>
                <w:sz w:val="15"/>
                <w:szCs w:val="15"/>
                <w:color w:val="auto"/>
              </w:rPr>
              <w:t>Stratton</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0" w:lineRule="exact"/>
        <w:rPr>
          <w:sz w:val="20"/>
          <w:szCs w:val="20"/>
          <w:color w:val="auto"/>
        </w:rPr>
      </w:pPr>
    </w:p>
    <w:p>
      <w:pPr>
        <w:spacing w:after="0" w:line="228" w:lineRule="exact"/>
        <w:rPr>
          <w:sz w:val="20"/>
          <w:szCs w:val="20"/>
          <w:color w:val="auto"/>
        </w:rPr>
      </w:pPr>
    </w:p>
    <w:p>
      <w:pPr>
        <w:ind w:left="28"/>
        <w:spacing w:after="0"/>
        <w:rPr>
          <w:sz w:val="20"/>
          <w:szCs w:val="20"/>
          <w:color w:val="auto"/>
        </w:rPr>
      </w:pPr>
      <w:r>
        <w:rPr>
          <w:rFonts w:ascii="Arial" w:cs="Arial" w:eastAsia="Arial" w:hAnsi="Arial"/>
          <w:sz w:val="15"/>
          <w:szCs w:val="15"/>
          <w:b w:val="1"/>
          <w:bCs w:val="1"/>
          <w:color w:val="auto"/>
        </w:rPr>
        <w:t>Attendance At Annual Meeting</w:t>
      </w:r>
    </w:p>
    <w:p>
      <w:pPr>
        <w:spacing w:after="0" w:line="234" w:lineRule="exact"/>
        <w:rPr>
          <w:sz w:val="20"/>
          <w:szCs w:val="20"/>
          <w:color w:val="auto"/>
        </w:rPr>
      </w:pPr>
    </w:p>
    <w:p>
      <w:pPr>
        <w:ind w:left="8"/>
        <w:spacing w:after="0" w:line="268" w:lineRule="auto"/>
        <w:rPr>
          <w:sz w:val="20"/>
          <w:szCs w:val="20"/>
          <w:color w:val="auto"/>
        </w:rPr>
      </w:pPr>
      <w:r>
        <w:rPr>
          <w:rFonts w:ascii="Arial" w:cs="Arial" w:eastAsia="Arial" w:hAnsi="Arial"/>
          <w:sz w:val="15"/>
          <w:szCs w:val="15"/>
          <w:color w:val="auto"/>
        </w:rPr>
        <w:t>The Company does not have a formal policy that its directors attend the Annual Meeting of Shareholders because it expects them to do so and because the Company's directors historically have attended these meetings. All of the members of the Board of Directors attended last year's annual meeting. The Board of Directors conducts its annual meeting directly before the Annual Meeting of Shareholders at the Company's headquarters.</w:t>
      </w:r>
    </w:p>
    <w:p>
      <w:pPr>
        <w:spacing w:after="0" w:line="190" w:lineRule="exact"/>
        <w:rPr>
          <w:sz w:val="20"/>
          <w:szCs w:val="20"/>
          <w:color w:val="auto"/>
        </w:rPr>
      </w:pPr>
    </w:p>
    <w:p>
      <w:pPr>
        <w:ind w:left="28"/>
        <w:spacing w:after="0"/>
        <w:rPr>
          <w:sz w:val="20"/>
          <w:szCs w:val="20"/>
          <w:color w:val="auto"/>
        </w:rPr>
      </w:pPr>
      <w:r>
        <w:rPr>
          <w:rFonts w:ascii="Arial" w:cs="Arial" w:eastAsia="Arial" w:hAnsi="Arial"/>
          <w:sz w:val="15"/>
          <w:szCs w:val="15"/>
          <w:b w:val="1"/>
          <w:bCs w:val="1"/>
          <w:color w:val="auto"/>
        </w:rPr>
        <w:t>Stockholder Communication with the Board</w:t>
      </w:r>
    </w:p>
    <w:p>
      <w:pPr>
        <w:spacing w:after="0" w:line="234" w:lineRule="exact"/>
        <w:rPr>
          <w:sz w:val="20"/>
          <w:szCs w:val="20"/>
          <w:color w:val="auto"/>
        </w:rPr>
      </w:pPr>
    </w:p>
    <w:p>
      <w:pPr>
        <w:ind w:left="8" w:right="280"/>
        <w:spacing w:after="0" w:line="279" w:lineRule="auto"/>
        <w:rPr>
          <w:sz w:val="20"/>
          <w:szCs w:val="20"/>
          <w:color w:val="auto"/>
        </w:rPr>
      </w:pPr>
      <w:r>
        <w:rPr>
          <w:rFonts w:ascii="Arial" w:cs="Arial" w:eastAsia="Arial" w:hAnsi="Arial"/>
          <w:sz w:val="15"/>
          <w:szCs w:val="15"/>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52" w:lineRule="exact"/>
        <w:rPr>
          <w:sz w:val="20"/>
          <w:szCs w:val="20"/>
          <w:color w:val="auto"/>
        </w:rPr>
      </w:pPr>
    </w:p>
    <w:p>
      <w:pPr>
        <w:ind w:left="8" w:right="540" w:hanging="8"/>
        <w:spacing w:after="0" w:line="279" w:lineRule="auto"/>
        <w:tabs>
          <w:tab w:leader="none" w:pos="157" w:val="left"/>
        </w:tabs>
        <w:numPr>
          <w:ilvl w:val="0"/>
          <w:numId w:val="16"/>
        </w:numPr>
        <w:rPr>
          <w:rFonts w:ascii="Arial" w:cs="Arial" w:eastAsia="Arial" w:hAnsi="Arial"/>
          <w:sz w:val="15"/>
          <w:szCs w:val="15"/>
          <w:color w:val="auto"/>
        </w:rPr>
      </w:pPr>
      <w:r>
        <w:rPr>
          <w:rFonts w:ascii="Arial" w:cs="Arial" w:eastAsia="Arial" w:hAnsi="Arial"/>
          <w:sz w:val="15"/>
          <w:szCs w:val="15"/>
          <w:color w:val="auto"/>
        </w:rPr>
        <w:t>Stockholder Communication to Entire Board. For Stockholder Communication directed to the Board as a whole, stockholders may send such communication to the attention of the Chairman of the Board via the method listed below:</w:t>
      </w:r>
    </w:p>
    <w:p>
      <w:pPr>
        <w:spacing w:after="0" w:line="186" w:lineRule="exact"/>
        <w:rPr>
          <w:sz w:val="20"/>
          <w:szCs w:val="20"/>
          <w:color w:val="auto"/>
        </w:rPr>
      </w:pPr>
    </w:p>
    <w:p>
      <w:pPr>
        <w:ind w:left="488"/>
        <w:spacing w:after="0"/>
        <w:rPr>
          <w:sz w:val="20"/>
          <w:szCs w:val="20"/>
          <w:color w:val="auto"/>
        </w:rPr>
      </w:pPr>
      <w:r>
        <w:rPr>
          <w:rFonts w:ascii="Arial" w:cs="Arial" w:eastAsia="Arial" w:hAnsi="Arial"/>
          <w:sz w:val="15"/>
          <w:szCs w:val="15"/>
          <w:color w:val="auto"/>
        </w:rPr>
        <w:t>U.S. Mail or Expedited Delivery Service:</w:t>
      </w:r>
    </w:p>
    <w:p>
      <w:pPr>
        <w:spacing w:after="0" w:line="219" w:lineRule="exact"/>
        <w:rPr>
          <w:sz w:val="20"/>
          <w:szCs w:val="20"/>
          <w:color w:val="auto"/>
        </w:rPr>
      </w:pPr>
    </w:p>
    <w:p>
      <w:pPr>
        <w:ind w:left="488"/>
        <w:spacing w:after="0"/>
        <w:rPr>
          <w:sz w:val="20"/>
          <w:szCs w:val="20"/>
          <w:color w:val="auto"/>
        </w:rPr>
      </w:pPr>
      <w:r>
        <w:rPr>
          <w:rFonts w:ascii="Arial" w:cs="Arial" w:eastAsia="Arial" w:hAnsi="Arial"/>
          <w:sz w:val="15"/>
          <w:szCs w:val="15"/>
          <w:color w:val="auto"/>
        </w:rPr>
        <w:t>Twin Disc, Incorporated</w:t>
      </w:r>
    </w:p>
    <w:p>
      <w:pPr>
        <w:spacing w:after="0" w:line="17" w:lineRule="exact"/>
        <w:rPr>
          <w:sz w:val="20"/>
          <w:szCs w:val="20"/>
          <w:color w:val="auto"/>
        </w:rPr>
      </w:pPr>
    </w:p>
    <w:p>
      <w:pPr>
        <w:ind w:left="488"/>
        <w:spacing w:after="0"/>
        <w:rPr>
          <w:sz w:val="20"/>
          <w:szCs w:val="20"/>
          <w:color w:val="auto"/>
        </w:rPr>
      </w:pPr>
      <w:r>
        <w:rPr>
          <w:rFonts w:ascii="Arial" w:cs="Arial" w:eastAsia="Arial" w:hAnsi="Arial"/>
          <w:sz w:val="15"/>
          <w:szCs w:val="15"/>
          <w:color w:val="auto"/>
        </w:rPr>
        <w:t>1328 Racine Street</w:t>
      </w:r>
    </w:p>
    <w:p>
      <w:pPr>
        <w:spacing w:after="0" w:line="12" w:lineRule="exact"/>
        <w:rPr>
          <w:sz w:val="20"/>
          <w:szCs w:val="20"/>
          <w:color w:val="auto"/>
        </w:rPr>
      </w:pPr>
    </w:p>
    <w:p>
      <w:pPr>
        <w:ind w:left="488"/>
        <w:spacing w:after="0"/>
        <w:rPr>
          <w:sz w:val="20"/>
          <w:szCs w:val="20"/>
          <w:color w:val="auto"/>
        </w:rPr>
      </w:pPr>
      <w:r>
        <w:rPr>
          <w:rFonts w:ascii="Arial" w:cs="Arial" w:eastAsia="Arial" w:hAnsi="Arial"/>
          <w:sz w:val="15"/>
          <w:szCs w:val="15"/>
          <w:color w:val="auto"/>
        </w:rPr>
        <w:t>Racine, WI 53403</w:t>
      </w:r>
    </w:p>
    <w:p>
      <w:pPr>
        <w:spacing w:after="0" w:line="12" w:lineRule="exact"/>
        <w:rPr>
          <w:sz w:val="20"/>
          <w:szCs w:val="20"/>
          <w:color w:val="auto"/>
        </w:rPr>
      </w:pPr>
    </w:p>
    <w:p>
      <w:pPr>
        <w:ind w:left="488"/>
        <w:spacing w:after="0"/>
        <w:rPr>
          <w:sz w:val="20"/>
          <w:szCs w:val="20"/>
          <w:color w:val="auto"/>
        </w:rPr>
      </w:pPr>
      <w:r>
        <w:rPr>
          <w:rFonts w:ascii="Arial" w:cs="Arial" w:eastAsia="Arial" w:hAnsi="Arial"/>
          <w:sz w:val="15"/>
          <w:szCs w:val="15"/>
          <w:color w:val="auto"/>
        </w:rPr>
        <w:t>Attn: Chairman of the Board of Directors</w:t>
      </w:r>
    </w:p>
    <w:p>
      <w:pPr>
        <w:sectPr>
          <w:pgSz w:w="11900" w:h="16838" w:orient="portrait"/>
          <w:cols w:equalWidth="0" w:num="1">
            <w:col w:w="11428"/>
          </w:cols>
          <w:pgMar w:left="232" w:top="121" w:right="239" w:bottom="300" w:gutter="0" w:footer="0" w:header="0"/>
        </w:sectPr>
      </w:pP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28662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28"/>
          </w:cols>
          <w:pgMar w:left="232" w:top="121" w:right="239" w:bottom="300" w:gutter="0" w:footer="0" w:header="0"/>
          <w:type w:val="continuous"/>
        </w:sectPr>
      </w:pPr>
    </w:p>
    <w:bookmarkStart w:id="8" w:name="page9"/>
    <w:bookmarkEnd w:id="8"/>
    <w:p>
      <w:pPr>
        <w:ind w:left="8" w:right="160" w:hanging="8"/>
        <w:spacing w:after="0" w:line="279" w:lineRule="auto"/>
        <w:tabs>
          <w:tab w:leader="none" w:pos="157" w:val="left"/>
        </w:tabs>
        <w:numPr>
          <w:ilvl w:val="0"/>
          <w:numId w:val="17"/>
        </w:numPr>
        <w:rPr>
          <w:rFonts w:ascii="Arial" w:cs="Arial" w:eastAsia="Arial" w:hAnsi="Arial"/>
          <w:sz w:val="15"/>
          <w:szCs w:val="15"/>
          <w:color w:val="auto"/>
        </w:rPr>
      </w:pPr>
      <w:r>
        <w:rPr>
          <w:rFonts w:ascii="Arial" w:cs="Arial" w:eastAsia="Arial" w:hAnsi="Arial"/>
          <w:sz w:val="15"/>
          <w:szCs w:val="15"/>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186" w:lineRule="exact"/>
        <w:rPr>
          <w:sz w:val="20"/>
          <w:szCs w:val="20"/>
          <w:color w:val="auto"/>
        </w:rPr>
      </w:pPr>
    </w:p>
    <w:p>
      <w:pPr>
        <w:ind w:left="488"/>
        <w:spacing w:after="0"/>
        <w:rPr>
          <w:sz w:val="20"/>
          <w:szCs w:val="20"/>
          <w:color w:val="auto"/>
        </w:rPr>
      </w:pPr>
      <w:r>
        <w:rPr>
          <w:rFonts w:ascii="Arial" w:cs="Arial" w:eastAsia="Arial" w:hAnsi="Arial"/>
          <w:sz w:val="15"/>
          <w:szCs w:val="15"/>
          <w:color w:val="auto"/>
        </w:rPr>
        <w:t>U.S. Mail or Expedited Delivery Service:</w:t>
      </w:r>
    </w:p>
    <w:p>
      <w:pPr>
        <w:spacing w:after="0" w:line="219" w:lineRule="exact"/>
        <w:rPr>
          <w:sz w:val="20"/>
          <w:szCs w:val="20"/>
          <w:color w:val="auto"/>
        </w:rPr>
      </w:pPr>
    </w:p>
    <w:p>
      <w:pPr>
        <w:ind w:left="488"/>
        <w:spacing w:after="0"/>
        <w:rPr>
          <w:sz w:val="20"/>
          <w:szCs w:val="20"/>
          <w:color w:val="auto"/>
        </w:rPr>
      </w:pPr>
      <w:r>
        <w:rPr>
          <w:rFonts w:ascii="Arial" w:cs="Arial" w:eastAsia="Arial" w:hAnsi="Arial"/>
          <w:sz w:val="15"/>
          <w:szCs w:val="15"/>
          <w:color w:val="auto"/>
        </w:rPr>
        <w:t>Twin Disc, Incorporated</w:t>
      </w:r>
    </w:p>
    <w:p>
      <w:pPr>
        <w:spacing w:after="0" w:line="17" w:lineRule="exact"/>
        <w:rPr>
          <w:sz w:val="20"/>
          <w:szCs w:val="20"/>
          <w:color w:val="auto"/>
        </w:rPr>
      </w:pPr>
    </w:p>
    <w:p>
      <w:pPr>
        <w:ind w:left="488"/>
        <w:spacing w:after="0"/>
        <w:rPr>
          <w:sz w:val="20"/>
          <w:szCs w:val="20"/>
          <w:color w:val="auto"/>
        </w:rPr>
      </w:pPr>
      <w:r>
        <w:rPr>
          <w:rFonts w:ascii="Arial" w:cs="Arial" w:eastAsia="Arial" w:hAnsi="Arial"/>
          <w:sz w:val="15"/>
          <w:szCs w:val="15"/>
          <w:color w:val="auto"/>
        </w:rPr>
        <w:t>1328 Racine Street</w:t>
      </w:r>
    </w:p>
    <w:p>
      <w:pPr>
        <w:spacing w:after="0" w:line="12" w:lineRule="exact"/>
        <w:rPr>
          <w:sz w:val="20"/>
          <w:szCs w:val="20"/>
          <w:color w:val="auto"/>
        </w:rPr>
      </w:pPr>
    </w:p>
    <w:p>
      <w:pPr>
        <w:ind w:left="488"/>
        <w:spacing w:after="0"/>
        <w:rPr>
          <w:sz w:val="20"/>
          <w:szCs w:val="20"/>
          <w:color w:val="auto"/>
        </w:rPr>
      </w:pPr>
      <w:r>
        <w:rPr>
          <w:rFonts w:ascii="Arial" w:cs="Arial" w:eastAsia="Arial" w:hAnsi="Arial"/>
          <w:sz w:val="15"/>
          <w:szCs w:val="15"/>
          <w:color w:val="auto"/>
        </w:rPr>
        <w:t>Racine, WI 53403</w:t>
      </w:r>
    </w:p>
    <w:p>
      <w:pPr>
        <w:spacing w:after="0" w:line="12" w:lineRule="exact"/>
        <w:rPr>
          <w:sz w:val="20"/>
          <w:szCs w:val="20"/>
          <w:color w:val="auto"/>
        </w:rPr>
      </w:pPr>
    </w:p>
    <w:p>
      <w:pPr>
        <w:ind w:left="488"/>
        <w:spacing w:after="0"/>
        <w:rPr>
          <w:sz w:val="20"/>
          <w:szCs w:val="20"/>
          <w:color w:val="auto"/>
        </w:rPr>
      </w:pPr>
      <w:r>
        <w:rPr>
          <w:rFonts w:ascii="Arial" w:cs="Arial" w:eastAsia="Arial" w:hAnsi="Arial"/>
          <w:sz w:val="15"/>
          <w:szCs w:val="15"/>
          <w:color w:val="auto"/>
        </w:rPr>
        <w:t>Attn: [Name of Individual Director]</w:t>
      </w:r>
    </w:p>
    <w:p>
      <w:pPr>
        <w:spacing w:after="0" w:line="225" w:lineRule="exact"/>
        <w:rPr>
          <w:sz w:val="20"/>
          <w:szCs w:val="20"/>
          <w:color w:val="auto"/>
        </w:rPr>
      </w:pPr>
    </w:p>
    <w:p>
      <w:pPr>
        <w:ind w:left="8" w:right="220"/>
        <w:spacing w:after="0" w:line="279" w:lineRule="auto"/>
        <w:rPr>
          <w:sz w:val="20"/>
          <w:szCs w:val="20"/>
          <w:color w:val="auto"/>
        </w:rPr>
      </w:pPr>
      <w:r>
        <w:rPr>
          <w:rFonts w:ascii="Arial" w:cs="Arial" w:eastAsia="Arial" w:hAnsi="Arial"/>
          <w:sz w:val="15"/>
          <w:szCs w:val="15"/>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52" w:lineRule="exact"/>
        <w:rPr>
          <w:sz w:val="20"/>
          <w:szCs w:val="20"/>
          <w:color w:val="auto"/>
        </w:rPr>
      </w:pPr>
    </w:p>
    <w:p>
      <w:pPr>
        <w:ind w:left="8"/>
        <w:spacing w:after="0" w:line="295" w:lineRule="auto"/>
        <w:rPr>
          <w:sz w:val="20"/>
          <w:szCs w:val="20"/>
          <w:color w:val="auto"/>
        </w:rPr>
      </w:pPr>
      <w:r>
        <w:rPr>
          <w:rFonts w:ascii="Arial" w:cs="Arial" w:eastAsia="Arial" w:hAnsi="Arial"/>
          <w:sz w:val="14"/>
          <w:szCs w:val="14"/>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139" w:lineRule="exact"/>
        <w:rPr>
          <w:sz w:val="20"/>
          <w:szCs w:val="20"/>
          <w:color w:val="auto"/>
        </w:rPr>
      </w:pPr>
    </w:p>
    <w:p>
      <w:pPr>
        <w:ind w:left="8"/>
        <w:spacing w:after="0" w:line="285" w:lineRule="auto"/>
        <w:rPr>
          <w:sz w:val="20"/>
          <w:szCs w:val="20"/>
          <w:color w:val="auto"/>
        </w:rPr>
      </w:pPr>
      <w:r>
        <w:rPr>
          <w:rFonts w:ascii="Arial" w:cs="Arial" w:eastAsia="Arial" w:hAnsi="Arial"/>
          <w:sz w:val="15"/>
          <w:szCs w:val="15"/>
          <w:color w:val="auto"/>
        </w:rPr>
        <w:t>From time to time, the Board may change the process by which stockholders may communicate with the Board or its members. Please refer to the Company's website</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www.twindisc.com</w:t>
      </w:r>
      <w:r>
        <w:rPr>
          <w:rFonts w:ascii="Arial" w:cs="Arial" w:eastAsia="Arial" w:hAnsi="Arial"/>
          <w:sz w:val="15"/>
          <w:szCs w:val="15"/>
          <w:b w:val="1"/>
          <w:bCs w:val="1"/>
          <w:color w:val="auto"/>
        </w:rPr>
        <w:t>,</w:t>
      </w:r>
      <w:r>
        <w:rPr>
          <w:rFonts w:ascii="Arial" w:cs="Arial" w:eastAsia="Arial" w:hAnsi="Arial"/>
          <w:sz w:val="15"/>
          <w:szCs w:val="15"/>
          <w:color w:val="auto"/>
        </w:rPr>
        <w:t xml:space="preserve"> for any changes to this process.</w:t>
      </w:r>
    </w:p>
    <w:p>
      <w:pPr>
        <w:spacing w:after="0" w:line="166" w:lineRule="exact"/>
        <w:rPr>
          <w:sz w:val="20"/>
          <w:szCs w:val="20"/>
          <w:color w:val="auto"/>
        </w:rPr>
      </w:pPr>
    </w:p>
    <w:p>
      <w:pPr>
        <w:jc w:val="center"/>
        <w:ind w:right="-27"/>
        <w:spacing w:after="0"/>
        <w:rPr>
          <w:sz w:val="20"/>
          <w:szCs w:val="20"/>
          <w:color w:val="auto"/>
        </w:rPr>
      </w:pPr>
      <w:r>
        <w:rPr>
          <w:rFonts w:ascii="Arial" w:cs="Arial" w:eastAsia="Arial" w:hAnsi="Arial"/>
          <w:sz w:val="18"/>
          <w:szCs w:val="18"/>
          <w:b w:val="1"/>
          <w:bCs w:val="1"/>
          <w:color w:val="auto"/>
        </w:rPr>
        <w:t>EXECUTIVE COMPENSATION</w:t>
      </w:r>
    </w:p>
    <w:p>
      <w:pPr>
        <w:spacing w:after="0" w:line="254" w:lineRule="exact"/>
        <w:rPr>
          <w:sz w:val="20"/>
          <w:szCs w:val="20"/>
          <w:color w:val="auto"/>
        </w:rPr>
      </w:pPr>
    </w:p>
    <w:p>
      <w:pPr>
        <w:ind w:left="28"/>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8" w:lineRule="exact"/>
        <w:rPr>
          <w:sz w:val="20"/>
          <w:szCs w:val="20"/>
          <w:color w:val="auto"/>
        </w:rPr>
      </w:pPr>
    </w:p>
    <w:p>
      <w:pPr>
        <w:ind w:left="28"/>
        <w:spacing w:after="0"/>
        <w:rPr>
          <w:sz w:val="20"/>
          <w:szCs w:val="20"/>
          <w:color w:val="auto"/>
        </w:rPr>
      </w:pPr>
      <w:r>
        <w:rPr>
          <w:rFonts w:ascii="Arial" w:cs="Arial" w:eastAsia="Arial" w:hAnsi="Arial"/>
          <w:sz w:val="18"/>
          <w:szCs w:val="18"/>
          <w:u w:val="single" w:color="auto"/>
          <w:color w:val="auto"/>
        </w:rPr>
        <w:t>Overview</w:t>
      </w:r>
    </w:p>
    <w:p>
      <w:pPr>
        <w:spacing w:after="0" w:line="219" w:lineRule="exact"/>
        <w:rPr>
          <w:sz w:val="20"/>
          <w:szCs w:val="20"/>
          <w:color w:val="auto"/>
        </w:rPr>
      </w:pPr>
    </w:p>
    <w:p>
      <w:pPr>
        <w:ind w:left="8"/>
        <w:spacing w:after="0" w:line="250" w:lineRule="auto"/>
        <w:rPr>
          <w:sz w:val="20"/>
          <w:szCs w:val="20"/>
          <w:color w:val="auto"/>
        </w:rPr>
      </w:pPr>
      <w:r>
        <w:rPr>
          <w:rFonts w:ascii="Arial" w:cs="Arial" w:eastAsia="Arial" w:hAnsi="Arial"/>
          <w:sz w:val="18"/>
          <w:szCs w:val="18"/>
          <w:color w:val="auto"/>
        </w:rPr>
        <w:t xml:space="preserve">The Compensation Committee (the “Committee”) of the Board has responsibility for establishing, implementing and monitoring the total compensation of the Company’s executive officers. The Committee approves the design of, assesses the effectiveness of, and administers executive compensation programs in support of compensation policies of the Company. The Committee has adopted a charter that it uses when setting agendas and schedules for their meetings. The charter can be found at </w:t>
      </w:r>
      <w:r>
        <w:rPr>
          <w:rFonts w:ascii="Arial" w:cs="Arial" w:eastAsia="Arial" w:hAnsi="Arial"/>
          <w:sz w:val="18"/>
          <w:szCs w:val="18"/>
          <w:u w:val="single" w:color="auto"/>
          <w:color w:val="0000FF"/>
        </w:rPr>
        <w:t>www.twindisc.com/CompanyGovernance.aspx</w:t>
      </w:r>
      <w:r>
        <w:rPr>
          <w:rFonts w:ascii="Arial" w:cs="Arial" w:eastAsia="Arial" w:hAnsi="Arial"/>
          <w:sz w:val="18"/>
          <w:szCs w:val="18"/>
          <w:color w:val="auto"/>
        </w:rPr>
        <w:t xml:space="preserve"> .</w:t>
      </w:r>
    </w:p>
    <w:p>
      <w:pPr>
        <w:spacing w:after="0" w:line="185" w:lineRule="exact"/>
        <w:rPr>
          <w:sz w:val="20"/>
          <w:szCs w:val="20"/>
          <w:color w:val="auto"/>
        </w:rPr>
      </w:pPr>
    </w:p>
    <w:p>
      <w:pPr>
        <w:ind w:left="28"/>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19" w:lineRule="exact"/>
        <w:rPr>
          <w:sz w:val="20"/>
          <w:szCs w:val="20"/>
          <w:color w:val="auto"/>
        </w:rPr>
      </w:pPr>
    </w:p>
    <w:p>
      <w:pPr>
        <w:ind w:left="8"/>
        <w:spacing w:after="0" w:line="271"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our Company’s ability to execute business strategy and excel in the marketplace. The Committee believes it is in the best interest of the Company and its shareholders to fairly</w:t>
      </w:r>
    </w:p>
    <w:p>
      <w:pPr>
        <w:spacing w:after="0" w:line="131"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2" w:lineRule="exact"/>
        <w:rPr>
          <w:sz w:val="20"/>
          <w:szCs w:val="20"/>
          <w:color w:val="auto"/>
        </w:rPr>
      </w:pPr>
    </w:p>
    <w:p>
      <w:pPr>
        <w:ind w:left="8" w:right="300"/>
        <w:spacing w:after="0" w:line="271" w:lineRule="auto"/>
        <w:rPr>
          <w:sz w:val="20"/>
          <w:szCs w:val="20"/>
          <w:color w:val="auto"/>
        </w:rPr>
      </w:pPr>
      <w:r>
        <w:rPr>
          <w:rFonts w:ascii="Arial" w:cs="Arial" w:eastAsia="Arial" w:hAnsi="Arial"/>
          <w:sz w:val="18"/>
          <w:szCs w:val="18"/>
          <w:color w:val="auto"/>
        </w:rPr>
        <w:t>compensate our executive team to encourage high-level performance, resulting in increased Company profitability. Executives are compensated on the value of their contribution to the success of the Company, in addition to their assigned scope of responsibilities.</w:t>
      </w:r>
    </w:p>
    <w:p>
      <w:pPr>
        <w:spacing w:after="0" w:line="131" w:lineRule="exact"/>
        <w:rPr>
          <w:sz w:val="20"/>
          <w:szCs w:val="20"/>
          <w:color w:val="auto"/>
        </w:rPr>
      </w:pPr>
    </w:p>
    <w:p>
      <w:pPr>
        <w:ind w:left="8" w:right="20"/>
        <w:spacing w:after="0" w:line="250" w:lineRule="auto"/>
        <w:rPr>
          <w:sz w:val="20"/>
          <w:szCs w:val="20"/>
          <w:color w:val="auto"/>
        </w:rPr>
      </w:pPr>
      <w:r>
        <w:rPr>
          <w:rFonts w:ascii="Arial" w:cs="Arial" w:eastAsia="Arial" w:hAnsi="Arial"/>
          <w:sz w:val="18"/>
          <w:szCs w:val="18"/>
          <w:color w:val="auto"/>
        </w:rPr>
        <w:t>Compensation includes opportunities for shared risks and rewards, and reflects the results of both individual and Company performance. It is our intention to use a compensation system that will balance both internal and external equity when determining compensation levels. Twin Disc will pay for the value of the job to the Company, considering the knowledge, skills and abilities required for each job and will pay market competitive compensation, in order to attract, retain and motivate top talent.</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key elements of our officer’s total compensation package are base salary, an annual incentive program, a long-term incentive program, and other</w:t>
      </w:r>
    </w:p>
    <w:p>
      <w:pPr>
        <w:spacing w:after="0" w:line="32" w:lineRule="exact"/>
        <w:rPr>
          <w:sz w:val="20"/>
          <w:szCs w:val="20"/>
          <w:color w:val="auto"/>
        </w:rPr>
      </w:pPr>
    </w:p>
    <w:p>
      <w:pPr>
        <w:ind w:left="8" w:right="380"/>
        <w:spacing w:after="0" w:line="203" w:lineRule="auto"/>
        <w:rPr>
          <w:sz w:val="20"/>
          <w:szCs w:val="20"/>
          <w:color w:val="auto"/>
        </w:rPr>
      </w:pPr>
      <w:r>
        <w:rPr>
          <w:rFonts w:ascii="Arial" w:cs="Arial" w:eastAsia="Arial" w:hAnsi="Arial"/>
          <w:sz w:val="18"/>
          <w:szCs w:val="18"/>
          <w:color w:val="auto"/>
        </w:rPr>
        <w:t>benefits. The Company’s goal is to offer a competitive total compensation package, targeting total compensation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for the relevant market.</w:t>
      </w:r>
    </w:p>
    <w:p>
      <w:pPr>
        <w:spacing w:after="0" w:line="157" w:lineRule="exact"/>
        <w:rPr>
          <w:sz w:val="20"/>
          <w:szCs w:val="20"/>
          <w:color w:val="auto"/>
        </w:rPr>
      </w:pPr>
    </w:p>
    <w:p>
      <w:pPr>
        <w:ind w:left="8" w:right="40"/>
        <w:spacing w:after="0" w:line="248" w:lineRule="auto"/>
        <w:rPr>
          <w:sz w:val="20"/>
          <w:szCs w:val="20"/>
          <w:color w:val="auto"/>
        </w:rPr>
      </w:pPr>
      <w:r>
        <w:rPr>
          <w:rFonts w:ascii="Arial" w:cs="Arial" w:eastAsia="Arial" w:hAnsi="Arial"/>
          <w:sz w:val="18"/>
          <w:szCs w:val="18"/>
          <w:color w:val="auto"/>
        </w:rPr>
        <w:t>The Company believes that its executive officers should hold a meaningful stake in Twin Disc in order to align their economic interests with that of the shareholder. To that end, the Company has adopted stock ownership guidelines. Stock ownership targets are equal to five times annual salary for the CEO, three times salary for the President, two times annual salary for the CFO and Executive Vice Presidents, and one time annual salary for the remainder of the officer team. Officers have a period of four years to attain their targeted ownership level. Officer ownership levels are reviewed annually for compliance by the Compensation Committee.</w:t>
      </w:r>
    </w:p>
    <w:p>
      <w:pPr>
        <w:spacing w:after="0" w:line="151" w:lineRule="exact"/>
        <w:rPr>
          <w:sz w:val="20"/>
          <w:szCs w:val="20"/>
          <w:color w:val="auto"/>
        </w:rPr>
      </w:pPr>
    </w:p>
    <w:p>
      <w:pPr>
        <w:jc w:val="both"/>
        <w:ind w:left="8" w:right="80"/>
        <w:spacing w:after="0" w:line="292" w:lineRule="auto"/>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 $1,000,000 for any fiscal year paid to the corporation’s chief executive officer and four other most highly compensated executive officers in service as of the end of any fiscal year. However, Section 162(m) also provides that qualifying performance-based compensation will not be subject to the deduction limit if certain requirements are met. The Committee generally seeks to structure compensation amounts and plans to meet the deductibility requirements under this provision.</w:t>
      </w:r>
    </w:p>
    <w:p>
      <w:pPr>
        <w:spacing w:after="0" w:line="118" w:lineRule="exact"/>
        <w:rPr>
          <w:sz w:val="20"/>
          <w:szCs w:val="20"/>
          <w:color w:val="auto"/>
        </w:rPr>
      </w:pPr>
    </w:p>
    <w:p>
      <w:pPr>
        <w:ind w:left="8"/>
        <w:spacing w:after="0" w:line="262" w:lineRule="auto"/>
        <w:rPr>
          <w:sz w:val="20"/>
          <w:szCs w:val="20"/>
          <w:color w:val="auto"/>
        </w:rPr>
      </w:pPr>
      <w:r>
        <w:rPr>
          <w:rFonts w:ascii="Arial" w:cs="Arial" w:eastAsia="Arial" w:hAnsi="Arial"/>
          <w:sz w:val="17"/>
          <w:szCs w:val="17"/>
          <w:color w:val="auto"/>
        </w:rPr>
        <w:t>The Committee generally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Company’s compensation program so that they are either not characterized as deferred compensation under Section 409A or meet the distribution, timing and other requirements of Section 409A. Without these steps, certain elements of compensation could result in substantial tax liability for the executive officers. Section 280G of the Internal Revenue code and related provisions impose substantial excise taxes on so-called “excess parachute payments” payable to certain executive officers upon a change in control and results in the loss of the compensation deduction for such</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2" w:lineRule="exact"/>
        <w:rPr>
          <w:sz w:val="20"/>
          <w:szCs w:val="20"/>
          <w:color w:val="auto"/>
        </w:rPr>
      </w:pPr>
    </w:p>
    <w:p>
      <w:pPr>
        <w:ind w:left="8" w:right="160"/>
        <w:spacing w:after="0" w:line="271" w:lineRule="auto"/>
        <w:rPr>
          <w:sz w:val="20"/>
          <w:szCs w:val="20"/>
          <w:color w:val="auto"/>
        </w:rPr>
      </w:pPr>
      <w:r>
        <w:rPr>
          <w:rFonts w:ascii="Arial" w:cs="Arial" w:eastAsia="Arial" w:hAnsi="Arial"/>
          <w:sz w:val="18"/>
          <w:szCs w:val="18"/>
          <w:color w:val="auto"/>
        </w:rPr>
        <w:t>payments for the executive’s employer. The Committee has structured the change in control payments under its severance agreements with the executive officers to avoid having benefits exceed the limitations and provisions of Section 280G.</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Role of Executive Officers in Compensation Decisions</w:t>
      </w:r>
    </w:p>
    <w:p>
      <w:pPr>
        <w:spacing w:after="0" w:line="184" w:lineRule="exact"/>
        <w:rPr>
          <w:sz w:val="20"/>
          <w:szCs w:val="20"/>
          <w:color w:val="auto"/>
        </w:rPr>
      </w:pPr>
    </w:p>
    <w:p>
      <w:pPr>
        <w:ind w:left="8" w:right="180"/>
        <w:spacing w:after="0" w:line="271" w:lineRule="auto"/>
        <w:rPr>
          <w:sz w:val="20"/>
          <w:szCs w:val="20"/>
          <w:color w:val="auto"/>
        </w:rPr>
      </w:pPr>
      <w:r>
        <w:rPr>
          <w:rFonts w:ascii="Arial" w:cs="Arial" w:eastAsia="Arial" w:hAnsi="Arial"/>
          <w:sz w:val="18"/>
          <w:szCs w:val="18"/>
          <w:color w:val="auto"/>
        </w:rPr>
        <w:t>The Committee makes all compensation decisions for the Chairman and CEO (Mr. M. Batten) and approves recommendations for compensation actions for all other elected officers of the Company.</w:t>
      </w:r>
    </w:p>
    <w:p>
      <w:pPr>
        <w:sectPr>
          <w:pgSz w:w="11900" w:h="16838" w:orient="portrait"/>
          <w:cols w:equalWidth="0" w:num="1">
            <w:col w:w="11408"/>
          </w:cols>
          <w:pgMar w:left="232" w:top="132" w:right="259" w:bottom="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The Chairman and CEO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 presented.</w:t>
      </w:r>
    </w:p>
    <w:p>
      <w:pPr>
        <w:spacing w:after="0" w:line="14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Committee reviews the performance of the Chairman and CEO. It alone determines the salary adjustment, bonus payment and equity awards for this individual.</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Setting Executive Compensation</w:t>
      </w:r>
    </w:p>
    <w:p>
      <w:pPr>
        <w:spacing w:after="0" w:line="219"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Based on the Company’s compensation objectives, the Committee has structured the executive officers’ total compensation program to motivate executives to achieve the business goals of the Company and to reward them for achieving such goals.</w:t>
      </w:r>
    </w:p>
    <w:p>
      <w:pPr>
        <w:spacing w:after="0" w:line="13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On at least a bi-annual basis, the Committee engages an independent consultant to review its compensation program for the officers of the Company, in order to ensure market competitiveness. During Fiscal 2007, the Committee engaged Towers Perrin, a global human resources consulting firm, for this review. Towers Perrin provides the Committee with information regarding market compensation practices and alternatives to consider when making compensation decisions for the executives.</w:t>
      </w:r>
    </w:p>
    <w:p>
      <w:pPr>
        <w:spacing w:after="0" w:line="15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the individual’s performance on achieving personal goals in the prior fiscal year, Company performance, and competitive market practices.</w:t>
      </w:r>
    </w:p>
    <w:p>
      <w:pPr>
        <w:spacing w:after="0" w:line="135"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Company looks to benchmark total compensation levels at the market median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companies of a similar size and industry. Information on the market median compensation level, including the blend of short-term to long-term types of compensation, is provided by outside resources. In FY 2007, this information was provided by Towers Perrin. Individual variations of compensation from the market median can be due to the experience level of the executive and/or the impact of the executive on the Company’s performance. The goal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Company’s compensation program is to provide competitive compensation that encourages and rewards individual and team performance for producing both short-term and long-term shareholder value.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Base Salary</w:t>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provides executive officers with base salary to compensate them for services rendered during the fiscal year. Base salaries also allow executives to be rewarded for individual performance based on the Corporation’s evaluation process. Pay for individual performance rewards executives for achieving goals which may not be immediately evident in common financial measurements.</w:t>
      </w:r>
    </w:p>
    <w:p>
      <w:pPr>
        <w:spacing w:after="0" w:line="144"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Base salaries are reviewed each year by the Committee. Salary levels are targeted at the market median (i.e. 50% percentile), as determined by using local, national and industry specific survey data and as determined by external consultants. Targeting salaries at the market median for our industry and location ensures employees are paid a competitive base salary. This aids in the attraction and retention of competent executive talent.</w:t>
      </w:r>
    </w:p>
    <w:p>
      <w:pPr>
        <w:spacing w:after="0" w:line="12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Annual salary increases, as may be appropriate, are determined each year based on individual and Company performance. The Company uses a performance management system to set individual objectives for each executive. In addition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5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Market adjustments to base salary may be indicated when an incumbent is more than 15% below the market median and has been in the job longer than 2-3 years. Market adjustments are generally used to retain valuable employees in a competitive labor market.</w:t>
      </w:r>
    </w:p>
    <w:p>
      <w:pPr>
        <w:spacing w:after="0" w:line="1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Committee determines and approves salary increases for the CEO, and approves recommended salary increases for the members of the executive officer team. Generally, executive salaries are increased at rates comparable to the increases provided at other comparable companies and are at or near market levels.</w:t>
      </w:r>
    </w:p>
    <w:p>
      <w:pPr>
        <w:spacing w:after="0" w:line="14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For FY08, the Committee approved the following increases for the five Named Executive Officers: Mr. M. Batten, 13.6%; Mr. Eperjesy, 5.8%, Mr. Feiertag, 5.8%, Mr. J. Batten 13.3%, and Mr. Fabry, 4.8% . These increases were determined based on the financial performance of the Company and the individual accomplishments of each executive. In addition, Mr. M. Batten and Mr. J. Batten received a market adjustment due to the fact that their salary level was significantly below the market median for jobs of similar responsibilities.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219"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Company’s cost of capital) and other Company initiatives that are determined annually.</w:t>
      </w:r>
    </w:p>
    <w:p>
      <w:pPr>
        <w:spacing w:after="0" w:line="10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Committee reviews the CIP’s design annually and approves any CIP design changes or amendments. It also reviews and approves annual goals, and certifies the achievement of performance targets, based on audited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Keeping with the Company’s compensation philosophy, the CIP targets a market median (i.e.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benchmark level for annual cash incentives.</w:t>
      </w:r>
    </w:p>
    <w:p>
      <w:pPr>
        <w:spacing w:after="0"/>
        <w:rPr>
          <w:sz w:val="20"/>
          <w:szCs w:val="20"/>
          <w:color w:val="auto"/>
        </w:rPr>
      </w:pPr>
      <w:r>
        <w:rPr>
          <w:rFonts w:ascii="Arial" w:cs="Arial" w:eastAsia="Arial" w:hAnsi="Arial"/>
          <w:sz w:val="18"/>
          <w:szCs w:val="18"/>
          <w:color w:val="auto"/>
        </w:rPr>
        <w:t>This practice encourages the philosophy of rewarding excellent achievement with competitive compensation.</w:t>
      </w:r>
    </w:p>
    <w:p>
      <w:pPr>
        <w:spacing w:after="0" w:line="16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Cash incentive payments are made after the end of each fiscal year, dependent upon corporate or subsidiary goal achievement. In no event may the payout be more than 200% of the target.</w:t>
      </w:r>
    </w:p>
    <w:p>
      <w:pPr>
        <w:sectPr>
          <w:pgSz w:w="11900" w:h="16838" w:orient="portrait"/>
          <w:cols w:equalWidth="0" w:num="1">
            <w:col w:w="11420"/>
          </w:cols>
          <w:pgMar w:left="240" w:top="121" w:right="239" w:bottom="120" w:gutter="0" w:footer="0" w:header="0"/>
        </w:sectPr>
      </w:pPr>
    </w:p>
    <w:bookmarkStart w:id="10" w:name="page11"/>
    <w:bookmarkEnd w:id="10"/>
    <w:p>
      <w:pPr>
        <w:jc w:val="both"/>
        <w:ind w:right="420"/>
        <w:spacing w:after="0" w:line="255" w:lineRule="auto"/>
        <w:rPr>
          <w:sz w:val="20"/>
          <w:szCs w:val="20"/>
          <w:color w:val="auto"/>
        </w:rPr>
      </w:pPr>
      <w:r>
        <w:rPr>
          <w:rFonts w:ascii="Arial" w:cs="Arial" w:eastAsia="Arial" w:hAnsi="Arial"/>
          <w:sz w:val="18"/>
          <w:szCs w:val="18"/>
          <w:color w:val="auto"/>
        </w:rPr>
        <w:t>The Committee reviews and approves the recommendations for target bonus percentages for each officer. The Committee alone determines the bonus percentage amount for the CEO. For FY08, the targeted bonus percentage of base salary was 70% for the CEO, 50% for the CFO and Executive Vice Presidents, and 40% for the other named executive officer.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For FY08, each named executive officer’s award was based on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Arial" w:cs="Arial" w:eastAsia="Arial" w:hAnsi="Arial"/>
                <w:sz w:val="18"/>
                <w:szCs w:val="18"/>
                <w:color w:val="auto"/>
              </w:rPr>
              <w:t>Objective</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Measure</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w w:val="99"/>
              </w:rPr>
              <w:t>Weight</w:t>
            </w:r>
          </w:p>
        </w:tc>
      </w:tr>
      <w:tr>
        <w:trPr>
          <w:trHeight w:val="96"/>
        </w:trPr>
        <w:tc>
          <w:tcPr>
            <w:tcW w:w="1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r>
      <w:tr>
        <w:trPr>
          <w:trHeight w:val="295"/>
        </w:trPr>
        <w:tc>
          <w:tcPr>
            <w:tcW w:w="1540" w:type="dxa"/>
            <w:vAlign w:val="bottom"/>
          </w:tcPr>
          <w:p>
            <w:pPr>
              <w:spacing w:after="0"/>
              <w:rPr>
                <w:sz w:val="20"/>
                <w:szCs w:val="20"/>
                <w:color w:val="auto"/>
              </w:rPr>
            </w:pPr>
            <w:r>
              <w:rPr>
                <w:rFonts w:ascii="Arial" w:cs="Arial" w:eastAsia="Arial" w:hAnsi="Arial"/>
                <w:sz w:val="18"/>
                <w:szCs w:val="18"/>
                <w:color w:val="auto"/>
              </w:rPr>
              <w:t>Economic Profit</w:t>
            </w: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Achieving economic profit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70%</w:t>
            </w:r>
          </w:p>
        </w:tc>
      </w:tr>
      <w:tr>
        <w:trPr>
          <w:trHeight w:val="219"/>
        </w:trPr>
        <w:tc>
          <w:tcPr>
            <w:tcW w:w="154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goals as follows: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9"/>
        </w:trPr>
        <w:tc>
          <w:tcPr>
            <w:tcW w:w="154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Target: $5,000,000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9"/>
        </w:trPr>
        <w:tc>
          <w:tcPr>
            <w:tcW w:w="154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Threshold: $2,000,000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15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Maximum: $8,000,000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22"/>
        </w:trPr>
        <w:tc>
          <w:tcPr>
            <w:tcW w:w="1540" w:type="dxa"/>
            <w:vAlign w:val="bottom"/>
          </w:tcPr>
          <w:p>
            <w:pPr>
              <w:spacing w:after="0"/>
              <w:rPr>
                <w:sz w:val="24"/>
                <w:szCs w:val="24"/>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(Economic Profit is defined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9"/>
        </w:trPr>
        <w:tc>
          <w:tcPr>
            <w:tcW w:w="1540" w:type="dxa"/>
            <w:vAlign w:val="bottom"/>
          </w:tcPr>
          <w:p>
            <w:pPr>
              <w:spacing w:after="0"/>
              <w:rPr>
                <w:sz w:val="19"/>
                <w:szCs w:val="19"/>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as earnings in excess of the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15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rPr>
              <w:t>Company’s cost of capital)</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80" w:type="dxa"/>
            <w:vAlign w:val="bottom"/>
          </w:tcPr>
          <w:p>
            <w:pPr>
              <w:spacing w:after="0"/>
              <w:rPr>
                <w:sz w:val="20"/>
                <w:szCs w:val="20"/>
                <w:color w:val="auto"/>
              </w:rPr>
            </w:pPr>
            <w:r>
              <w:rPr>
                <w:rFonts w:ascii="Arial" w:cs="Arial" w:eastAsia="Arial" w:hAnsi="Arial"/>
                <w:sz w:val="18"/>
                <w:szCs w:val="18"/>
                <w:color w:val="auto"/>
              </w:rPr>
              <w:t>Cost of Quality</w:t>
            </w: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Racine Operations:</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Cost of Quality less than or</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equal to a defined % of</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sales.</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Target : 3.3%</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Threshold: 3.5%</w:t>
            </w:r>
          </w:p>
        </w:tc>
      </w:tr>
      <w:tr>
        <w:trPr>
          <w:trHeight w:val="234"/>
        </w:trPr>
        <w:tc>
          <w:tcPr>
            <w:tcW w:w="1680" w:type="dxa"/>
            <w:vAlign w:val="bottom"/>
          </w:tcPr>
          <w:p>
            <w:pPr>
              <w:spacing w:after="0"/>
              <w:rPr>
                <w:sz w:val="20"/>
                <w:szCs w:val="20"/>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Maximum: 3.00%</w:t>
            </w:r>
          </w:p>
        </w:tc>
      </w:tr>
      <w:tr>
        <w:trPr>
          <w:trHeight w:val="422"/>
        </w:trPr>
        <w:tc>
          <w:tcPr>
            <w:tcW w:w="1680" w:type="dxa"/>
            <w:vAlign w:val="bottom"/>
          </w:tcPr>
          <w:p>
            <w:pPr>
              <w:spacing w:after="0"/>
              <w:rPr>
                <w:sz w:val="24"/>
                <w:szCs w:val="24"/>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Nivelles Operations: Cost</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of Quality less than or equal</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to a defined % of sales</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Target: 4.25%</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Threshold: 4.65%</w:t>
            </w:r>
          </w:p>
        </w:tc>
      </w:tr>
      <w:tr>
        <w:trPr>
          <w:trHeight w:val="234"/>
        </w:trPr>
        <w:tc>
          <w:tcPr>
            <w:tcW w:w="1680" w:type="dxa"/>
            <w:vAlign w:val="bottom"/>
          </w:tcPr>
          <w:p>
            <w:pPr>
              <w:spacing w:after="0"/>
              <w:rPr>
                <w:sz w:val="20"/>
                <w:szCs w:val="20"/>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Maximum: 3.75%</w:t>
            </w:r>
          </w:p>
        </w:tc>
      </w:tr>
      <w:tr>
        <w:trPr>
          <w:trHeight w:val="96"/>
        </w:trPr>
        <w:tc>
          <w:tcPr>
            <w:tcW w:w="1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r>
      <w:tr>
        <w:trPr>
          <w:trHeight w:val="295"/>
        </w:trPr>
        <w:tc>
          <w:tcPr>
            <w:tcW w:w="1680" w:type="dxa"/>
            <w:vAlign w:val="bottom"/>
          </w:tcPr>
          <w:p>
            <w:pPr>
              <w:spacing w:after="0"/>
              <w:rPr>
                <w:sz w:val="20"/>
                <w:szCs w:val="20"/>
                <w:color w:val="auto"/>
              </w:rPr>
            </w:pPr>
            <w:r>
              <w:rPr>
                <w:rFonts w:ascii="Arial" w:cs="Arial" w:eastAsia="Arial" w:hAnsi="Arial"/>
                <w:sz w:val="18"/>
                <w:szCs w:val="18"/>
                <w:color w:val="auto"/>
              </w:rPr>
              <w:t>Sales Growth</w:t>
            </w: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Achieving corporate sales</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revenues of $341,586,622 at</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target.</w:t>
            </w:r>
          </w:p>
        </w:tc>
      </w:tr>
      <w:tr>
        <w:trPr>
          <w:trHeight w:val="219"/>
        </w:trPr>
        <w:tc>
          <w:tcPr>
            <w:tcW w:w="1680" w:type="dxa"/>
            <w:vAlign w:val="bottom"/>
          </w:tcPr>
          <w:p>
            <w:pPr>
              <w:spacing w:after="0"/>
              <w:rPr>
                <w:sz w:val="19"/>
                <w:szCs w:val="19"/>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Threshold: $325,320,583</w:t>
            </w:r>
          </w:p>
        </w:tc>
      </w:tr>
      <w:tr>
        <w:trPr>
          <w:trHeight w:val="234"/>
        </w:trPr>
        <w:tc>
          <w:tcPr>
            <w:tcW w:w="1680" w:type="dxa"/>
            <w:vAlign w:val="bottom"/>
          </w:tcPr>
          <w:p>
            <w:pPr>
              <w:spacing w:after="0"/>
              <w:rPr>
                <w:sz w:val="20"/>
                <w:szCs w:val="20"/>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Maximum: $358,665,953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43865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15% (measured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weighting 75% of Racine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results plus 25% of Nivelles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1457325</wp:posOffset>
            </wp:positionV>
            <wp:extent cx="13741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41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1102" w:lineRule="exact"/>
        <w:rPr>
          <w:sz w:val="20"/>
          <w:szCs w:val="20"/>
          <w:color w:val="auto"/>
        </w:rPr>
      </w:pPr>
    </w:p>
    <w:p>
      <w:pPr>
        <w:sectPr>
          <w:pgSz w:w="11900" w:h="16838" w:orient="portrait"/>
          <w:cols w:equalWidth="0" w:num="2">
            <w:col w:w="4600" w:space="140"/>
            <w:col w:w="6680"/>
          </w:cols>
          <w:pgMar w:left="240" w:top="122" w:right="239"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used in the calculations of the Corporate Incentive Plan:</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u w:val="single" w:color="auto"/>
          <w:color w:val="auto"/>
        </w:rPr>
        <w:t>Economic Profit</w:t>
      </w:r>
      <w:r>
        <w:rPr>
          <w:rFonts w:ascii="Arial" w:cs="Arial" w:eastAsia="Arial" w:hAnsi="Arial"/>
          <w:sz w:val="18"/>
          <w:szCs w:val="18"/>
          <w:color w:val="auto"/>
        </w:rPr>
        <w:t xml:space="preserve"> is defined as the return on investment in excess of the Cost of Capital. It is calculated by taking Net Operating Profit After Tax (NOPAT) less a Capital Charge (Invested Capital x Cost of Capital).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Invested Capital</w:t>
      </w:r>
      <w:r>
        <w:rPr>
          <w:rFonts w:ascii="Arial" w:cs="Arial" w:eastAsia="Arial" w:hAnsi="Arial"/>
          <w:sz w:val="18"/>
          <w:szCs w:val="18"/>
          <w:color w:val="auto"/>
        </w:rPr>
        <w:t xml:space="preserve"> is defined as total assets less non-interest bearing liabilities less accrued retirement benefits.</w:t>
      </w:r>
    </w:p>
    <w:p>
      <w:pPr>
        <w:spacing w:after="0" w:line="18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u w:val="single" w:color="auto"/>
          <w:color w:val="auto"/>
        </w:rPr>
        <w:t>Cost of Capital</w:t>
      </w:r>
      <w:r>
        <w:rPr>
          <w:rFonts w:ascii="Arial" w:cs="Arial" w:eastAsia="Arial" w:hAnsi="Arial"/>
          <w:sz w:val="18"/>
          <w:szCs w:val="18"/>
          <w:color w:val="auto"/>
        </w:rPr>
        <w:t xml:space="preserve"> is defined as the weighted average expectation of Twin Disc’s sources of capital, debt and equity. For FY2008, and also for FY2009, the cost of capital has been calculated at 9% (after taxes).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Quality</w:t>
      </w:r>
      <w:r>
        <w:rPr>
          <w:rFonts w:ascii="Arial" w:cs="Arial" w:eastAsia="Arial" w:hAnsi="Arial"/>
          <w:sz w:val="18"/>
          <w:szCs w:val="18"/>
          <w:color w:val="auto"/>
        </w:rPr>
        <w:t xml:space="preserve"> equals the costs of scrap, warranty, inspection, rework and the Quality Department.</w:t>
      </w:r>
    </w:p>
    <w:p>
      <w:pPr>
        <w:spacing w:after="0" w:line="18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An executive’s incentive payment may be increased or decreased by up to 20%, at the discretion of the Chairman and CEO and the approval of the Committee, if the executive’s individual performance goals are either exceeded or not achieved. The Committee alone makes decisions regarding the Chairman and CEO’s annual incentive award.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1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Twin Disc, Incorporated 2004 Long-Term Incentive Plan (“LTI Plan”) provides for the opportunity for officers and key employees of the Company (and its subsidiaries) to acquire Company stock via stock options, stock appreciation rights, restricted stock, performance stock awards, performance stock unit awards or performance unit awards. In keeping with the Company’s commitment to provide a total compensation package which includes at-risk components of pay, the Committee makes annual decisions regarding the appropriate type of long-term incentives for each executive.</w:t>
      </w:r>
    </w:p>
    <w:p>
      <w:pPr>
        <w:spacing w:after="0" w:line="13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Because of the limited number of outstanding shares and potential for ownership dilution, the long-term incentive program currently emphasizes the use of restricted stock, performance stock awards, performance stock unit awards and performance unit awards, which typically require fewer shares to achieve a competitive, long-term incentive compensation opportunity than would otherwise be required if only stock options were grantable.</w:t>
      </w:r>
    </w:p>
    <w:p>
      <w:pPr>
        <w:spacing w:after="0" w:line="135" w:lineRule="exact"/>
        <w:rPr>
          <w:sz w:val="20"/>
          <w:szCs w:val="20"/>
          <w:color w:val="auto"/>
        </w:rPr>
      </w:pPr>
    </w:p>
    <w:p>
      <w:pPr>
        <w:ind w:right="160"/>
        <w:spacing w:after="0" w:line="217" w:lineRule="auto"/>
        <w:rPr>
          <w:sz w:val="20"/>
          <w:szCs w:val="20"/>
          <w:color w:val="auto"/>
        </w:rPr>
      </w:pPr>
      <w:r>
        <w:rPr>
          <w:rFonts w:ascii="Arial" w:cs="Arial" w:eastAsia="Arial" w:hAnsi="Arial"/>
          <w:sz w:val="18"/>
          <w:szCs w:val="18"/>
          <w:color w:val="auto"/>
        </w:rPr>
        <w:t>Long-term incentive award opportunities for executives are targeted at the market median (i.e.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to ensure competitive pay for achievement of targeted goals. The Committee establishes the performance goals which must be achieved in order for the award to vest. Grants are made at the beginning of each fiscal year, or as determined by the Committee, for the ensuing multi-year cycle period.</w:t>
      </w:r>
    </w:p>
    <w:p>
      <w:pPr>
        <w:sectPr>
          <w:pgSz w:w="11900" w:h="16838" w:orient="portrait"/>
          <w:cols w:equalWidth="0" w:num="1">
            <w:col w:w="11420"/>
          </w:cols>
          <w:pgMar w:left="240" w:top="122" w:right="239" w:bottom="0" w:gutter="0" w:footer="0" w:header="0"/>
          <w:type w:val="continuous"/>
        </w:sectPr>
      </w:pPr>
    </w:p>
    <w:bookmarkStart w:id="11" w:name="page12"/>
    <w:bookmarkEnd w:id="11"/>
    <w:p>
      <w:pPr>
        <w:ind w:right="200"/>
        <w:spacing w:after="0" w:line="255" w:lineRule="auto"/>
        <w:rPr>
          <w:sz w:val="20"/>
          <w:szCs w:val="20"/>
          <w:color w:val="auto"/>
        </w:rPr>
      </w:pPr>
      <w:r>
        <w:rPr>
          <w:rFonts w:ascii="Arial" w:cs="Arial" w:eastAsia="Arial" w:hAnsi="Arial"/>
          <w:sz w:val="18"/>
          <w:szCs w:val="18"/>
          <w:color w:val="auto"/>
        </w:rPr>
        <w:t>The Committee will use external consultants and survey information as a guideline when considering long-term incentive awards for management. They will review competitiveness of the Plan annually and obtain a periodic independent review. In addition, the Committee reviews and approves Plan changes, as necessary and ensures the Plan’s compliance with shareholder approval requirements.</w:t>
      </w:r>
    </w:p>
    <w:p>
      <w:pPr>
        <w:spacing w:after="0" w:line="14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 FY2008, long-term incentive awards were granted in the form of both performance stock and performance stock units. In order for these shares and units to vest at target levels, the Company must achieve the following performance target:</w:t>
      </w:r>
    </w:p>
    <w:p>
      <w:pPr>
        <w:spacing w:after="0" w:line="131"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The amount of the Company’s economic profit (measured as the difference between the Company’s cumulative net operating profit after taxes and the Company’s cumulative capital charge) for the cumulative three fiscal year period ending June 30, 2010 will equal $15,000,000.</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capital charge is calculated by multiplying invested capital times the cost of capital. Invested capital is defined as total assets less non-interest bearing liabilities, less accrued retirement benefits. Cost of capital is defined as the weighted average expectation of Twin Disc’s sources of capital, debt and equity. For FY08, and also for FY09, the cost of capital has been calculated at 9%, after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achieves the target performance objective, the Employee will receive the target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number of shares or units. If the Company achieves a threshold Performance Objective (i.e. Cumulative economic profit = $12,000,000), the executive will earn 80% of the targeted number of shares. The maximum number of shares or units an executive can earn will be 120% of the target. No shares or units will vest if performance is less than the threshold.</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Benefits</w:t>
      </w:r>
    </w:p>
    <w:p>
      <w:pPr>
        <w:spacing w:after="0" w:line="21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addition to cash compensation and cash/stock incentive programs, the Company believes it is necessary to also recognize the efforts of its officer group and senior management in the area of benefits and perquisites. The Committee annually reviews the Company’s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Pension</w:t>
      </w:r>
    </w:p>
    <w:p>
      <w:pPr>
        <w:spacing w:after="0" w:line="2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Twin Disc, Incorporated Retirement Plan for Salaried Employees provides non-contributory retirement benefits to all Twin Disc, Incorporated salaried employees hired prior to October 1, 2003.</w:t>
      </w:r>
    </w:p>
    <w:p>
      <w:pPr>
        <w:spacing w:after="0" w:line="13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Prior to January 1, 1997 benefits were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program. Mr. M. Batten is the only named executive officer eligible for an accrued benefit under the Plan with 27 years of pre-January 1, 1997 credited service.</w:t>
      </w:r>
    </w:p>
    <w:p>
      <w:pPr>
        <w:spacing w:after="0" w:line="1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Plan was amended on January 1, 1997 to add a cash balance formula for post 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as an annuity. Accruals under the cash balance formula are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5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401(k) Savings Plan</w:t>
      </w:r>
    </w:p>
    <w:p>
      <w:pPr>
        <w:spacing w:after="0" w:line="21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Twin Disc, Incorporated – the Accelerator 401(k) Savings Plan is a tax-qualified retirement savings plan to which all Twin Disc, Incorporated employees, including the named executive officers, are able to contribute up to the limit prescribed by the Internal Revenue Service on a pre-tax or after-tax (Roth) basis. The Company will match 50% of the first 6% of pay that is contributed to the Plan. In addition, in Fiscal 2008, the Company contributed a discretionary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match of an additional 25% of the first 6% of pay for all contributions made in Calendar year 2007. All contributions to the Accelerator 401(k) Savings Plan, as well as any matching contributions, are fully-vested upon contribution.</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Supplemental Retirement Benefit Plan</w:t>
      </w:r>
    </w:p>
    <w:p>
      <w:pPr>
        <w:spacing w:after="0" w:line="219"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color w:val="auto"/>
        </w:rPr>
        <w:t>A supplemental retirement plan is extended to qualified officers. For those who were participants in the plan before January 1, 1998 (only Mr. M. Batten), the supplemental retirement benefit is calculated as an annual benefit approximating 50% of highest rate of pay attained during a specified period, minus amounts accrued under the company’s qualified defined benefit plan. The plan also preserved the level of benefits that had accrued prior to 1998.</w:t>
      </w:r>
    </w:p>
    <w:p>
      <w:pPr>
        <w:spacing w:after="0" w:line="10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For those who became participants after January 1, 1998 (including Mr. Feiertag, Mr. J. Batten and Mr. Eperjesy) the supplemental retirement benefit is calculated as the additional benefit that the participant would have received at retirement under the Company’s qualified defined benefit plan, but for the limitation on compensation used in determining benefits under the defined benefit plan.</w:t>
      </w:r>
    </w:p>
    <w:p>
      <w:pPr>
        <w:spacing w:after="0" w:line="144" w:lineRule="exact"/>
        <w:rPr>
          <w:sz w:val="20"/>
          <w:szCs w:val="20"/>
          <w:color w:val="auto"/>
        </w:rPr>
      </w:pPr>
    </w:p>
    <w:p>
      <w:pPr>
        <w:ind w:right="400"/>
        <w:spacing w:after="0" w:line="335" w:lineRule="auto"/>
        <w:rPr>
          <w:sz w:val="20"/>
          <w:szCs w:val="20"/>
          <w:color w:val="auto"/>
        </w:rPr>
      </w:pPr>
      <w:r>
        <w:rPr>
          <w:rFonts w:ascii="Arial" w:cs="Arial" w:eastAsia="Arial" w:hAnsi="Arial"/>
          <w:sz w:val="16"/>
          <w:szCs w:val="16"/>
          <w:color w:val="auto"/>
        </w:rPr>
        <w:t>The benefit is payable in two lump sum payments, which are paid on the first and second February 1 in the years following retirement. The maximum payment in any given year is $500,000 and any amounts in excess of $500,000 will be paid in the third and subsequent years following retirement.</w:t>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Executive Life Insurance</w:t>
      </w:r>
    </w:p>
    <w:p>
      <w:pPr>
        <w:spacing w:after="0" w:line="21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Company provides an endorsement split-dollar life insurance to the US-based named executives. While employed, the death benefit for the executive is generally equal to three times their annual base salary, although exceptions may occur due to other compensation arrangements. At the later of</w:t>
      </w:r>
    </w:p>
    <w:p>
      <w:pPr>
        <w:spacing w:after="0" w:line="1" w:lineRule="exact"/>
        <w:rPr>
          <w:sz w:val="20"/>
          <w:szCs w:val="20"/>
          <w:color w:val="auto"/>
        </w:rPr>
      </w:pPr>
    </w:p>
    <w:p>
      <w:pPr>
        <w:ind w:right="140"/>
        <w:spacing w:after="0" w:line="213" w:lineRule="auto"/>
        <w:rPr>
          <w:sz w:val="20"/>
          <w:szCs w:val="20"/>
          <w:color w:val="auto"/>
        </w:rPr>
      </w:pPr>
      <w:r>
        <w:rPr>
          <w:rFonts w:ascii="Arial" w:cs="Arial" w:eastAsia="Arial" w:hAnsi="Arial"/>
          <w:sz w:val="18"/>
          <w:szCs w:val="18"/>
          <w:color w:val="auto"/>
        </w:rPr>
        <w:t>retirement or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policy, the Company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ectPr>
          <w:pgSz w:w="11900" w:h="16838" w:orient="portrait"/>
          <w:cols w:equalWidth="0" w:num="1">
            <w:col w:w="11440"/>
          </w:cols>
          <w:pgMar w:left="240" w:top="122" w:right="219" w:bottom="0" w:gutter="0" w:footer="0" w:header="0"/>
        </w:sectPr>
      </w:pPr>
    </w:p>
    <w:bookmarkStart w:id="12" w:name="page13"/>
    <w:bookmarkEnd w:id="12"/>
    <w:p>
      <w:pPr>
        <w:ind w:left="480"/>
        <w:spacing w:after="0"/>
        <w:rPr>
          <w:sz w:val="20"/>
          <w:szCs w:val="20"/>
          <w:color w:val="auto"/>
        </w:rPr>
      </w:pPr>
      <w:r>
        <w:rPr>
          <w:rFonts w:ascii="Arial" w:cs="Arial" w:eastAsia="Arial" w:hAnsi="Arial"/>
          <w:sz w:val="18"/>
          <w:szCs w:val="18"/>
          <w:i w:val="1"/>
          <w:iCs w:val="1"/>
          <w:color w:val="auto"/>
        </w:rPr>
        <w:t>Change in Control Agreements</w:t>
      </w:r>
    </w:p>
    <w:p>
      <w:pPr>
        <w:spacing w:after="0" w:line="21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The Company has change in control agreements with each of its executive officers. The agreements provide for severance benefits to be paid to the executive following a change in control of the Corporation and a termination of employment (as defined in the agreements) of the executive. Severance benefits for an executive officer would generally consist of the sum of the executive’s highest annual base salary between the change in control and the date of termination, plus the executive’s most recent annual bonus, times the lesser of 2.0 (2.5 for Mr. M. Batten, 1.5 for Mr. Fabry) or the number of whole and fractional years between the termination date and his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7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normal retirement date. In addition, the executive would be entitled to the cash value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5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performance share and performance stock unit award agreements between the Company and its named executive officers, as well as the restricted stock grant agreements between the Company and Mr. Eperjesy, have certain change in control provisions. Specifically, if a change in control (as defined in the agreements) occurs and the employee thereafter terminates employment under circumstances specified in the agreements, all performance shares and performance stock units shall immediately vest as if the performance objectives had been fully achieved, and all restricted shares shall become freely transferable and non-forfeitable.</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1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Company initiatives. An item is not a perquisite if it is integrally related to the performance of the executive’s duties. Perquisites are included in the Summary Compensation Table and footnoted if their value exceeds $10,000.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Summary Compensation Table</w:t>
      </w:r>
    </w:p>
    <w:p>
      <w:pPr>
        <w:spacing w:after="0" w:line="22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following table summarizes the “total compensation” of the Company’s Chief Executive Officer, Chief Financial Officer, and its three most highly compensated executive officers for the fiscal year ended June 30, 2008, and other individuals for whom disclosure would have been required but for the fact that such individuals were no longer serving as executive officers as of the end of the fiscal year (“Named Executive Officers”).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ind w:left="185"/>
              <w:spacing w:after="0"/>
              <w:rPr>
                <w:sz w:val="20"/>
                <w:szCs w:val="20"/>
                <w:color w:val="auto"/>
              </w:rPr>
            </w:pPr>
            <w:r>
              <w:rPr>
                <w:rFonts w:ascii="Arial" w:cs="Arial" w:eastAsia="Arial" w:hAnsi="Arial"/>
                <w:sz w:val="15"/>
                <w:szCs w:val="15"/>
                <w:color w:val="auto"/>
                <w:w w:val="97"/>
              </w:rPr>
              <w:t>(4)</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Change in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88"/>
              </w:rPr>
              <w:t>Pension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88"/>
              </w:rPr>
              <w:t>Value and</w:t>
            </w:r>
          </w:p>
        </w:tc>
        <w:tc>
          <w:tcPr>
            <w:tcW w:w="1160" w:type="dxa"/>
            <w:vAlign w:val="bottom"/>
            <w:gridSpan w:val="2"/>
          </w:tcPr>
          <w:p>
            <w:pPr>
              <w:jc w:val="center"/>
              <w:ind w:left="165"/>
              <w:spacing w:after="0"/>
              <w:rPr>
                <w:sz w:val="20"/>
                <w:szCs w:val="20"/>
                <w:color w:val="auto"/>
              </w:rPr>
            </w:pPr>
            <w:r>
              <w:rPr>
                <w:rFonts w:ascii="Arial" w:cs="Arial" w:eastAsia="Arial" w:hAnsi="Arial"/>
                <w:sz w:val="15"/>
                <w:szCs w:val="15"/>
                <w:color w:val="auto"/>
                <w:w w:val="87"/>
              </w:rPr>
              <w:t>(5)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3"/>
              </w:rPr>
              <w:t>Nonqualified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2"/>
        </w:trPr>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05"/>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96"/>
              </w:rPr>
              <w:t>Non-Equity</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Deferred</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4"/>
              </w:rPr>
              <w:t>All Other</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6"/>
        </w:trPr>
        <w:tc>
          <w:tcPr>
            <w:tcW w:w="1480" w:type="dxa"/>
            <w:vAlign w:val="bottom"/>
          </w:tcPr>
          <w:p>
            <w:pPr>
              <w:spacing w:after="0"/>
              <w:rPr>
                <w:sz w:val="20"/>
                <w:szCs w:val="20"/>
                <w:color w:val="auto"/>
              </w:rPr>
            </w:pPr>
            <w:r>
              <w:rPr>
                <w:rFonts w:ascii="Arial" w:cs="Arial" w:eastAsia="Arial" w:hAnsi="Arial"/>
                <w:sz w:val="15"/>
                <w:szCs w:val="15"/>
                <w:color w:val="auto"/>
              </w:rPr>
              <w:t>Name and Principal</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45"/>
              <w:spacing w:after="0"/>
              <w:rPr>
                <w:sz w:val="20"/>
                <w:szCs w:val="20"/>
                <w:color w:val="auto"/>
              </w:rPr>
            </w:pPr>
            <w:r>
              <w:rPr>
                <w:rFonts w:ascii="Arial" w:cs="Arial" w:eastAsia="Arial" w:hAnsi="Arial"/>
                <w:sz w:val="15"/>
                <w:szCs w:val="15"/>
                <w:color w:val="auto"/>
              </w:rPr>
              <w:t>Stock</w:t>
            </w:r>
          </w:p>
        </w:tc>
        <w:tc>
          <w:tcPr>
            <w:tcW w:w="240" w:type="dxa"/>
            <w:vAlign w:val="bottom"/>
          </w:tcPr>
          <w:p>
            <w:pPr>
              <w:spacing w:after="0"/>
              <w:rPr>
                <w:sz w:val="17"/>
                <w:szCs w:val="17"/>
                <w:color w:val="auto"/>
              </w:rPr>
            </w:pPr>
          </w:p>
        </w:tc>
        <w:tc>
          <w:tcPr>
            <w:tcW w:w="900" w:type="dxa"/>
            <w:vAlign w:val="bottom"/>
          </w:tcPr>
          <w:p>
            <w:pPr>
              <w:jc w:val="right"/>
              <w:ind w:right="165"/>
              <w:spacing w:after="0"/>
              <w:rPr>
                <w:sz w:val="20"/>
                <w:szCs w:val="20"/>
                <w:color w:val="auto"/>
              </w:rPr>
            </w:pPr>
            <w:r>
              <w:rPr>
                <w:rFonts w:ascii="Arial" w:cs="Arial" w:eastAsia="Arial" w:hAnsi="Arial"/>
                <w:sz w:val="15"/>
                <w:szCs w:val="15"/>
                <w:color w:val="auto"/>
              </w:rPr>
              <w:t>Option</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88"/>
              </w:rPr>
              <w:t>Compensation</w:t>
            </w:r>
          </w:p>
        </w:tc>
        <w:tc>
          <w:tcPr>
            <w:tcW w:w="240" w:type="dxa"/>
            <w:vAlign w:val="bottom"/>
          </w:tcPr>
          <w:p>
            <w:pPr>
              <w:spacing w:after="0"/>
              <w:rPr>
                <w:sz w:val="17"/>
                <w:szCs w:val="17"/>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Compens-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1480" w:type="dxa"/>
            <w:vAlign w:val="bottom"/>
          </w:tcPr>
          <w:p>
            <w:pPr>
              <w:spacing w:after="0"/>
              <w:rPr>
                <w:sz w:val="20"/>
                <w:szCs w:val="20"/>
                <w:color w:val="auto"/>
              </w:rPr>
            </w:pPr>
            <w:r>
              <w:rPr>
                <w:rFonts w:ascii="Arial" w:cs="Arial" w:eastAsia="Arial" w:hAnsi="Arial"/>
                <w:sz w:val="15"/>
                <w:szCs w:val="15"/>
                <w:color w:val="auto"/>
              </w:rPr>
              <w:t>Position</w:t>
            </w:r>
          </w:p>
        </w:tc>
        <w:tc>
          <w:tcPr>
            <w:tcW w:w="800" w:type="dxa"/>
            <w:vAlign w:val="bottom"/>
            <w:gridSpan w:val="2"/>
          </w:tcPr>
          <w:p>
            <w:pPr>
              <w:jc w:val="right"/>
              <w:ind w:right="280"/>
              <w:spacing w:after="0"/>
              <w:rPr>
                <w:sz w:val="20"/>
                <w:szCs w:val="20"/>
                <w:color w:val="auto"/>
              </w:rPr>
            </w:pPr>
            <w:r>
              <w:rPr>
                <w:rFonts w:ascii="Arial" w:cs="Arial" w:eastAsia="Arial" w:hAnsi="Arial"/>
                <w:sz w:val="15"/>
                <w:szCs w:val="15"/>
                <w:color w:val="auto"/>
              </w:rPr>
              <w:t>Year</w:t>
            </w: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Salary</w:t>
            </w: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color w:val="auto"/>
              </w:rPr>
              <w:t>Bonus</w:t>
            </w:r>
          </w:p>
        </w:tc>
        <w:tc>
          <w:tcPr>
            <w:tcW w:w="920" w:type="dxa"/>
            <w:vAlign w:val="bottom"/>
          </w:tcPr>
          <w:p>
            <w:pPr>
              <w:jc w:val="right"/>
              <w:ind w:right="165"/>
              <w:spacing w:after="0"/>
              <w:rPr>
                <w:sz w:val="20"/>
                <w:szCs w:val="20"/>
                <w:color w:val="auto"/>
              </w:rPr>
            </w:pPr>
            <w:r>
              <w:rPr>
                <w:rFonts w:ascii="Arial" w:cs="Arial" w:eastAsia="Arial" w:hAnsi="Arial"/>
                <w:sz w:val="15"/>
                <w:szCs w:val="15"/>
                <w:color w:val="auto"/>
              </w:rPr>
              <w:t>Awards</w:t>
            </w:r>
          </w:p>
        </w:tc>
        <w:tc>
          <w:tcPr>
            <w:tcW w:w="240" w:type="dxa"/>
            <w:vAlign w:val="bottom"/>
          </w:tcPr>
          <w:p>
            <w:pPr>
              <w:spacing w:after="0"/>
              <w:rPr>
                <w:sz w:val="19"/>
                <w:szCs w:val="19"/>
                <w:color w:val="auto"/>
              </w:rPr>
            </w:pPr>
          </w:p>
        </w:tc>
        <w:tc>
          <w:tcPr>
            <w:tcW w:w="900" w:type="dxa"/>
            <w:vAlign w:val="bottom"/>
          </w:tcPr>
          <w:p>
            <w:pPr>
              <w:jc w:val="right"/>
              <w:ind w:right="145"/>
              <w:spacing w:after="0"/>
              <w:rPr>
                <w:sz w:val="20"/>
                <w:szCs w:val="20"/>
                <w:color w:val="auto"/>
              </w:rPr>
            </w:pPr>
            <w:r>
              <w:rPr>
                <w:rFonts w:ascii="Arial" w:cs="Arial" w:eastAsia="Arial" w:hAnsi="Arial"/>
                <w:sz w:val="15"/>
                <w:szCs w:val="15"/>
                <w:color w:val="auto"/>
              </w:rPr>
              <w:t>Awards</w:t>
            </w:r>
          </w:p>
        </w:tc>
        <w:tc>
          <w:tcPr>
            <w:tcW w:w="2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88"/>
              </w:rPr>
              <w:t>Compensation</w:t>
            </w:r>
          </w:p>
        </w:tc>
        <w:tc>
          <w:tcPr>
            <w:tcW w:w="2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1"/>
              </w:rPr>
              <w:t>Earnings</w:t>
            </w:r>
          </w:p>
        </w:tc>
        <w:tc>
          <w:tcPr>
            <w:tcW w:w="2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Total</w:t>
            </w:r>
          </w:p>
        </w:tc>
      </w:tr>
      <w:tr>
        <w:trPr>
          <w:trHeight w:val="113"/>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742"/>
        </w:trPr>
        <w:tc>
          <w:tcPr>
            <w:tcW w:w="1480" w:type="dxa"/>
            <w:vAlign w:val="bottom"/>
          </w:tcPr>
          <w:p>
            <w:pPr>
              <w:spacing w:after="0"/>
              <w:rPr>
                <w:sz w:val="20"/>
                <w:szCs w:val="20"/>
                <w:color w:val="auto"/>
              </w:rPr>
            </w:pPr>
            <w:r>
              <w:rPr>
                <w:rFonts w:ascii="Arial" w:cs="Arial" w:eastAsia="Arial" w:hAnsi="Arial"/>
                <w:sz w:val="15"/>
                <w:szCs w:val="15"/>
                <w:color w:val="auto"/>
              </w:rPr>
              <w:t>Michael E. Batten</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spacing w:after="0"/>
              <w:rPr>
                <w:sz w:val="20"/>
                <w:szCs w:val="20"/>
                <w:color w:val="auto"/>
              </w:rPr>
            </w:pPr>
            <w:r>
              <w:rPr>
                <w:rFonts w:ascii="Arial" w:cs="Arial" w:eastAsia="Arial" w:hAnsi="Arial"/>
                <w:sz w:val="12"/>
                <w:szCs w:val="12"/>
                <w:color w:val="auto"/>
              </w:rPr>
              <w:t>Chairman and Chief</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2008</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$510,619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$476,545</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$613,725</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$738,814</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$61,802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$2,401,505</w:t>
            </w: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277"/>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gridSpan w:val="3"/>
          </w:tcPr>
          <w:p>
            <w:pPr>
              <w:ind w:left="360"/>
              <w:spacing w:after="0"/>
              <w:rPr>
                <w:sz w:val="20"/>
                <w:szCs w:val="20"/>
                <w:color w:val="auto"/>
              </w:rPr>
            </w:pPr>
            <w:r>
              <w:rPr>
                <w:rFonts w:ascii="Arial" w:cs="Arial" w:eastAsia="Arial" w:hAnsi="Arial"/>
                <w:sz w:val="15"/>
                <w:szCs w:val="15"/>
                <w:color w:val="auto"/>
              </w:rPr>
              <w:t>$300,000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7"/>
        </w:trPr>
        <w:tc>
          <w:tcPr>
            <w:tcW w:w="1480" w:type="dxa"/>
            <w:vAlign w:val="bottom"/>
          </w:tcPr>
          <w:p>
            <w:pPr>
              <w:spacing w:after="0"/>
              <w:rPr>
                <w:sz w:val="20"/>
                <w:szCs w:val="20"/>
                <w:color w:val="auto"/>
              </w:rPr>
            </w:pPr>
            <w:r>
              <w:rPr>
                <w:rFonts w:ascii="Arial" w:cs="Arial" w:eastAsia="Arial" w:hAnsi="Arial"/>
                <w:sz w:val="12"/>
                <w:szCs w:val="12"/>
                <w:color w:val="auto"/>
              </w:rPr>
              <w:t>Executive Officer (7)</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2007</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$455,731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$1,733,546</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$577,916</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$347,551</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$63,242</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$3,477,986</w:t>
            </w:r>
          </w:p>
        </w:tc>
      </w:tr>
      <w:tr>
        <w:trPr>
          <w:trHeight w:val="113"/>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523"/>
        </w:trPr>
        <w:tc>
          <w:tcPr>
            <w:tcW w:w="1480" w:type="dxa"/>
            <w:vAlign w:val="bottom"/>
          </w:tcPr>
          <w:p>
            <w:pPr>
              <w:spacing w:after="0"/>
              <w:rPr>
                <w:sz w:val="20"/>
                <w:szCs w:val="20"/>
                <w:color w:val="auto"/>
              </w:rPr>
            </w:pPr>
            <w:r>
              <w:rPr>
                <w:rFonts w:ascii="Arial" w:cs="Arial" w:eastAsia="Arial" w:hAnsi="Arial"/>
                <w:sz w:val="15"/>
                <w:szCs w:val="15"/>
                <w:color w:val="auto"/>
                <w:w w:val="93"/>
              </w:rPr>
              <w:t>Christopher J. Eperjesy</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spacing w:after="0"/>
              <w:rPr>
                <w:sz w:val="20"/>
                <w:szCs w:val="20"/>
                <w:color w:val="auto"/>
              </w:rPr>
            </w:pPr>
            <w:r>
              <w:rPr>
                <w:rFonts w:ascii="Arial" w:cs="Arial" w:eastAsia="Arial" w:hAnsi="Arial"/>
                <w:sz w:val="12"/>
                <w:szCs w:val="12"/>
                <w:color w:val="auto"/>
              </w:rPr>
              <w:t>Vice President – Finance,</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2008</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$271,539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$247,980</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$235,125</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$24,150</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$44,198</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$822,992</w:t>
            </w: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spacing w:after="0"/>
              <w:rPr>
                <w:sz w:val="20"/>
                <w:szCs w:val="20"/>
                <w:color w:val="auto"/>
              </w:rPr>
            </w:pPr>
            <w:r>
              <w:rPr>
                <w:rFonts w:ascii="Arial" w:cs="Arial" w:eastAsia="Arial" w:hAnsi="Arial"/>
                <w:sz w:val="12"/>
                <w:szCs w:val="12"/>
                <w:color w:val="auto"/>
              </w:rPr>
              <w:t>CFO and Treasurer</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2007</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$256,539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$337,600</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$231,660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$19,215</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$43,976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$888,990</w:t>
            </w:r>
          </w:p>
        </w:tc>
      </w:tr>
      <w:tr>
        <w:trPr>
          <w:trHeight w:val="113"/>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742"/>
        </w:trPr>
        <w:tc>
          <w:tcPr>
            <w:tcW w:w="1480" w:type="dxa"/>
            <w:vAlign w:val="bottom"/>
          </w:tcPr>
          <w:p>
            <w:pPr>
              <w:spacing w:after="0"/>
              <w:rPr>
                <w:sz w:val="20"/>
                <w:szCs w:val="20"/>
                <w:color w:val="auto"/>
              </w:rPr>
            </w:pPr>
            <w:r>
              <w:rPr>
                <w:rFonts w:ascii="Arial" w:cs="Arial" w:eastAsia="Arial" w:hAnsi="Arial"/>
                <w:sz w:val="15"/>
                <w:szCs w:val="15"/>
                <w:color w:val="auto"/>
              </w:rPr>
              <w:t>James E. Feiertag</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ind w:left="40"/>
              <w:spacing w:after="0"/>
              <w:rPr>
                <w:sz w:val="20"/>
                <w:szCs w:val="20"/>
                <w:color w:val="auto"/>
              </w:rPr>
            </w:pPr>
            <w:r>
              <w:rPr>
                <w:rFonts w:ascii="Arial" w:cs="Arial" w:eastAsia="Arial" w:hAnsi="Arial"/>
                <w:sz w:val="12"/>
                <w:szCs w:val="12"/>
                <w:color w:val="auto"/>
              </w:rPr>
              <w:t>Executive Vice President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2008</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$271,539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$234,953</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$229,625</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$27,086</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$59,133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$822,336</w:t>
            </w: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2007</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$256,539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$292,714</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$231,660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$21,600</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$58,757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$861,270</w:t>
            </w:r>
          </w:p>
        </w:tc>
      </w:tr>
      <w:tr>
        <w:trPr>
          <w:trHeight w:val="113"/>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523"/>
        </w:trPr>
        <w:tc>
          <w:tcPr>
            <w:tcW w:w="1480" w:type="dxa"/>
            <w:vAlign w:val="bottom"/>
          </w:tcPr>
          <w:p>
            <w:pPr>
              <w:spacing w:after="0"/>
              <w:rPr>
                <w:sz w:val="20"/>
                <w:szCs w:val="20"/>
                <w:color w:val="auto"/>
              </w:rPr>
            </w:pPr>
            <w:r>
              <w:rPr>
                <w:rFonts w:ascii="Arial" w:cs="Arial" w:eastAsia="Arial" w:hAnsi="Arial"/>
                <w:sz w:val="15"/>
                <w:szCs w:val="15"/>
                <w:color w:val="auto"/>
              </w:rPr>
              <w:t>John H. Batten</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ind w:left="40"/>
              <w:spacing w:after="0"/>
              <w:rPr>
                <w:sz w:val="20"/>
                <w:szCs w:val="20"/>
                <w:color w:val="auto"/>
              </w:rPr>
            </w:pPr>
            <w:r>
              <w:rPr>
                <w:rFonts w:ascii="Arial" w:cs="Arial" w:eastAsia="Arial" w:hAnsi="Arial"/>
                <w:sz w:val="12"/>
                <w:szCs w:val="12"/>
                <w:color w:val="auto"/>
              </w:rPr>
              <w:t>President and Chief</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2008</w:t>
            </w:r>
          </w:p>
        </w:tc>
        <w:tc>
          <w:tcPr>
            <w:tcW w:w="1040" w:type="dxa"/>
            <w:vAlign w:val="bottom"/>
            <w:gridSpan w:val="2"/>
          </w:tcPr>
          <w:p>
            <w:pPr>
              <w:jc w:val="center"/>
              <w:ind w:left="125"/>
              <w:spacing w:after="0"/>
              <w:rPr>
                <w:sz w:val="20"/>
                <w:szCs w:val="20"/>
                <w:color w:val="auto"/>
              </w:rPr>
            </w:pPr>
            <w:r>
              <w:rPr>
                <w:rFonts w:ascii="Arial" w:cs="Arial" w:eastAsia="Arial" w:hAnsi="Arial"/>
                <w:sz w:val="15"/>
                <w:szCs w:val="15"/>
                <w:color w:val="auto"/>
                <w:w w:val="89"/>
              </w:rPr>
              <w:t>$248,077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$234,953</w:t>
            </w:r>
          </w:p>
        </w:tc>
        <w:tc>
          <w:tcPr>
            <w:tcW w:w="114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260" w:type="dxa"/>
            <w:vAlign w:val="bottom"/>
            <w:gridSpan w:val="2"/>
          </w:tcPr>
          <w:p>
            <w:pPr>
              <w:ind w:left="660"/>
              <w:spacing w:after="0"/>
              <w:rPr>
                <w:sz w:val="20"/>
                <w:szCs w:val="20"/>
                <w:color w:val="auto"/>
              </w:rPr>
            </w:pPr>
            <w:r>
              <w:rPr>
                <w:rFonts w:ascii="Arial" w:cs="Arial" w:eastAsia="Arial" w:hAnsi="Arial"/>
                <w:sz w:val="15"/>
                <w:szCs w:val="15"/>
                <w:color w:val="auto"/>
                <w:w w:val="92"/>
              </w:rPr>
              <w:t>$212,525</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$25,780</w:t>
            </w:r>
          </w:p>
        </w:tc>
        <w:tc>
          <w:tcPr>
            <w:tcW w:w="1160" w:type="dxa"/>
            <w:vAlign w:val="bottom"/>
            <w:gridSpan w:val="2"/>
          </w:tcPr>
          <w:p>
            <w:pPr>
              <w:ind w:left="380"/>
              <w:spacing w:after="0"/>
              <w:rPr>
                <w:sz w:val="20"/>
                <w:szCs w:val="20"/>
                <w:color w:val="auto"/>
              </w:rPr>
            </w:pPr>
            <w:r>
              <w:rPr>
                <w:rFonts w:ascii="Arial" w:cs="Arial" w:eastAsia="Arial" w:hAnsi="Arial"/>
                <w:sz w:val="15"/>
                <w:szCs w:val="15"/>
                <w:color w:val="auto"/>
              </w:rPr>
              <w:t>$41,857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$763,192</w:t>
            </w: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-3957955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-3957955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-3957955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-3957955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-3957955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-3957955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-3957955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-3957955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-3957955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-3957955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-3957955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-3957955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-3957955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-3957955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5833745</wp:posOffset>
            </wp:positionH>
            <wp:positionV relativeFrom="paragraph">
              <wp:posOffset>-3957955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-3957955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-3957955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-3957955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7244715</wp:posOffset>
            </wp:positionH>
            <wp:positionV relativeFrom="paragraph">
              <wp:posOffset>-3957955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6725285</wp:posOffset>
            </wp:positionH>
            <wp:positionV relativeFrom="paragraph">
              <wp:posOffset>-3957955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-2744470</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-2744470</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-2744470</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-2744470</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-2744470</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-2744470</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-2744470</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-2744470</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-2744470</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-2744470</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-2744470</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-2744470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-2744470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-2744470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5833745</wp:posOffset>
            </wp:positionH>
            <wp:positionV relativeFrom="paragraph">
              <wp:posOffset>-2744470</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-2744470</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-2744470</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-2744470</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7244715</wp:posOffset>
            </wp:positionH>
            <wp:positionV relativeFrom="paragraph">
              <wp:posOffset>-2744470</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6725285</wp:posOffset>
            </wp:positionH>
            <wp:positionV relativeFrom="paragraph">
              <wp:posOffset>-2744470</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-1786890</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-1786890</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-1786890</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-1786890</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-1786890</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-1786890</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-1786890</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-1786890</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-1786890</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-1786890</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-1786890</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-1786890</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-1786890</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-1786890</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5833745</wp:posOffset>
            </wp:positionH>
            <wp:positionV relativeFrom="paragraph">
              <wp:posOffset>-1786890</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-1786890</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-1786890</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-1786890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7244715</wp:posOffset>
            </wp:positionH>
            <wp:positionV relativeFrom="paragraph">
              <wp:posOffset>-1786890</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6725285</wp:posOffset>
            </wp:positionH>
            <wp:positionV relativeFrom="paragraph">
              <wp:posOffset>-1786890</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-690245</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-690245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-690245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-690245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-690245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-690245</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-690245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-690245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-690245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-690245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4144645</wp:posOffset>
            </wp:positionH>
            <wp:positionV relativeFrom="paragraph">
              <wp:posOffset>-690245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-690245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-690245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-690245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5833745</wp:posOffset>
            </wp:positionH>
            <wp:positionV relativeFrom="paragraph">
              <wp:posOffset>-690245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5109845</wp:posOffset>
            </wp:positionH>
            <wp:positionV relativeFrom="paragraph">
              <wp:posOffset>-690245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-690245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5994400</wp:posOffset>
            </wp:positionH>
            <wp:positionV relativeFrom="paragraph">
              <wp:posOffset>-690245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7244715</wp:posOffset>
            </wp:positionH>
            <wp:positionV relativeFrom="paragraph">
              <wp:posOffset>-690245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6725285</wp:posOffset>
            </wp:positionH>
            <wp:positionV relativeFrom="paragraph">
              <wp:posOffset>-690245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3" w:name="page14"/>
    <w:bookmarkEnd w:id="13"/>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480" w:type="dxa"/>
            <w:vAlign w:val="bottom"/>
          </w:tcPr>
          <w:p>
            <w:pPr>
              <w:ind w:left="40"/>
              <w:spacing w:after="0"/>
              <w:rPr>
                <w:sz w:val="20"/>
                <w:szCs w:val="20"/>
                <w:color w:val="auto"/>
              </w:rPr>
            </w:pPr>
            <w:r>
              <w:rPr>
                <w:rFonts w:ascii="Arial" w:cs="Arial" w:eastAsia="Arial" w:hAnsi="Arial"/>
                <w:sz w:val="12"/>
                <w:szCs w:val="12"/>
                <w:color w:val="auto"/>
              </w:rPr>
              <w:t>Operating Officer (7)</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2007</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$216,923</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$282,875</w:t>
            </w: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$200,475</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$19,737</w:t>
            </w: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$42,586</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$762,596</w:t>
            </w:r>
          </w:p>
        </w:tc>
      </w:tr>
      <w:tr>
        <w:trPr>
          <w:trHeight w:val="113"/>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523"/>
        </w:trPr>
        <w:tc>
          <w:tcPr>
            <w:tcW w:w="1480" w:type="dxa"/>
            <w:vAlign w:val="bottom"/>
          </w:tcPr>
          <w:p>
            <w:pPr>
              <w:spacing w:after="0"/>
              <w:rPr>
                <w:sz w:val="20"/>
                <w:szCs w:val="20"/>
                <w:color w:val="auto"/>
              </w:rPr>
            </w:pPr>
            <w:r>
              <w:rPr>
                <w:rFonts w:ascii="Arial" w:cs="Arial" w:eastAsia="Arial" w:hAnsi="Arial"/>
                <w:sz w:val="15"/>
                <w:szCs w:val="15"/>
                <w:color w:val="auto"/>
              </w:rPr>
              <w:t>H. Claude Fabry (3)</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spacing w:after="0"/>
              <w:rPr>
                <w:sz w:val="20"/>
                <w:szCs w:val="20"/>
                <w:color w:val="auto"/>
              </w:rPr>
            </w:pPr>
            <w:r>
              <w:rPr>
                <w:rFonts w:ascii="Arial" w:cs="Arial" w:eastAsia="Arial" w:hAnsi="Arial"/>
                <w:sz w:val="12"/>
                <w:szCs w:val="12"/>
                <w:color w:val="auto"/>
              </w:rPr>
              <w:t>Vice President – Global</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2008</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$233,256</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$96,645</w:t>
            </w: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$169,865</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$18,439</w:t>
            </w: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$35,272</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$553,477</w:t>
            </w: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0"/>
        </w:trPr>
        <w:tc>
          <w:tcPr>
            <w:tcW w:w="1480" w:type="dxa"/>
            <w:vAlign w:val="bottom"/>
          </w:tcPr>
          <w:p>
            <w:pPr>
              <w:spacing w:after="0"/>
              <w:rPr>
                <w:sz w:val="20"/>
                <w:szCs w:val="20"/>
                <w:color w:val="auto"/>
              </w:rPr>
            </w:pPr>
            <w:r>
              <w:rPr>
                <w:rFonts w:ascii="Arial" w:cs="Arial" w:eastAsia="Arial" w:hAnsi="Arial"/>
                <w:sz w:val="12"/>
                <w:szCs w:val="12"/>
                <w:color w:val="auto"/>
              </w:rPr>
              <w:t>Distribution</w:t>
            </w: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2007</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$195,724</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$111,136</w:t>
            </w: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$142,573</w:t>
            </w:r>
          </w:p>
        </w:tc>
        <w:tc>
          <w:tcPr>
            <w:tcW w:w="1400" w:type="dxa"/>
            <w:vAlign w:val="bottom"/>
            <w:gridSpan w:val="2"/>
          </w:tcPr>
          <w:p>
            <w:pPr>
              <w:jc w:val="right"/>
              <w:ind w:right="40"/>
              <w:spacing w:after="0"/>
              <w:rPr>
                <w:sz w:val="20"/>
                <w:szCs w:val="20"/>
                <w:color w:val="auto"/>
              </w:rPr>
            </w:pPr>
            <w:r>
              <w:rPr>
                <w:rFonts w:ascii="Arial" w:cs="Arial" w:eastAsia="Arial" w:hAnsi="Arial"/>
                <w:sz w:val="15"/>
                <w:szCs w:val="15"/>
                <w:color w:val="auto"/>
              </w:rPr>
              <w:t>$5,007</w:t>
            </w: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$42,277</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$496,717</w:t>
            </w:r>
          </w:p>
        </w:tc>
      </w:tr>
      <w:tr>
        <w:trPr>
          <w:trHeight w:val="106"/>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-960755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-960755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-960755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-960755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-960755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-960755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-960755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-960755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-960755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-960755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-960755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-960755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-960755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-960755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-960755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-960755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-960755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-960755</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-960755</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6730365</wp:posOffset>
            </wp:positionH>
            <wp:positionV relativeFrom="paragraph">
              <wp:posOffset>-960755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8" w:right="200" w:hanging="8"/>
        <w:spacing w:after="0" w:line="268" w:lineRule="auto"/>
        <w:tabs>
          <w:tab w:leader="none" w:pos="2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Reflects the compensation expense recognized in both fiscal year 2008 and 2007 for each Named Executive Officer as reported in our audited financial statements. This expense was computed in accordance with Financial Accounting Standards Board Statement No. 123(R), Share-Based Payment (“FAS 123R”). The assumptions made in the valuations are discussed in Footnote K to our 2008 financial statements. The following table presents</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83" w:lineRule="exact"/>
        <w:rPr>
          <w:sz w:val="20"/>
          <w:szCs w:val="20"/>
          <w:color w:val="auto"/>
        </w:rPr>
      </w:pPr>
    </w:p>
    <w:p>
      <w:pPr>
        <w:ind w:left="8" w:right="20"/>
        <w:spacing w:after="0" w:line="279" w:lineRule="auto"/>
        <w:rPr>
          <w:sz w:val="20"/>
          <w:szCs w:val="20"/>
          <w:color w:val="auto"/>
        </w:rPr>
      </w:pPr>
      <w:r>
        <w:rPr>
          <w:rFonts w:ascii="Arial" w:cs="Arial" w:eastAsia="Arial" w:hAnsi="Arial"/>
          <w:sz w:val="15"/>
          <w:szCs w:val="15"/>
          <w:color w:val="auto"/>
        </w:rPr>
        <w:t>separately the compensation expense recognized in fiscal 2008 and 2007 for outstanding awards of performance stock, performance stock units and restricted stock for each Named Executive Officer:</w:t>
      </w:r>
    </w:p>
    <w:p>
      <w:pPr>
        <w:spacing w:after="0" w:line="186"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140" w:type="dxa"/>
            <w:vAlign w:val="bottom"/>
          </w:tcPr>
          <w:p>
            <w:pPr>
              <w:spacing w:after="0"/>
              <w:rPr>
                <w:sz w:val="20"/>
                <w:szCs w:val="20"/>
                <w:color w:val="auto"/>
              </w:rPr>
            </w:pPr>
            <w:r>
              <w:rPr>
                <w:rFonts w:ascii="Arial" w:cs="Arial" w:eastAsia="Arial" w:hAnsi="Arial"/>
                <w:sz w:val="15"/>
                <w:szCs w:val="15"/>
                <w:color w:val="auto"/>
              </w:rPr>
              <w:t>Name</w:t>
            </w:r>
          </w:p>
        </w:tc>
        <w:tc>
          <w:tcPr>
            <w:tcW w:w="140" w:type="dxa"/>
            <w:vAlign w:val="bottom"/>
          </w:tcPr>
          <w:p>
            <w:pPr>
              <w:spacing w:after="0"/>
              <w:rPr>
                <w:sz w:val="16"/>
                <w:szCs w:val="16"/>
                <w:color w:val="auto"/>
              </w:rPr>
            </w:pPr>
          </w:p>
        </w:tc>
        <w:tc>
          <w:tcPr>
            <w:tcW w:w="720" w:type="dxa"/>
            <w:vAlign w:val="bottom"/>
          </w:tcPr>
          <w:p>
            <w:pPr>
              <w:jc w:val="right"/>
              <w:ind w:right="165"/>
              <w:spacing w:after="0"/>
              <w:rPr>
                <w:sz w:val="20"/>
                <w:szCs w:val="20"/>
                <w:color w:val="auto"/>
              </w:rPr>
            </w:pPr>
            <w:r>
              <w:rPr>
                <w:rFonts w:ascii="Arial" w:cs="Arial" w:eastAsia="Arial" w:hAnsi="Arial"/>
                <w:sz w:val="15"/>
                <w:szCs w:val="15"/>
                <w:color w:val="auto"/>
              </w:rPr>
              <w:t>Year</w:t>
            </w:r>
          </w:p>
        </w:tc>
        <w:tc>
          <w:tcPr>
            <w:tcW w:w="140" w:type="dxa"/>
            <w:vAlign w:val="bottom"/>
          </w:tcPr>
          <w:p>
            <w:pPr>
              <w:spacing w:after="0"/>
              <w:rPr>
                <w:sz w:val="16"/>
                <w:szCs w:val="16"/>
                <w:color w:val="auto"/>
              </w:rPr>
            </w:pPr>
          </w:p>
        </w:tc>
        <w:tc>
          <w:tcPr>
            <w:tcW w:w="1100" w:type="dxa"/>
            <w:vAlign w:val="bottom"/>
          </w:tcPr>
          <w:p>
            <w:pPr>
              <w:jc w:val="right"/>
              <w:ind w:right="105"/>
              <w:spacing w:after="0"/>
              <w:rPr>
                <w:sz w:val="20"/>
                <w:szCs w:val="20"/>
                <w:color w:val="auto"/>
              </w:rPr>
            </w:pPr>
            <w:r>
              <w:rPr>
                <w:rFonts w:ascii="Arial" w:cs="Arial" w:eastAsia="Arial" w:hAnsi="Arial"/>
                <w:sz w:val="15"/>
                <w:szCs w:val="15"/>
                <w:color w:val="auto"/>
              </w:rPr>
              <w:t>Performance</w:t>
            </w:r>
          </w:p>
        </w:tc>
        <w:tc>
          <w:tcPr>
            <w:tcW w:w="140" w:type="dxa"/>
            <w:vAlign w:val="bottom"/>
          </w:tcPr>
          <w:p>
            <w:pPr>
              <w:spacing w:after="0"/>
              <w:rPr>
                <w:sz w:val="16"/>
                <w:szCs w:val="16"/>
                <w:color w:val="auto"/>
              </w:rPr>
            </w:pPr>
          </w:p>
        </w:tc>
        <w:tc>
          <w:tcPr>
            <w:tcW w:w="1340" w:type="dxa"/>
            <w:vAlign w:val="bottom"/>
          </w:tcPr>
          <w:p>
            <w:pPr>
              <w:jc w:val="right"/>
              <w:ind w:right="45"/>
              <w:spacing w:after="0"/>
              <w:rPr>
                <w:sz w:val="20"/>
                <w:szCs w:val="20"/>
                <w:color w:val="auto"/>
              </w:rPr>
            </w:pPr>
            <w:r>
              <w:rPr>
                <w:rFonts w:ascii="Arial" w:cs="Arial" w:eastAsia="Arial" w:hAnsi="Arial"/>
                <w:sz w:val="15"/>
                <w:szCs w:val="15"/>
                <w:color w:val="auto"/>
                <w:w w:val="94"/>
              </w:rPr>
              <w:t>Performance Stock</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Restricted Stock</w:t>
            </w:r>
          </w:p>
        </w:tc>
      </w:tr>
      <w:tr>
        <w:trPr>
          <w:trHeight w:val="219"/>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25"/>
              <w:spacing w:after="0"/>
              <w:rPr>
                <w:sz w:val="20"/>
                <w:szCs w:val="20"/>
                <w:color w:val="auto"/>
              </w:rPr>
            </w:pPr>
            <w:r>
              <w:rPr>
                <w:rFonts w:ascii="Arial" w:cs="Arial" w:eastAsia="Arial" w:hAnsi="Arial"/>
                <w:sz w:val="15"/>
                <w:szCs w:val="15"/>
                <w:color w:val="auto"/>
              </w:rPr>
              <w:t>Stock</w:t>
            </w:r>
          </w:p>
        </w:tc>
        <w:tc>
          <w:tcPr>
            <w:tcW w:w="140" w:type="dxa"/>
            <w:vAlign w:val="bottom"/>
          </w:tcPr>
          <w:p>
            <w:pPr>
              <w:spacing w:after="0"/>
              <w:rPr>
                <w:sz w:val="19"/>
                <w:szCs w:val="19"/>
                <w:color w:val="auto"/>
              </w:rPr>
            </w:pPr>
          </w:p>
        </w:tc>
        <w:tc>
          <w:tcPr>
            <w:tcW w:w="1340" w:type="dxa"/>
            <w:vAlign w:val="bottom"/>
          </w:tcPr>
          <w:p>
            <w:pPr>
              <w:jc w:val="right"/>
              <w:ind w:right="465"/>
              <w:spacing w:after="0"/>
              <w:rPr>
                <w:sz w:val="20"/>
                <w:szCs w:val="20"/>
                <w:color w:val="auto"/>
              </w:rPr>
            </w:pPr>
            <w:r>
              <w:rPr>
                <w:rFonts w:ascii="Arial" w:cs="Arial" w:eastAsia="Arial" w:hAnsi="Arial"/>
                <w:sz w:val="15"/>
                <w:szCs w:val="15"/>
                <w:color w:val="auto"/>
              </w:rPr>
              <w:t>Units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5"/>
                <w:szCs w:val="15"/>
                <w:color w:val="auto"/>
                <w:w w:val="95"/>
              </w:rPr>
              <w:t>Michael E. Batten</w:t>
            </w: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$224,559</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$251,989</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4"/>
                <w:szCs w:val="24"/>
                <w:color w:val="auto"/>
              </w:rPr>
            </w:pP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2007</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$261,369</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$1,472,177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523"/>
        </w:trPr>
        <w:tc>
          <w:tcPr>
            <w:tcW w:w="1140" w:type="dxa"/>
            <w:vAlign w:val="bottom"/>
          </w:tcPr>
          <w:p>
            <w:pPr>
              <w:spacing w:after="0"/>
              <w:rPr>
                <w:sz w:val="20"/>
                <w:szCs w:val="20"/>
                <w:color w:val="auto"/>
              </w:rPr>
            </w:pPr>
            <w:r>
              <w:rPr>
                <w:rFonts w:ascii="Arial" w:cs="Arial" w:eastAsia="Arial" w:hAnsi="Arial"/>
                <w:sz w:val="15"/>
                <w:szCs w:val="15"/>
                <w:color w:val="auto"/>
              </w:rPr>
              <w:t>Christopher J.</w:t>
            </w: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$164,997</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$69,956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$13,027</w:t>
            </w:r>
          </w:p>
        </w:tc>
      </w:tr>
      <w:tr>
        <w:trPr>
          <w:trHeight w:val="219"/>
        </w:trPr>
        <w:tc>
          <w:tcPr>
            <w:tcW w:w="1140" w:type="dxa"/>
            <w:vAlign w:val="bottom"/>
          </w:tcPr>
          <w:p>
            <w:pPr>
              <w:spacing w:after="0"/>
              <w:rPr>
                <w:sz w:val="20"/>
                <w:szCs w:val="20"/>
                <w:color w:val="auto"/>
              </w:rPr>
            </w:pPr>
            <w:r>
              <w:rPr>
                <w:rFonts w:ascii="Arial" w:cs="Arial" w:eastAsia="Arial" w:hAnsi="Arial"/>
                <w:sz w:val="15"/>
                <w:szCs w:val="15"/>
                <w:color w:val="auto"/>
              </w:rPr>
              <w:t>Eperjesy</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4"/>
                <w:szCs w:val="24"/>
                <w:color w:val="auto"/>
              </w:rPr>
            </w:pP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2007</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$108,146</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$184,568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$44,886</w:t>
            </w: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523"/>
        </w:trPr>
        <w:tc>
          <w:tcPr>
            <w:tcW w:w="1140" w:type="dxa"/>
            <w:vAlign w:val="bottom"/>
          </w:tcPr>
          <w:p>
            <w:pPr>
              <w:spacing w:after="0"/>
              <w:rPr>
                <w:sz w:val="20"/>
                <w:szCs w:val="20"/>
                <w:color w:val="auto"/>
              </w:rPr>
            </w:pPr>
            <w:r>
              <w:rPr>
                <w:rFonts w:ascii="Arial" w:cs="Arial" w:eastAsia="Arial" w:hAnsi="Arial"/>
                <w:sz w:val="15"/>
                <w:szCs w:val="15"/>
                <w:color w:val="auto"/>
                <w:w w:val="91"/>
              </w:rPr>
              <w:t>James E. Feiertag</w:t>
            </w: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$164,997</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$69,956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4"/>
                <w:szCs w:val="24"/>
                <w:color w:val="auto"/>
              </w:rPr>
            </w:pP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2007</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$108,146</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$184,568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523"/>
        </w:trPr>
        <w:tc>
          <w:tcPr>
            <w:tcW w:w="1140" w:type="dxa"/>
            <w:vAlign w:val="bottom"/>
          </w:tcPr>
          <w:p>
            <w:pPr>
              <w:spacing w:after="0"/>
              <w:rPr>
                <w:sz w:val="20"/>
                <w:szCs w:val="20"/>
                <w:color w:val="auto"/>
              </w:rPr>
            </w:pPr>
            <w:r>
              <w:rPr>
                <w:rFonts w:ascii="Arial" w:cs="Arial" w:eastAsia="Arial" w:hAnsi="Arial"/>
                <w:sz w:val="15"/>
                <w:szCs w:val="15"/>
                <w:color w:val="auto"/>
              </w:rPr>
              <w:t>John H. Batten</w:t>
            </w: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$164,997</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$69,956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4"/>
                <w:szCs w:val="24"/>
                <w:color w:val="auto"/>
              </w:rPr>
            </w:pP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2007</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$98,307</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$184,568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523"/>
        </w:trPr>
        <w:tc>
          <w:tcPr>
            <w:tcW w:w="1140" w:type="dxa"/>
            <w:vAlign w:val="bottom"/>
          </w:tcPr>
          <w:p>
            <w:pPr>
              <w:spacing w:after="0"/>
              <w:rPr>
                <w:sz w:val="20"/>
                <w:szCs w:val="20"/>
                <w:color w:val="auto"/>
              </w:rPr>
            </w:pPr>
            <w:r>
              <w:rPr>
                <w:rFonts w:ascii="Arial" w:cs="Arial" w:eastAsia="Arial" w:hAnsi="Arial"/>
                <w:sz w:val="15"/>
                <w:szCs w:val="15"/>
                <w:color w:val="auto"/>
              </w:rPr>
              <w:t>H. Claude Fabry</w:t>
            </w: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$70,591</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$28,054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4"/>
                <w:szCs w:val="24"/>
                <w:color w:val="auto"/>
              </w:rPr>
            </w:pPr>
          </w:p>
        </w:tc>
        <w:tc>
          <w:tcPr>
            <w:tcW w:w="860" w:type="dxa"/>
            <w:vAlign w:val="bottom"/>
            <w:gridSpan w:val="2"/>
          </w:tcPr>
          <w:p>
            <w:pPr>
              <w:jc w:val="right"/>
              <w:ind w:right="205"/>
              <w:spacing w:after="0"/>
              <w:rPr>
                <w:sz w:val="20"/>
                <w:szCs w:val="20"/>
                <w:color w:val="auto"/>
              </w:rPr>
            </w:pPr>
            <w:r>
              <w:rPr>
                <w:rFonts w:ascii="Arial" w:cs="Arial" w:eastAsia="Arial" w:hAnsi="Arial"/>
                <w:sz w:val="15"/>
                <w:szCs w:val="15"/>
                <w:color w:val="auto"/>
              </w:rPr>
              <w:t>2007</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$52,029</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$59,107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06"/>
        </w:trPr>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-2890520</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-2890520</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-2890520</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-2890520</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-2890520</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-2890520</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-2890520</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-2890520</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-2890520</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-2890520</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-2064385</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-2064385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-2064385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-2064385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-2064385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-2064385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-2064385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-2064385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-2064385</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-2064385</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-1377315</wp:posOffset>
            </wp:positionV>
            <wp:extent cx="127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-1377315</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-1377315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-1377315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-1377315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-1377315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-1377315</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-1377315</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-1377315</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-1377315</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-690245</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-690245</wp:posOffset>
            </wp:positionV>
            <wp:extent cx="127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-690245</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-690245</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-690245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-690245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-690245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-690245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-690245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-690245</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95" w:lineRule="exact"/>
        <w:rPr>
          <w:sz w:val="20"/>
          <w:szCs w:val="20"/>
          <w:color w:val="auto"/>
        </w:rPr>
      </w:pPr>
    </w:p>
    <w:p>
      <w:pPr>
        <w:ind w:left="408" w:right="4120" w:hanging="408"/>
        <w:spacing w:after="0" w:line="279" w:lineRule="auto"/>
        <w:tabs>
          <w:tab w:leader="none" w:pos="408"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Reflects cash bonuses earned in connection with achievement in 2008 and 2007 of the specific performance targets described in the CD&amp;A.</w:t>
      </w:r>
    </w:p>
    <w:p>
      <w:pPr>
        <w:spacing w:after="0" w:line="243" w:lineRule="exact"/>
        <w:rPr>
          <w:rFonts w:ascii="Arial" w:cs="Arial" w:eastAsia="Arial" w:hAnsi="Arial"/>
          <w:sz w:val="15"/>
          <w:szCs w:val="15"/>
          <w:color w:val="auto"/>
        </w:rPr>
      </w:pPr>
    </w:p>
    <w:p>
      <w:pPr>
        <w:ind w:left="408" w:right="3760" w:hanging="408"/>
        <w:spacing w:after="0" w:line="279" w:lineRule="auto"/>
        <w:tabs>
          <w:tab w:leader="none" w:pos="408"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portion of Mr. Fabry’s compensation was denominated in Euro, which has been translated at the average exchange rate for fiscal 2008 of 1.47061 and for fiscal 2007 of 1.30573.</w:t>
      </w:r>
    </w:p>
    <w:p>
      <w:pPr>
        <w:spacing w:after="0" w:line="255" w:lineRule="exact"/>
        <w:rPr>
          <w:rFonts w:ascii="Arial" w:cs="Arial" w:eastAsia="Arial" w:hAnsi="Arial"/>
          <w:sz w:val="15"/>
          <w:szCs w:val="15"/>
          <w:color w:val="auto"/>
        </w:rPr>
      </w:pPr>
    </w:p>
    <w:p>
      <w:pPr>
        <w:ind w:left="408" w:right="3720" w:hanging="408"/>
        <w:spacing w:after="0" w:line="268" w:lineRule="auto"/>
        <w:tabs>
          <w:tab w:leader="none" w:pos="40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These figures include a change in qualified pension value amount for Mr. M. Batten ($33,521), Mr. Eperjesy ($12,235), Mr. Feiertag ($13,331), and Mr. J. Batten ($15,635) . The remainder represents a change in the nonqualified supplemental pension plan values.</w:t>
      </w:r>
    </w:p>
    <w:p>
      <w:pPr>
        <w:spacing w:after="0" w:line="285" w:lineRule="exact"/>
        <w:rPr>
          <w:rFonts w:ascii="Arial" w:cs="Arial" w:eastAsia="Arial" w:hAnsi="Arial"/>
          <w:sz w:val="15"/>
          <w:szCs w:val="15"/>
          <w:color w:val="auto"/>
        </w:rPr>
      </w:pPr>
    </w:p>
    <w:p>
      <w:pPr>
        <w:ind w:left="408" w:hanging="408"/>
        <w:spacing w:after="0"/>
        <w:tabs>
          <w:tab w:leader="none" w:pos="408"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Other Compensation consists of the following:</w:t>
      </w: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87"/>
              </w:rPr>
              <w:t>Personal</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9"/>
        </w:trPr>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3"/>
              </w:rPr>
              <w:t>401(k)</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2"/>
              </w:rPr>
              <w:t>Use of</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w w:val="88"/>
              </w:rPr>
              <w:t>Personal Use</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9"/>
        </w:trPr>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0"/>
              </w:rPr>
              <w:t>Company</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0"/>
              </w:rPr>
              <w:t>Company</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9"/>
              </w:rPr>
              <w:t>Life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w w:val="96"/>
              </w:rPr>
              <w:t>of Company</w:t>
            </w:r>
          </w:p>
        </w:tc>
        <w:tc>
          <w:tcPr>
            <w:tcW w:w="180" w:type="dxa"/>
            <w:vAlign w:val="bottom"/>
          </w:tcPr>
          <w:p>
            <w:pPr>
              <w:spacing w:after="0"/>
              <w:rPr>
                <w:sz w:val="19"/>
                <w:szCs w:val="19"/>
                <w:color w:val="auto"/>
              </w:rPr>
            </w:pPr>
          </w:p>
        </w:tc>
        <w:tc>
          <w:tcPr>
            <w:tcW w:w="760" w:type="dxa"/>
            <w:vAlign w:val="bottom"/>
          </w:tcPr>
          <w:p>
            <w:pPr>
              <w:jc w:val="right"/>
              <w:ind w:right="65"/>
              <w:spacing w:after="0"/>
              <w:rPr>
                <w:sz w:val="20"/>
                <w:szCs w:val="20"/>
                <w:color w:val="auto"/>
              </w:rPr>
            </w:pPr>
            <w:r>
              <w:rPr>
                <w:rFonts w:ascii="Arial" w:cs="Arial" w:eastAsia="Arial" w:hAnsi="Arial"/>
                <w:sz w:val="15"/>
                <w:szCs w:val="15"/>
                <w:color w:val="auto"/>
              </w:rPr>
              <w:t>Spousal</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9"/>
        </w:trPr>
        <w:tc>
          <w:tcPr>
            <w:tcW w:w="860" w:type="dxa"/>
            <w:vAlign w:val="bottom"/>
          </w:tcPr>
          <w:p>
            <w:pPr>
              <w:spacing w:after="0"/>
              <w:rPr>
                <w:sz w:val="20"/>
                <w:szCs w:val="20"/>
                <w:color w:val="auto"/>
              </w:rPr>
            </w:pPr>
            <w:r>
              <w:rPr>
                <w:rFonts w:ascii="Arial" w:cs="Arial" w:eastAsia="Arial" w:hAnsi="Arial"/>
                <w:sz w:val="15"/>
                <w:szCs w:val="15"/>
                <w:color w:val="auto"/>
              </w:rPr>
              <w:t>Name</w:t>
            </w:r>
          </w:p>
        </w:tc>
        <w:tc>
          <w:tcPr>
            <w:tcW w:w="200" w:type="dxa"/>
            <w:vAlign w:val="bottom"/>
          </w:tcPr>
          <w:p>
            <w:pPr>
              <w:spacing w:after="0"/>
              <w:rPr>
                <w:sz w:val="19"/>
                <w:szCs w:val="19"/>
                <w:color w:val="auto"/>
              </w:rPr>
            </w:pPr>
          </w:p>
        </w:tc>
        <w:tc>
          <w:tcPr>
            <w:tcW w:w="760" w:type="dxa"/>
            <w:vAlign w:val="bottom"/>
          </w:tcPr>
          <w:p>
            <w:pPr>
              <w:jc w:val="right"/>
              <w:ind w:right="185"/>
              <w:spacing w:after="0"/>
              <w:rPr>
                <w:sz w:val="20"/>
                <w:szCs w:val="20"/>
                <w:color w:val="auto"/>
              </w:rPr>
            </w:pPr>
            <w:r>
              <w:rPr>
                <w:rFonts w:ascii="Arial" w:cs="Arial" w:eastAsia="Arial" w:hAnsi="Arial"/>
                <w:sz w:val="15"/>
                <w:szCs w:val="15"/>
                <w:color w:val="auto"/>
              </w:rPr>
              <w:t>Year</w:t>
            </w: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2"/>
              </w:rPr>
              <w:t>Match</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83"/>
              </w:rPr>
              <w:t>Plane</w:t>
            </w:r>
          </w:p>
        </w:tc>
        <w:tc>
          <w:tcPr>
            <w:tcW w:w="200" w:type="dxa"/>
            <w:vAlign w:val="bottom"/>
          </w:tcPr>
          <w:p>
            <w:pPr>
              <w:spacing w:after="0"/>
              <w:rPr>
                <w:sz w:val="19"/>
                <w:szCs w:val="19"/>
                <w:color w:val="auto"/>
              </w:rPr>
            </w:pPr>
          </w:p>
        </w:tc>
        <w:tc>
          <w:tcPr>
            <w:tcW w:w="500" w:type="dxa"/>
            <w:vAlign w:val="bottom"/>
          </w:tcPr>
          <w:p>
            <w:pPr>
              <w:jc w:val="right"/>
              <w:ind w:right="25"/>
              <w:spacing w:after="0"/>
              <w:rPr>
                <w:sz w:val="20"/>
                <w:szCs w:val="20"/>
                <w:color w:val="auto"/>
              </w:rPr>
            </w:pPr>
            <w:r>
              <w:rPr>
                <w:rFonts w:ascii="Arial" w:cs="Arial" w:eastAsia="Arial" w:hAnsi="Arial"/>
                <w:sz w:val="15"/>
                <w:szCs w:val="15"/>
                <w:color w:val="auto"/>
              </w:rPr>
              <w:t>Dues</w:t>
            </w: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7"/>
              </w:rPr>
              <w:t>Insurance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Automobile</w:t>
            </w:r>
          </w:p>
        </w:tc>
        <w:tc>
          <w:tcPr>
            <w:tcW w:w="180" w:type="dxa"/>
            <w:vAlign w:val="bottom"/>
          </w:tcPr>
          <w:p>
            <w:pPr>
              <w:spacing w:after="0"/>
              <w:rPr>
                <w:sz w:val="19"/>
                <w:szCs w:val="19"/>
                <w:color w:val="auto"/>
              </w:rPr>
            </w:pPr>
          </w:p>
        </w:tc>
        <w:tc>
          <w:tcPr>
            <w:tcW w:w="760" w:type="dxa"/>
            <w:vAlign w:val="bottom"/>
          </w:tcPr>
          <w:p>
            <w:pPr>
              <w:jc w:val="right"/>
              <w:ind w:right="105"/>
              <w:spacing w:after="0"/>
              <w:rPr>
                <w:sz w:val="20"/>
                <w:szCs w:val="20"/>
                <w:color w:val="auto"/>
              </w:rPr>
            </w:pPr>
            <w:r>
              <w:rPr>
                <w:rFonts w:ascii="Arial" w:cs="Arial" w:eastAsia="Arial" w:hAnsi="Arial"/>
                <w:sz w:val="15"/>
                <w:szCs w:val="15"/>
                <w:color w:val="auto"/>
              </w:rPr>
              <w:t>Travel</w:t>
            </w:r>
          </w:p>
        </w:tc>
        <w:tc>
          <w:tcPr>
            <w:tcW w:w="180" w:type="dxa"/>
            <w:vAlign w:val="bottom"/>
          </w:tcPr>
          <w:p>
            <w:pPr>
              <w:spacing w:after="0"/>
              <w:rPr>
                <w:sz w:val="19"/>
                <w:szCs w:val="19"/>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rPr>
              <w:t>Other</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Total</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0"/>
                <w:szCs w:val="20"/>
                <w:color w:val="auto"/>
              </w:rPr>
            </w:pPr>
            <w:r>
              <w:rPr>
                <w:rFonts w:ascii="Arial" w:cs="Arial" w:eastAsia="Arial" w:hAnsi="Arial"/>
                <w:sz w:val="15"/>
                <w:szCs w:val="15"/>
                <w:color w:val="auto"/>
              </w:rPr>
              <w:t>M.E. Batten</w:t>
            </w:r>
          </w:p>
        </w:tc>
        <w:tc>
          <w:tcPr>
            <w:tcW w:w="960" w:type="dxa"/>
            <w:vAlign w:val="bottom"/>
            <w:gridSpan w:val="2"/>
          </w:tcPr>
          <w:p>
            <w:pPr>
              <w:jc w:val="right"/>
              <w:ind w:right="265"/>
              <w:spacing w:after="0"/>
              <w:rPr>
                <w:sz w:val="20"/>
                <w:szCs w:val="20"/>
                <w:color w:val="auto"/>
              </w:rPr>
            </w:pPr>
            <w:r>
              <w:rPr>
                <w:rFonts w:ascii="Arial" w:cs="Arial" w:eastAsia="Arial" w:hAnsi="Arial"/>
                <w:sz w:val="15"/>
                <w:szCs w:val="15"/>
                <w:color w:val="auto"/>
              </w:rPr>
              <w:t>2008</w:t>
            </w:r>
          </w:p>
        </w:tc>
        <w:tc>
          <w:tcPr>
            <w:tcW w:w="780" w:type="dxa"/>
            <w:vAlign w:val="bottom"/>
            <w:gridSpan w:val="2"/>
          </w:tcPr>
          <w:p>
            <w:pPr>
              <w:jc w:val="center"/>
              <w:ind w:left="145"/>
              <w:spacing w:after="0"/>
              <w:rPr>
                <w:sz w:val="20"/>
                <w:szCs w:val="20"/>
                <w:color w:val="auto"/>
              </w:rPr>
            </w:pPr>
            <w:r>
              <w:rPr>
                <w:rFonts w:ascii="Arial" w:cs="Arial" w:eastAsia="Arial" w:hAnsi="Arial"/>
                <w:sz w:val="15"/>
                <w:szCs w:val="15"/>
                <w:color w:val="auto"/>
                <w:w w:val="88"/>
              </w:rPr>
              <w:t>$10,909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$9,846</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$3,984</w:t>
            </w:r>
          </w:p>
        </w:tc>
        <w:tc>
          <w:tcPr>
            <w:tcW w:w="780" w:type="dxa"/>
            <w:vAlign w:val="bottom"/>
            <w:gridSpan w:val="2"/>
          </w:tcPr>
          <w:p>
            <w:pPr>
              <w:jc w:val="center"/>
              <w:ind w:left="105"/>
              <w:spacing w:after="0"/>
              <w:rPr>
                <w:sz w:val="20"/>
                <w:szCs w:val="20"/>
                <w:color w:val="auto"/>
              </w:rPr>
            </w:pPr>
            <w:r>
              <w:rPr>
                <w:rFonts w:ascii="Arial" w:cs="Arial" w:eastAsia="Arial" w:hAnsi="Arial"/>
                <w:sz w:val="15"/>
                <w:szCs w:val="15"/>
                <w:color w:val="auto"/>
                <w:w w:val="88"/>
              </w:rPr>
              <w:t>$29,502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$7,561</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$61,802</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4"/>
                <w:szCs w:val="24"/>
                <w:color w:val="auto"/>
              </w:rPr>
            </w:pPr>
          </w:p>
        </w:tc>
        <w:tc>
          <w:tcPr>
            <w:tcW w:w="960" w:type="dxa"/>
            <w:vAlign w:val="bottom"/>
            <w:gridSpan w:val="2"/>
          </w:tcPr>
          <w:p>
            <w:pPr>
              <w:jc w:val="right"/>
              <w:ind w:right="265"/>
              <w:spacing w:after="0"/>
              <w:rPr>
                <w:sz w:val="20"/>
                <w:szCs w:val="20"/>
                <w:color w:val="auto"/>
              </w:rPr>
            </w:pPr>
            <w:r>
              <w:rPr>
                <w:rFonts w:ascii="Arial" w:cs="Arial" w:eastAsia="Arial" w:hAnsi="Arial"/>
                <w:sz w:val="15"/>
                <w:szCs w:val="15"/>
                <w:color w:val="auto"/>
              </w:rPr>
              <w:t>2007</w:t>
            </w:r>
          </w:p>
        </w:tc>
        <w:tc>
          <w:tcPr>
            <w:tcW w:w="780" w:type="dxa"/>
            <w:vAlign w:val="bottom"/>
            <w:gridSpan w:val="2"/>
          </w:tcPr>
          <w:p>
            <w:pPr>
              <w:jc w:val="center"/>
              <w:ind w:left="145"/>
              <w:spacing w:after="0"/>
              <w:rPr>
                <w:sz w:val="20"/>
                <w:szCs w:val="20"/>
                <w:color w:val="auto"/>
              </w:rPr>
            </w:pPr>
            <w:r>
              <w:rPr>
                <w:rFonts w:ascii="Arial" w:cs="Arial" w:eastAsia="Arial" w:hAnsi="Arial"/>
                <w:sz w:val="15"/>
                <w:szCs w:val="15"/>
                <w:color w:val="auto"/>
                <w:w w:val="88"/>
              </w:rPr>
              <w:t>$10,253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$5,804</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$6,194</w:t>
            </w:r>
          </w:p>
        </w:tc>
        <w:tc>
          <w:tcPr>
            <w:tcW w:w="780" w:type="dxa"/>
            <w:vAlign w:val="bottom"/>
            <w:gridSpan w:val="2"/>
          </w:tcPr>
          <w:p>
            <w:pPr>
              <w:jc w:val="center"/>
              <w:ind w:left="105"/>
              <w:spacing w:after="0"/>
              <w:rPr>
                <w:sz w:val="20"/>
                <w:szCs w:val="20"/>
                <w:color w:val="auto"/>
              </w:rPr>
            </w:pPr>
            <w:r>
              <w:rPr>
                <w:rFonts w:ascii="Arial" w:cs="Arial" w:eastAsia="Arial" w:hAnsi="Arial"/>
                <w:sz w:val="15"/>
                <w:szCs w:val="15"/>
                <w:color w:val="auto"/>
                <w:w w:val="88"/>
              </w:rPr>
              <w:t>$29,502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$11,489</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$63,242</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0"/>
                <w:szCs w:val="20"/>
                <w:color w:val="auto"/>
              </w:rPr>
            </w:pPr>
            <w:r>
              <w:rPr>
                <w:rFonts w:ascii="Arial" w:cs="Arial" w:eastAsia="Arial" w:hAnsi="Arial"/>
                <w:sz w:val="15"/>
                <w:szCs w:val="15"/>
                <w:color w:val="auto"/>
                <w:w w:val="94"/>
              </w:rPr>
              <w:t>C.J. Eperjesy</w:t>
            </w:r>
          </w:p>
        </w:tc>
        <w:tc>
          <w:tcPr>
            <w:tcW w:w="960" w:type="dxa"/>
            <w:vAlign w:val="bottom"/>
            <w:gridSpan w:val="2"/>
          </w:tcPr>
          <w:p>
            <w:pPr>
              <w:jc w:val="right"/>
              <w:ind w:right="265"/>
              <w:spacing w:after="0"/>
              <w:rPr>
                <w:sz w:val="20"/>
                <w:szCs w:val="20"/>
                <w:color w:val="auto"/>
              </w:rPr>
            </w:pPr>
            <w:r>
              <w:rPr>
                <w:rFonts w:ascii="Arial" w:cs="Arial" w:eastAsia="Arial" w:hAnsi="Arial"/>
                <w:sz w:val="15"/>
                <w:szCs w:val="15"/>
                <w:color w:val="auto"/>
              </w:rPr>
              <w:t>2008</w:t>
            </w:r>
          </w:p>
        </w:tc>
        <w:tc>
          <w:tcPr>
            <w:tcW w:w="780" w:type="dxa"/>
            <w:vAlign w:val="bottom"/>
            <w:gridSpan w:val="2"/>
          </w:tcPr>
          <w:p>
            <w:pPr>
              <w:jc w:val="center"/>
              <w:ind w:left="145"/>
              <w:spacing w:after="0"/>
              <w:rPr>
                <w:sz w:val="20"/>
                <w:szCs w:val="20"/>
                <w:color w:val="auto"/>
              </w:rPr>
            </w:pPr>
            <w:r>
              <w:rPr>
                <w:rFonts w:ascii="Arial" w:cs="Arial" w:eastAsia="Arial" w:hAnsi="Arial"/>
                <w:sz w:val="15"/>
                <w:szCs w:val="15"/>
                <w:color w:val="auto"/>
                <w:w w:val="88"/>
              </w:rPr>
              <w:t>$10,350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$1,498</w:t>
            </w:r>
          </w:p>
        </w:tc>
        <w:tc>
          <w:tcPr>
            <w:tcW w:w="780" w:type="dxa"/>
            <w:vAlign w:val="bottom"/>
            <w:gridSpan w:val="2"/>
          </w:tcPr>
          <w:p>
            <w:pPr>
              <w:jc w:val="center"/>
              <w:ind w:left="105"/>
              <w:spacing w:after="0"/>
              <w:rPr>
                <w:sz w:val="20"/>
                <w:szCs w:val="20"/>
                <w:color w:val="auto"/>
              </w:rPr>
            </w:pPr>
            <w:r>
              <w:rPr>
                <w:rFonts w:ascii="Arial" w:cs="Arial" w:eastAsia="Arial" w:hAnsi="Arial"/>
                <w:sz w:val="15"/>
                <w:szCs w:val="15"/>
                <w:color w:val="auto"/>
                <w:w w:val="88"/>
              </w:rPr>
              <w:t>$32,350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$44,198</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4"/>
                <w:szCs w:val="24"/>
                <w:color w:val="auto"/>
              </w:rPr>
            </w:pPr>
          </w:p>
        </w:tc>
        <w:tc>
          <w:tcPr>
            <w:tcW w:w="960" w:type="dxa"/>
            <w:vAlign w:val="bottom"/>
            <w:gridSpan w:val="2"/>
          </w:tcPr>
          <w:p>
            <w:pPr>
              <w:jc w:val="right"/>
              <w:ind w:right="265"/>
              <w:spacing w:after="0"/>
              <w:rPr>
                <w:sz w:val="20"/>
                <w:szCs w:val="20"/>
                <w:color w:val="auto"/>
              </w:rPr>
            </w:pPr>
            <w:r>
              <w:rPr>
                <w:rFonts w:ascii="Arial" w:cs="Arial" w:eastAsia="Arial" w:hAnsi="Arial"/>
                <w:sz w:val="15"/>
                <w:szCs w:val="15"/>
                <w:color w:val="auto"/>
              </w:rPr>
              <w:t>2007</w:t>
            </w:r>
          </w:p>
        </w:tc>
        <w:tc>
          <w:tcPr>
            <w:tcW w:w="780" w:type="dxa"/>
            <w:vAlign w:val="bottom"/>
            <w:gridSpan w:val="2"/>
          </w:tcPr>
          <w:p>
            <w:pPr>
              <w:jc w:val="center"/>
              <w:ind w:left="145"/>
              <w:spacing w:after="0"/>
              <w:rPr>
                <w:sz w:val="20"/>
                <w:szCs w:val="20"/>
                <w:color w:val="auto"/>
              </w:rPr>
            </w:pPr>
            <w:r>
              <w:rPr>
                <w:rFonts w:ascii="Arial" w:cs="Arial" w:eastAsia="Arial" w:hAnsi="Arial"/>
                <w:sz w:val="15"/>
                <w:szCs w:val="15"/>
                <w:color w:val="auto"/>
                <w:w w:val="88"/>
              </w:rPr>
              <w:t>$10,125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$1,498</w:t>
            </w:r>
          </w:p>
        </w:tc>
        <w:tc>
          <w:tcPr>
            <w:tcW w:w="780" w:type="dxa"/>
            <w:vAlign w:val="bottom"/>
            <w:gridSpan w:val="2"/>
          </w:tcPr>
          <w:p>
            <w:pPr>
              <w:jc w:val="center"/>
              <w:ind w:left="105"/>
              <w:spacing w:after="0"/>
              <w:rPr>
                <w:sz w:val="20"/>
                <w:szCs w:val="20"/>
                <w:color w:val="auto"/>
              </w:rPr>
            </w:pPr>
            <w:r>
              <w:rPr>
                <w:rFonts w:ascii="Arial" w:cs="Arial" w:eastAsia="Arial" w:hAnsi="Arial"/>
                <w:sz w:val="15"/>
                <w:szCs w:val="15"/>
                <w:color w:val="auto"/>
                <w:w w:val="88"/>
              </w:rPr>
              <w:t>$32,350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$43,976</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0"/>
                <w:szCs w:val="20"/>
                <w:color w:val="auto"/>
              </w:rPr>
            </w:pPr>
            <w:r>
              <w:rPr>
                <w:rFonts w:ascii="Arial" w:cs="Arial" w:eastAsia="Arial" w:hAnsi="Arial"/>
                <w:sz w:val="15"/>
                <w:szCs w:val="15"/>
                <w:color w:val="auto"/>
                <w:w w:val="98"/>
              </w:rPr>
              <w:t>J.E. Feiertag</w:t>
            </w:r>
          </w:p>
        </w:tc>
        <w:tc>
          <w:tcPr>
            <w:tcW w:w="960" w:type="dxa"/>
            <w:vAlign w:val="bottom"/>
            <w:gridSpan w:val="2"/>
          </w:tcPr>
          <w:p>
            <w:pPr>
              <w:jc w:val="right"/>
              <w:ind w:right="265"/>
              <w:spacing w:after="0"/>
              <w:rPr>
                <w:sz w:val="20"/>
                <w:szCs w:val="20"/>
                <w:color w:val="auto"/>
              </w:rPr>
            </w:pPr>
            <w:r>
              <w:rPr>
                <w:rFonts w:ascii="Arial" w:cs="Arial" w:eastAsia="Arial" w:hAnsi="Arial"/>
                <w:sz w:val="15"/>
                <w:szCs w:val="15"/>
                <w:color w:val="auto"/>
              </w:rPr>
              <w:t>2008</w:t>
            </w:r>
          </w:p>
        </w:tc>
        <w:tc>
          <w:tcPr>
            <w:tcW w:w="780" w:type="dxa"/>
            <w:vAlign w:val="bottom"/>
            <w:gridSpan w:val="2"/>
          </w:tcPr>
          <w:p>
            <w:pPr>
              <w:jc w:val="center"/>
              <w:ind w:left="145"/>
              <w:spacing w:after="0"/>
              <w:rPr>
                <w:sz w:val="20"/>
                <w:szCs w:val="20"/>
                <w:color w:val="auto"/>
              </w:rPr>
            </w:pPr>
            <w:r>
              <w:rPr>
                <w:rFonts w:ascii="Arial" w:cs="Arial" w:eastAsia="Arial" w:hAnsi="Arial"/>
                <w:sz w:val="15"/>
                <w:szCs w:val="15"/>
                <w:color w:val="auto"/>
                <w:w w:val="88"/>
              </w:rPr>
              <w:t>$10,350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center"/>
              <w:ind w:left="105"/>
              <w:spacing w:after="0"/>
              <w:rPr>
                <w:sz w:val="20"/>
                <w:szCs w:val="20"/>
                <w:color w:val="auto"/>
              </w:rPr>
            </w:pPr>
            <w:r>
              <w:rPr>
                <w:rFonts w:ascii="Arial" w:cs="Arial" w:eastAsia="Arial" w:hAnsi="Arial"/>
                <w:sz w:val="15"/>
                <w:szCs w:val="15"/>
                <w:color w:val="auto"/>
                <w:w w:val="88"/>
              </w:rPr>
              <w:t>$48,242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$541</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$59,133</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4"/>
                <w:szCs w:val="24"/>
                <w:color w:val="auto"/>
              </w:rPr>
            </w:pPr>
          </w:p>
        </w:tc>
        <w:tc>
          <w:tcPr>
            <w:tcW w:w="960" w:type="dxa"/>
            <w:vAlign w:val="bottom"/>
            <w:gridSpan w:val="2"/>
          </w:tcPr>
          <w:p>
            <w:pPr>
              <w:jc w:val="right"/>
              <w:ind w:right="265"/>
              <w:spacing w:after="0"/>
              <w:rPr>
                <w:sz w:val="20"/>
                <w:szCs w:val="20"/>
                <w:color w:val="auto"/>
              </w:rPr>
            </w:pPr>
            <w:r>
              <w:rPr>
                <w:rFonts w:ascii="Arial" w:cs="Arial" w:eastAsia="Arial" w:hAnsi="Arial"/>
                <w:sz w:val="15"/>
                <w:szCs w:val="15"/>
                <w:color w:val="auto"/>
              </w:rPr>
              <w:t>2007</w:t>
            </w:r>
          </w:p>
        </w:tc>
        <w:tc>
          <w:tcPr>
            <w:tcW w:w="780" w:type="dxa"/>
            <w:vAlign w:val="bottom"/>
            <w:gridSpan w:val="2"/>
          </w:tcPr>
          <w:p>
            <w:pPr>
              <w:jc w:val="center"/>
              <w:ind w:left="145"/>
              <w:spacing w:after="0"/>
              <w:rPr>
                <w:sz w:val="20"/>
                <w:szCs w:val="20"/>
                <w:color w:val="auto"/>
              </w:rPr>
            </w:pPr>
            <w:r>
              <w:rPr>
                <w:rFonts w:ascii="Arial" w:cs="Arial" w:eastAsia="Arial" w:hAnsi="Arial"/>
                <w:sz w:val="15"/>
                <w:szCs w:val="15"/>
                <w:color w:val="auto"/>
                <w:w w:val="88"/>
              </w:rPr>
              <w:t>$10,125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$390</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center"/>
              <w:ind w:left="105"/>
              <w:spacing w:after="0"/>
              <w:rPr>
                <w:sz w:val="20"/>
                <w:szCs w:val="20"/>
                <w:color w:val="auto"/>
              </w:rPr>
            </w:pPr>
            <w:r>
              <w:rPr>
                <w:rFonts w:ascii="Arial" w:cs="Arial" w:eastAsia="Arial" w:hAnsi="Arial"/>
                <w:sz w:val="15"/>
                <w:szCs w:val="15"/>
                <w:color w:val="auto"/>
                <w:w w:val="88"/>
              </w:rPr>
              <w:t>$48,242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180"/>
              <w:spacing w:after="0"/>
              <w:rPr>
                <w:sz w:val="20"/>
                <w:szCs w:val="20"/>
                <w:color w:val="auto"/>
              </w:rPr>
            </w:pPr>
            <w:r>
              <w:rPr>
                <w:rFonts w:ascii="Arial" w:cs="Arial" w:eastAsia="Arial" w:hAnsi="Arial"/>
                <w:sz w:val="15"/>
                <w:szCs w:val="15"/>
                <w:color w:val="auto"/>
              </w:rPr>
              <w:t>$58,757</w:t>
            </w:r>
          </w:p>
        </w:tc>
      </w:tr>
    </w:tbl>
    <w:p>
      <w:pPr>
        <w:sectPr>
          <w:pgSz w:w="11900" w:h="16893" w:orient="portrait"/>
          <w:cols w:equalWidth="0" w:num="1">
            <w:col w:w="11428"/>
          </w:cols>
          <w:pgMar w:left="232" w:top="155" w:right="239" w:bottom="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147320</wp:posOffset>
            </wp:positionV>
            <wp:extent cx="546862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68620" cy="762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89"/>
        </w:trPr>
        <w:tc>
          <w:tcPr>
            <w:tcW w:w="860" w:type="dxa"/>
            <w:vAlign w:val="bottom"/>
          </w:tcPr>
          <w:p>
            <w:pPr>
              <w:spacing w:after="0"/>
              <w:rPr>
                <w:sz w:val="20"/>
                <w:szCs w:val="20"/>
                <w:color w:val="auto"/>
              </w:rPr>
            </w:pPr>
            <w:r>
              <w:rPr>
                <w:rFonts w:ascii="Arial" w:cs="Arial" w:eastAsia="Arial" w:hAnsi="Arial"/>
                <w:sz w:val="15"/>
                <w:szCs w:val="15"/>
                <w:color w:val="auto"/>
              </w:rPr>
              <w:t>J.H. Batten</w:t>
            </w: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2008</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$10,575</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$1,498</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$29,000</w:t>
            </w:r>
          </w:p>
        </w:tc>
        <w:tc>
          <w:tcPr>
            <w:tcW w:w="11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$41,857</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2007</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$10,425</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$1,663</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$1,498</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$29,000</w:t>
            </w:r>
          </w:p>
        </w:tc>
        <w:tc>
          <w:tcPr>
            <w:tcW w:w="11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$42.596</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0"/>
                <w:szCs w:val="20"/>
                <w:color w:val="auto"/>
              </w:rPr>
            </w:pPr>
            <w:r>
              <w:rPr>
                <w:rFonts w:ascii="Arial" w:cs="Arial" w:eastAsia="Arial" w:hAnsi="Arial"/>
                <w:sz w:val="15"/>
                <w:szCs w:val="15"/>
                <w:color w:val="auto"/>
              </w:rPr>
              <w:t>H.C. Fabry</w:t>
            </w: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2008</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$27,045</w:t>
            </w:r>
          </w:p>
        </w:tc>
        <w:tc>
          <w:tcPr>
            <w:tcW w:w="1100" w:type="dxa"/>
            <w:vAlign w:val="bottom"/>
            <w:gridSpan w:val="2"/>
          </w:tcPr>
          <w:p>
            <w:pPr>
              <w:jc w:val="right"/>
              <w:ind w:right="40"/>
              <w:spacing w:after="0"/>
              <w:rPr>
                <w:sz w:val="20"/>
                <w:szCs w:val="20"/>
                <w:color w:val="auto"/>
              </w:rPr>
            </w:pPr>
            <w:r>
              <w:rPr>
                <w:rFonts w:ascii="Arial" w:cs="Arial" w:eastAsia="Arial" w:hAnsi="Arial"/>
                <w:sz w:val="15"/>
                <w:szCs w:val="15"/>
                <w:color w:val="auto"/>
              </w:rPr>
              <w:t>$4,059</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$2,484</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$1,684</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$35,272</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5"/>
                <w:szCs w:val="15"/>
                <w:color w:val="auto"/>
              </w:rPr>
              <w:t>2007</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$21,849</w:t>
            </w:r>
          </w:p>
        </w:tc>
        <w:tc>
          <w:tcPr>
            <w:tcW w:w="1100" w:type="dxa"/>
            <w:vAlign w:val="bottom"/>
            <w:gridSpan w:val="2"/>
          </w:tcPr>
          <w:p>
            <w:pPr>
              <w:jc w:val="right"/>
              <w:ind w:right="40"/>
              <w:spacing w:after="0"/>
              <w:rPr>
                <w:sz w:val="20"/>
                <w:szCs w:val="20"/>
                <w:color w:val="auto"/>
              </w:rPr>
            </w:pPr>
            <w:r>
              <w:rPr>
                <w:rFonts w:ascii="Arial" w:cs="Arial" w:eastAsia="Arial" w:hAnsi="Arial"/>
                <w:sz w:val="15"/>
                <w:szCs w:val="15"/>
                <w:color w:val="auto"/>
              </w:rPr>
              <w:t>$18,948</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$1,480</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$42,277</w:t>
            </w:r>
          </w:p>
        </w:tc>
      </w:tr>
      <w:tr>
        <w:trPr>
          <w:trHeight w:val="106"/>
        </w:trPr>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ind w:right="-367"/>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303" w:lineRule="exact"/>
        <w:rPr>
          <w:sz w:val="20"/>
          <w:szCs w:val="20"/>
          <w:color w:val="auto"/>
        </w:rPr>
      </w:pPr>
    </w:p>
    <w:p>
      <w:pPr>
        <w:ind w:left="448"/>
        <w:spacing w:after="0"/>
        <w:rPr>
          <w:sz w:val="20"/>
          <w:szCs w:val="20"/>
          <w:color w:val="auto"/>
        </w:rPr>
      </w:pPr>
      <w:r>
        <w:rPr>
          <w:rFonts w:ascii="Arial" w:cs="Arial" w:eastAsia="Arial" w:hAnsi="Arial"/>
          <w:sz w:val="14"/>
          <w:szCs w:val="14"/>
          <w:color w:val="auto"/>
        </w:rPr>
        <w:t>All items listed in the chart for Mr. Fabry that have been paid in Euro were translated to the average exchange rate for FY2008 of $1.47061 and for FY2007 of $1.30573.</w:t>
      </w:r>
    </w:p>
    <w:p>
      <w:pPr>
        <w:spacing w:after="0" w:line="236" w:lineRule="exact"/>
        <w:rPr>
          <w:sz w:val="20"/>
          <w:szCs w:val="20"/>
          <w:color w:val="auto"/>
        </w:rPr>
      </w:pPr>
    </w:p>
    <w:p>
      <w:pPr>
        <w:ind w:left="448" w:hanging="448"/>
        <w:spacing w:after="0"/>
        <w:tabs>
          <w:tab w:leader="none" w:pos="448" w:val="left"/>
        </w:tabs>
        <w:numPr>
          <w:ilvl w:val="0"/>
          <w:numId w:val="20"/>
        </w:numPr>
        <w:rPr>
          <w:rFonts w:ascii="Arial" w:cs="Arial" w:eastAsia="Arial" w:hAnsi="Arial"/>
          <w:sz w:val="18"/>
          <w:szCs w:val="18"/>
          <w:color w:val="auto"/>
        </w:rPr>
      </w:pPr>
      <w:r>
        <w:rPr>
          <w:rFonts w:ascii="Arial" w:cs="Arial" w:eastAsia="Arial" w:hAnsi="Arial"/>
          <w:sz w:val="15"/>
          <w:szCs w:val="15"/>
          <w:color w:val="auto"/>
        </w:rPr>
        <w:t>Discretionary bonus awarded with respect to FY07, paid in August 2007.</w:t>
      </w:r>
    </w:p>
    <w:p>
      <w:pPr>
        <w:spacing w:after="0" w:line="225" w:lineRule="exact"/>
        <w:rPr>
          <w:rFonts w:ascii="Arial" w:cs="Arial" w:eastAsia="Arial" w:hAnsi="Arial"/>
          <w:sz w:val="18"/>
          <w:szCs w:val="18"/>
          <w:color w:val="auto"/>
        </w:rPr>
      </w:pPr>
    </w:p>
    <w:p>
      <w:pPr>
        <w:ind w:left="448" w:hanging="448"/>
        <w:spacing w:after="0"/>
        <w:tabs>
          <w:tab w:leader="none" w:pos="448" w:val="left"/>
        </w:tabs>
        <w:numPr>
          <w:ilvl w:val="0"/>
          <w:numId w:val="20"/>
        </w:numPr>
        <w:rPr>
          <w:rFonts w:ascii="Arial" w:cs="Arial" w:eastAsia="Arial" w:hAnsi="Arial"/>
          <w:sz w:val="16"/>
          <w:szCs w:val="16"/>
          <w:color w:val="auto"/>
        </w:rPr>
      </w:pPr>
      <w:r>
        <w:rPr>
          <w:rFonts w:ascii="Arial" w:cs="Arial" w:eastAsia="Arial" w:hAnsi="Arial"/>
          <w:sz w:val="13"/>
          <w:szCs w:val="13"/>
          <w:color w:val="auto"/>
        </w:rPr>
        <w:t>Effective July 1, 2008, John Batten assumed the title of President and Chief Operating Officer. Concurrent with this promotion, Michael Batten relinquished his role as President.</w:t>
      </w:r>
    </w:p>
    <w:p>
      <w:pPr>
        <w:spacing w:after="0" w:line="391" w:lineRule="exact"/>
        <w:rPr>
          <w:sz w:val="20"/>
          <w:szCs w:val="20"/>
          <w:color w:val="auto"/>
        </w:rPr>
      </w:pPr>
    </w:p>
    <w:p>
      <w:pPr>
        <w:jc w:val="center"/>
        <w:ind w:right="-367"/>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028"/>
        <w:spacing w:after="0"/>
        <w:rPr>
          <w:sz w:val="20"/>
          <w:szCs w:val="20"/>
          <w:color w:val="auto"/>
        </w:rPr>
      </w:pPr>
      <w:r>
        <w:rPr>
          <w:rFonts w:ascii="Arial" w:cs="Arial" w:eastAsia="Arial" w:hAnsi="Arial"/>
          <w:sz w:val="18"/>
          <w:szCs w:val="18"/>
          <w:b w:val="1"/>
          <w:bCs w:val="1"/>
          <w:color w:val="auto"/>
        </w:rPr>
        <w:t>Grants of Plan-Based Awards</w:t>
      </w:r>
    </w:p>
    <w:p>
      <w:pPr>
        <w:spacing w:after="0" w:line="223"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provides information on incentive awards granted to our named executive officers during fiscal 2008.</w:t>
      </w: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5"/>
          </w:tcPr>
          <w:p>
            <w:pPr>
              <w:jc w:val="center"/>
              <w:spacing w:after="0"/>
              <w:rPr>
                <w:sz w:val="20"/>
                <w:szCs w:val="20"/>
                <w:color w:val="auto"/>
              </w:rPr>
            </w:pPr>
            <w:r>
              <w:rPr>
                <w:rFonts w:ascii="Arial" w:cs="Arial" w:eastAsia="Arial" w:hAnsi="Arial"/>
                <w:sz w:val="12"/>
                <w:szCs w:val="12"/>
                <w:color w:val="auto"/>
                <w:w w:val="86"/>
              </w:rPr>
              <w:t>Estimated Future Cash Incentive Payouts</w:t>
            </w:r>
          </w:p>
        </w:tc>
        <w:tc>
          <w:tcPr>
            <w:tcW w:w="120" w:type="dxa"/>
            <w:vAlign w:val="bottom"/>
          </w:tcPr>
          <w:p>
            <w:pPr>
              <w:spacing w:after="0"/>
              <w:rPr>
                <w:sz w:val="12"/>
                <w:szCs w:val="12"/>
                <w:color w:val="auto"/>
              </w:rPr>
            </w:pPr>
          </w:p>
        </w:tc>
        <w:tc>
          <w:tcPr>
            <w:tcW w:w="1860" w:type="dxa"/>
            <w:vAlign w:val="bottom"/>
            <w:gridSpan w:val="5"/>
          </w:tcPr>
          <w:p>
            <w:pPr>
              <w:jc w:val="center"/>
              <w:spacing w:after="0"/>
              <w:rPr>
                <w:sz w:val="20"/>
                <w:szCs w:val="20"/>
                <w:color w:val="auto"/>
              </w:rPr>
            </w:pPr>
            <w:r>
              <w:rPr>
                <w:rFonts w:ascii="Arial" w:cs="Arial" w:eastAsia="Arial" w:hAnsi="Arial"/>
                <w:sz w:val="12"/>
                <w:szCs w:val="12"/>
                <w:color w:val="auto"/>
                <w:w w:val="87"/>
              </w:rPr>
              <w:t>Estimated Future Share or Unit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center"/>
              <w:spacing w:after="0"/>
              <w:rPr>
                <w:sz w:val="20"/>
                <w:szCs w:val="20"/>
                <w:color w:val="auto"/>
              </w:rPr>
            </w:pPr>
            <w:r>
              <w:rPr>
                <w:rFonts w:ascii="Arial" w:cs="Arial" w:eastAsia="Arial" w:hAnsi="Arial"/>
                <w:sz w:val="12"/>
                <w:szCs w:val="12"/>
                <w:color w:val="auto"/>
                <w:w w:val="88"/>
              </w:rPr>
              <w:t>Under Non-Equity Incentive Plan Awards</w:t>
            </w:r>
          </w:p>
        </w:tc>
        <w:tc>
          <w:tcPr>
            <w:tcW w:w="120" w:type="dxa"/>
            <w:vAlign w:val="bottom"/>
          </w:tcPr>
          <w:p>
            <w:pPr>
              <w:spacing w:after="0"/>
              <w:rPr>
                <w:sz w:val="19"/>
                <w:szCs w:val="19"/>
                <w:color w:val="auto"/>
              </w:rPr>
            </w:pPr>
          </w:p>
        </w:tc>
        <w:tc>
          <w:tcPr>
            <w:tcW w:w="1860" w:type="dxa"/>
            <w:vAlign w:val="bottom"/>
            <w:gridSpan w:val="5"/>
          </w:tcPr>
          <w:p>
            <w:pPr>
              <w:jc w:val="center"/>
              <w:spacing w:after="0"/>
              <w:rPr>
                <w:sz w:val="20"/>
                <w:szCs w:val="20"/>
                <w:color w:val="auto"/>
              </w:rPr>
            </w:pPr>
            <w:r>
              <w:rPr>
                <w:rFonts w:ascii="Arial" w:cs="Arial" w:eastAsia="Arial" w:hAnsi="Arial"/>
                <w:sz w:val="12"/>
                <w:szCs w:val="12"/>
                <w:color w:val="auto"/>
                <w:w w:val="88"/>
              </w:rPr>
              <w:t>Payouts Under Equity Incentive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1"/>
              </w:rPr>
              <w:t>(3)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2"/>
                <w:szCs w:val="12"/>
                <w:color w:val="auto"/>
                <w:w w:val="86"/>
              </w:rPr>
              <w:t>Plan Awards (3)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93"/>
        </w:trPr>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31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0"/>
              </w:rPr>
              <w:t>All other</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0"/>
              </w:rPr>
              <w:t>All other</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stock</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option</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2"/>
              </w:rPr>
              <w:t>Exercise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awards;</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awards;</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4"/>
              </w:rPr>
              <w:t>or base</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5"/>
              </w:rPr>
              <w:t>Grant Date</w:t>
            </w: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Number of</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2"/>
              </w:rPr>
              <w:t>Number of</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6"/>
              </w:rPr>
              <w:t>price of</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Fair Value of</w:t>
            </w: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0"/>
              </w:rPr>
              <w:t>shares of</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securities</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1"/>
              </w:rPr>
              <w:t>option</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6"/>
              </w:rPr>
              <w:t>Stock and</w:t>
            </w:r>
          </w:p>
        </w:tc>
      </w:tr>
      <w:tr>
        <w:trPr>
          <w:trHeight w:val="219"/>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82"/>
              <w:spacing w:after="0"/>
              <w:rPr>
                <w:sz w:val="20"/>
                <w:szCs w:val="20"/>
                <w:color w:val="auto"/>
              </w:rPr>
            </w:pPr>
            <w:r>
              <w:rPr>
                <w:rFonts w:ascii="Arial" w:cs="Arial" w:eastAsia="Arial" w:hAnsi="Arial"/>
                <w:sz w:val="12"/>
                <w:szCs w:val="12"/>
                <w:color w:val="auto"/>
              </w:rPr>
              <w:t>Grant</w:t>
            </w:r>
          </w:p>
        </w:tc>
        <w:tc>
          <w:tcPr>
            <w:tcW w:w="120" w:type="dxa"/>
            <w:vAlign w:val="bottom"/>
          </w:tcPr>
          <w:p>
            <w:pPr>
              <w:spacing w:after="0"/>
              <w:rPr>
                <w:sz w:val="19"/>
                <w:szCs w:val="19"/>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Threshold</w:t>
            </w:r>
          </w:p>
        </w:tc>
        <w:tc>
          <w:tcPr>
            <w:tcW w:w="1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0"/>
              </w:rPr>
              <w:t>Target</w:t>
            </w:r>
          </w:p>
        </w:tc>
        <w:tc>
          <w:tcPr>
            <w:tcW w:w="120" w:type="dxa"/>
            <w:vAlign w:val="bottom"/>
          </w:tcPr>
          <w:p>
            <w:pPr>
              <w:spacing w:after="0"/>
              <w:rPr>
                <w:sz w:val="19"/>
                <w:szCs w:val="19"/>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Maximum</w:t>
            </w:r>
          </w:p>
        </w:tc>
        <w:tc>
          <w:tcPr>
            <w:tcW w:w="120" w:type="dxa"/>
            <w:vAlign w:val="bottom"/>
          </w:tcPr>
          <w:p>
            <w:pPr>
              <w:spacing w:after="0"/>
              <w:rPr>
                <w:sz w:val="19"/>
                <w:szCs w:val="19"/>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2"/>
                <w:szCs w:val="12"/>
                <w:color w:val="auto"/>
              </w:rPr>
              <w:t>Threshold Target</w:t>
            </w:r>
          </w:p>
        </w:tc>
        <w:tc>
          <w:tcPr>
            <w:tcW w:w="540" w:type="dxa"/>
            <w:vAlign w:val="bottom"/>
          </w:tcPr>
          <w:p>
            <w:pPr>
              <w:jc w:val="right"/>
              <w:spacing w:after="0"/>
              <w:rPr>
                <w:sz w:val="20"/>
                <w:szCs w:val="20"/>
                <w:color w:val="auto"/>
              </w:rPr>
            </w:pPr>
            <w:r>
              <w:rPr>
                <w:rFonts w:ascii="Arial" w:cs="Arial" w:eastAsia="Arial" w:hAnsi="Arial"/>
                <w:sz w:val="12"/>
                <w:szCs w:val="12"/>
                <w:color w:val="auto"/>
                <w:w w:val="92"/>
              </w:rPr>
              <w:t>Maximum</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stock or</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underlying</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7"/>
              </w:rPr>
              <w:t>awards</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color w:val="auto"/>
                <w:w w:val="88"/>
              </w:rPr>
              <w:t>Option Awards</w:t>
            </w:r>
          </w:p>
        </w:tc>
      </w:tr>
      <w:tr>
        <w:trPr>
          <w:trHeight w:val="219"/>
        </w:trPr>
        <w:tc>
          <w:tcPr>
            <w:tcW w:w="920" w:type="dxa"/>
            <w:vAlign w:val="bottom"/>
          </w:tcPr>
          <w:p>
            <w:pPr>
              <w:jc w:val="right"/>
              <w:ind w:right="582"/>
              <w:spacing w:after="0"/>
              <w:rPr>
                <w:sz w:val="20"/>
                <w:szCs w:val="20"/>
                <w:color w:val="auto"/>
              </w:rPr>
            </w:pPr>
            <w:r>
              <w:rPr>
                <w:rFonts w:ascii="Arial" w:cs="Arial" w:eastAsia="Arial" w:hAnsi="Arial"/>
                <w:sz w:val="12"/>
                <w:szCs w:val="12"/>
                <w:color w:val="auto"/>
                <w:w w:val="81"/>
              </w:rPr>
              <w:t>Name</w:t>
            </w:r>
          </w:p>
        </w:tc>
        <w:tc>
          <w:tcPr>
            <w:tcW w:w="100" w:type="dxa"/>
            <w:vAlign w:val="bottom"/>
          </w:tcPr>
          <w:p>
            <w:pPr>
              <w:spacing w:after="0"/>
              <w:rPr>
                <w:sz w:val="19"/>
                <w:szCs w:val="19"/>
                <w:color w:val="auto"/>
              </w:rPr>
            </w:pPr>
          </w:p>
        </w:tc>
        <w:tc>
          <w:tcPr>
            <w:tcW w:w="540" w:type="dxa"/>
            <w:vAlign w:val="bottom"/>
          </w:tcPr>
          <w:p>
            <w:pPr>
              <w:jc w:val="right"/>
              <w:ind w:right="102"/>
              <w:spacing w:after="0"/>
              <w:rPr>
                <w:sz w:val="20"/>
                <w:szCs w:val="20"/>
                <w:color w:val="auto"/>
              </w:rPr>
            </w:pPr>
            <w:r>
              <w:rPr>
                <w:rFonts w:ascii="Arial" w:cs="Arial" w:eastAsia="Arial" w:hAnsi="Arial"/>
                <w:sz w:val="12"/>
                <w:szCs w:val="12"/>
                <w:color w:val="auto"/>
              </w:rPr>
              <w:t>Date</w:t>
            </w:r>
          </w:p>
        </w:tc>
        <w:tc>
          <w:tcPr>
            <w:tcW w:w="84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1"/>
              </w:rPr>
              <w:t>($)</w:t>
            </w:r>
          </w:p>
        </w:tc>
        <w:tc>
          <w:tcPr>
            <w:tcW w:w="84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5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units</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2"/>
              </w:rPr>
              <w:t>options</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91"/>
              </w:rPr>
              <w:t>($/Sh)</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95"/>
              </w:rPr>
              <w:t>(4)</w:t>
            </w:r>
          </w:p>
        </w:tc>
      </w:tr>
      <w:tr>
        <w:trPr>
          <w:trHeight w:val="93"/>
        </w:trPr>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M.E. Batten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Cash Incentive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$183,750</w:t>
            </w:r>
          </w:p>
        </w:tc>
        <w:tc>
          <w:tcPr>
            <w:tcW w:w="760" w:type="dxa"/>
            <w:vAlign w:val="bottom"/>
            <w:gridSpan w:val="2"/>
          </w:tcPr>
          <w:p>
            <w:pPr>
              <w:jc w:val="right"/>
              <w:ind w:right="62"/>
              <w:spacing w:after="0"/>
              <w:rPr>
                <w:sz w:val="20"/>
                <w:szCs w:val="20"/>
                <w:color w:val="auto"/>
              </w:rPr>
            </w:pPr>
            <w:r>
              <w:rPr>
                <w:rFonts w:ascii="Arial" w:cs="Arial" w:eastAsia="Arial" w:hAnsi="Arial"/>
                <w:sz w:val="12"/>
                <w:szCs w:val="12"/>
                <w:color w:val="auto"/>
              </w:rPr>
              <w:t>$367,500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$735,000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w w:val="91"/>
              </w:rPr>
              <w:t>Stock Awards (1)</w:t>
            </w:r>
          </w:p>
        </w:tc>
        <w:tc>
          <w:tcPr>
            <w:tcW w:w="640" w:type="dxa"/>
            <w:vAlign w:val="bottom"/>
            <w:gridSpan w:val="2"/>
          </w:tcPr>
          <w:p>
            <w:pPr>
              <w:jc w:val="right"/>
              <w:ind w:right="42"/>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2"/>
                <w:szCs w:val="12"/>
                <w:color w:val="auto"/>
              </w:rPr>
              <w:t>$0</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Stock Unit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Awards (2)</w:t>
            </w:r>
          </w:p>
        </w:tc>
        <w:tc>
          <w:tcPr>
            <w:tcW w:w="640" w:type="dxa"/>
            <w:vAlign w:val="bottom"/>
            <w:gridSpan w:val="2"/>
          </w:tcPr>
          <w:p>
            <w:pPr>
              <w:jc w:val="right"/>
              <w:ind w:right="42"/>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2"/>
                <w:szCs w:val="12"/>
                <w:color w:val="auto"/>
              </w:rPr>
              <w:t>24,252</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30,314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36,376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2"/>
                <w:szCs w:val="12"/>
                <w:color w:val="auto"/>
              </w:rPr>
              <w:t>$965,198</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C.J. Eperjesy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Cash Incentive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$68,750</w:t>
            </w:r>
          </w:p>
        </w:tc>
        <w:tc>
          <w:tcPr>
            <w:tcW w:w="760" w:type="dxa"/>
            <w:vAlign w:val="bottom"/>
            <w:gridSpan w:val="2"/>
          </w:tcPr>
          <w:p>
            <w:pPr>
              <w:jc w:val="right"/>
              <w:ind w:right="62"/>
              <w:spacing w:after="0"/>
              <w:rPr>
                <w:sz w:val="20"/>
                <w:szCs w:val="20"/>
                <w:color w:val="auto"/>
              </w:rPr>
            </w:pPr>
            <w:r>
              <w:rPr>
                <w:rFonts w:ascii="Arial" w:cs="Arial" w:eastAsia="Arial" w:hAnsi="Arial"/>
                <w:sz w:val="12"/>
                <w:szCs w:val="12"/>
                <w:color w:val="auto"/>
              </w:rPr>
              <w:t>$137,500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$275,000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w w:val="91"/>
              </w:rPr>
              <w:t>Stock Awards (1)</w:t>
            </w:r>
          </w:p>
        </w:tc>
        <w:tc>
          <w:tcPr>
            <w:tcW w:w="640" w:type="dxa"/>
            <w:vAlign w:val="bottom"/>
            <w:gridSpan w:val="2"/>
          </w:tcPr>
          <w:p>
            <w:pPr>
              <w:jc w:val="right"/>
              <w:ind w:right="42"/>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2"/>
                <w:szCs w:val="12"/>
                <w:color w:val="auto"/>
              </w:rPr>
              <w:t>5,604</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7,006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8,008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2"/>
                <w:szCs w:val="12"/>
                <w:color w:val="auto"/>
              </w:rPr>
              <w:t>$223,071</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Stock Unit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Awards (2)</w:t>
            </w:r>
          </w:p>
        </w:tc>
        <w:tc>
          <w:tcPr>
            <w:tcW w:w="640" w:type="dxa"/>
            <w:vAlign w:val="bottom"/>
            <w:gridSpan w:val="2"/>
          </w:tcPr>
          <w:p>
            <w:pPr>
              <w:jc w:val="right"/>
              <w:ind w:right="42"/>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2"/>
                <w:szCs w:val="12"/>
                <w:color w:val="auto"/>
              </w:rPr>
              <w:t>3,396</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4,244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5,092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2"/>
                <w:szCs w:val="12"/>
                <w:color w:val="auto"/>
              </w:rPr>
              <w:t>$135,129</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J.E. Feiertag</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Cash Incentive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$68,750</w:t>
            </w:r>
          </w:p>
        </w:tc>
        <w:tc>
          <w:tcPr>
            <w:tcW w:w="760" w:type="dxa"/>
            <w:vAlign w:val="bottom"/>
            <w:gridSpan w:val="2"/>
          </w:tcPr>
          <w:p>
            <w:pPr>
              <w:jc w:val="right"/>
              <w:ind w:right="62"/>
              <w:spacing w:after="0"/>
              <w:rPr>
                <w:sz w:val="20"/>
                <w:szCs w:val="20"/>
                <w:color w:val="auto"/>
              </w:rPr>
            </w:pPr>
            <w:r>
              <w:rPr>
                <w:rFonts w:ascii="Arial" w:cs="Arial" w:eastAsia="Arial" w:hAnsi="Arial"/>
                <w:sz w:val="12"/>
                <w:szCs w:val="12"/>
                <w:color w:val="auto"/>
              </w:rPr>
              <w:t>$137,500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$275,000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w w:val="91"/>
              </w:rPr>
              <w:t>Stock Awards (1)</w:t>
            </w:r>
          </w:p>
        </w:tc>
        <w:tc>
          <w:tcPr>
            <w:tcW w:w="640" w:type="dxa"/>
            <w:vAlign w:val="bottom"/>
            <w:gridSpan w:val="2"/>
          </w:tcPr>
          <w:p>
            <w:pPr>
              <w:jc w:val="right"/>
              <w:ind w:right="42"/>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2"/>
                <w:szCs w:val="12"/>
                <w:color w:val="auto"/>
              </w:rPr>
              <w:t>5,604</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7,006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8,008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2"/>
                <w:szCs w:val="12"/>
                <w:color w:val="auto"/>
              </w:rPr>
              <w:t>$223,071</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Stock Unit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Awards (2)</w:t>
            </w:r>
          </w:p>
        </w:tc>
        <w:tc>
          <w:tcPr>
            <w:tcW w:w="640" w:type="dxa"/>
            <w:vAlign w:val="bottom"/>
            <w:gridSpan w:val="2"/>
          </w:tcPr>
          <w:p>
            <w:pPr>
              <w:jc w:val="right"/>
              <w:ind w:right="42"/>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2"/>
                <w:szCs w:val="12"/>
                <w:color w:val="auto"/>
              </w:rPr>
              <w:t>3,396</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4,244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5,092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2"/>
                <w:szCs w:val="12"/>
                <w:color w:val="auto"/>
              </w:rPr>
              <w:t>$135,129</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J.H. Batten</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Cash Incentive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$63,750</w:t>
            </w:r>
          </w:p>
        </w:tc>
        <w:tc>
          <w:tcPr>
            <w:tcW w:w="760" w:type="dxa"/>
            <w:vAlign w:val="bottom"/>
            <w:gridSpan w:val="2"/>
          </w:tcPr>
          <w:p>
            <w:pPr>
              <w:jc w:val="right"/>
              <w:ind w:right="62"/>
              <w:spacing w:after="0"/>
              <w:rPr>
                <w:sz w:val="20"/>
                <w:szCs w:val="20"/>
                <w:color w:val="auto"/>
              </w:rPr>
            </w:pPr>
            <w:r>
              <w:rPr>
                <w:rFonts w:ascii="Arial" w:cs="Arial" w:eastAsia="Arial" w:hAnsi="Arial"/>
                <w:sz w:val="12"/>
                <w:szCs w:val="12"/>
                <w:color w:val="auto"/>
              </w:rPr>
              <w:t>$127,500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$255,000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088"/>
          </w:cols>
          <w:pgMar w:left="232" w:top="363" w:right="579" w:bottom="0" w:gutter="0" w:footer="0" w:header="0"/>
        </w:sectPr>
      </w:pPr>
    </w:p>
    <w:bookmarkStart w:id="15" w:name="page16"/>
    <w:bookmarkEnd w:id="15"/>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920" w:type="dxa"/>
            <w:vAlign w:val="bottom"/>
          </w:tcPr>
          <w:p>
            <w:pPr>
              <w:jc w:val="right"/>
              <w:ind w:right="2"/>
              <w:spacing w:after="0"/>
              <w:rPr>
                <w:sz w:val="20"/>
                <w:szCs w:val="20"/>
                <w:color w:val="auto"/>
              </w:rPr>
            </w:pPr>
            <w:r>
              <w:rPr>
                <w:rFonts w:ascii="Arial" w:cs="Arial" w:eastAsia="Arial" w:hAnsi="Arial"/>
                <w:sz w:val="12"/>
                <w:szCs w:val="12"/>
                <w:color w:val="auto"/>
                <w:w w:val="91"/>
              </w:rPr>
              <w:t>Stock Awards (1)</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2"/>
                <w:szCs w:val="12"/>
                <w:color w:val="auto"/>
              </w:rPr>
              <w:t>5,604</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7,006</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8,008</w:t>
            </w:r>
          </w:p>
        </w:tc>
        <w:tc>
          <w:tcPr>
            <w:tcW w:w="3300" w:type="dxa"/>
            <w:vAlign w:val="bottom"/>
            <w:gridSpan w:val="8"/>
          </w:tcPr>
          <w:p>
            <w:pPr>
              <w:jc w:val="right"/>
              <w:ind w:right="60"/>
              <w:spacing w:after="0"/>
              <w:rPr>
                <w:sz w:val="20"/>
                <w:szCs w:val="20"/>
                <w:color w:val="auto"/>
              </w:rPr>
            </w:pPr>
            <w:r>
              <w:rPr>
                <w:rFonts w:ascii="Arial" w:cs="Arial" w:eastAsia="Arial" w:hAnsi="Arial"/>
                <w:sz w:val="12"/>
                <w:szCs w:val="12"/>
                <w:color w:val="auto"/>
              </w:rPr>
              <w:t>$223,071</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Stock Unit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Awards (2)</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2"/>
                <w:szCs w:val="12"/>
                <w:color w:val="auto"/>
              </w:rPr>
              <w:t>3,396</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4,244</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5,092</w:t>
            </w:r>
          </w:p>
        </w:tc>
        <w:tc>
          <w:tcPr>
            <w:tcW w:w="3300" w:type="dxa"/>
            <w:vAlign w:val="bottom"/>
            <w:gridSpan w:val="8"/>
          </w:tcPr>
          <w:p>
            <w:pPr>
              <w:jc w:val="right"/>
              <w:ind w:right="60"/>
              <w:spacing w:after="0"/>
              <w:rPr>
                <w:sz w:val="20"/>
                <w:szCs w:val="20"/>
                <w:color w:val="auto"/>
              </w:rPr>
            </w:pPr>
            <w:r>
              <w:rPr>
                <w:rFonts w:ascii="Arial" w:cs="Arial" w:eastAsia="Arial" w:hAnsi="Arial"/>
                <w:sz w:val="12"/>
                <w:szCs w:val="12"/>
                <w:color w:val="auto"/>
              </w:rPr>
              <w:t>$135,129</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b w:val="1"/>
                <w:bCs w:val="1"/>
                <w:color w:val="auto"/>
              </w:rPr>
              <w:t>H.C. Fabry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Cash Incentive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$47,421</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$94,842</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$189,684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w w:val="91"/>
              </w:rPr>
              <w:t>Stock Awards (1)</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2"/>
                <w:szCs w:val="12"/>
                <w:color w:val="auto"/>
              </w:rPr>
              <w:t>2,804</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3,504</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4,204</w:t>
            </w:r>
          </w:p>
        </w:tc>
        <w:tc>
          <w:tcPr>
            <w:tcW w:w="3300" w:type="dxa"/>
            <w:vAlign w:val="bottom"/>
            <w:gridSpan w:val="8"/>
          </w:tcPr>
          <w:p>
            <w:pPr>
              <w:jc w:val="right"/>
              <w:ind w:right="60"/>
              <w:spacing w:after="0"/>
              <w:rPr>
                <w:sz w:val="20"/>
                <w:szCs w:val="20"/>
                <w:color w:val="auto"/>
              </w:rPr>
            </w:pPr>
            <w:r>
              <w:rPr>
                <w:rFonts w:ascii="Arial" w:cs="Arial" w:eastAsia="Arial" w:hAnsi="Arial"/>
                <w:sz w:val="12"/>
                <w:szCs w:val="12"/>
                <w:color w:val="auto"/>
              </w:rPr>
              <w:t>$111,567</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290"/>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Performance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Stock Unit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920" w:type="dxa"/>
            <w:vAlign w:val="bottom"/>
          </w:tcPr>
          <w:p>
            <w:pPr>
              <w:jc w:val="right"/>
              <w:ind w:right="2"/>
              <w:spacing w:after="0"/>
              <w:rPr>
                <w:sz w:val="20"/>
                <w:szCs w:val="20"/>
                <w:color w:val="auto"/>
              </w:rPr>
            </w:pPr>
            <w:r>
              <w:rPr>
                <w:rFonts w:ascii="Arial" w:cs="Arial" w:eastAsia="Arial" w:hAnsi="Arial"/>
                <w:sz w:val="12"/>
                <w:szCs w:val="12"/>
                <w:color w:val="auto"/>
              </w:rPr>
              <w:t>Awards (2)</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7/26/07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2"/>
                <w:szCs w:val="12"/>
                <w:color w:val="auto"/>
              </w:rPr>
              <w:t>1,698</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2,122</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2,546</w:t>
            </w:r>
          </w:p>
        </w:tc>
        <w:tc>
          <w:tcPr>
            <w:tcW w:w="3300" w:type="dxa"/>
            <w:vAlign w:val="bottom"/>
            <w:gridSpan w:val="8"/>
          </w:tcPr>
          <w:p>
            <w:pPr>
              <w:jc w:val="right"/>
              <w:ind w:right="60"/>
              <w:spacing w:after="0"/>
              <w:rPr>
                <w:sz w:val="20"/>
                <w:szCs w:val="20"/>
                <w:color w:val="auto"/>
              </w:rPr>
            </w:pPr>
            <w:r>
              <w:rPr>
                <w:rFonts w:ascii="Arial" w:cs="Arial" w:eastAsia="Arial" w:hAnsi="Arial"/>
                <w:sz w:val="12"/>
                <w:szCs w:val="12"/>
                <w:color w:val="auto"/>
              </w:rPr>
              <w:t>$67,564</w:t>
            </w:r>
          </w:p>
        </w:tc>
      </w:tr>
      <w:tr>
        <w:trPr>
          <w:trHeight w:val="116"/>
        </w:trPr>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bl>
    <w:p>
      <w:pPr>
        <w:spacing w:after="0" w:line="304" w:lineRule="exact"/>
        <w:rPr>
          <w:sz w:val="20"/>
          <w:szCs w:val="20"/>
          <w:color w:val="auto"/>
        </w:rPr>
      </w:pPr>
    </w:p>
    <w:p>
      <w:pPr>
        <w:ind w:left="448" w:right="260" w:hanging="448"/>
        <w:spacing w:after="0" w:line="236" w:lineRule="auto"/>
        <w:tabs>
          <w:tab w:leader="none" w:pos="448" w:val="left"/>
        </w:tabs>
        <w:numPr>
          <w:ilvl w:val="0"/>
          <w:numId w:val="21"/>
        </w:numPr>
        <w:rPr>
          <w:rFonts w:ascii="Arial" w:cs="Arial" w:eastAsia="Arial" w:hAnsi="Arial"/>
          <w:sz w:val="18"/>
          <w:szCs w:val="18"/>
          <w:color w:val="auto"/>
        </w:rPr>
      </w:pPr>
      <w:r>
        <w:rPr>
          <w:rFonts w:ascii="Arial" w:cs="Arial" w:eastAsia="Arial" w:hAnsi="Arial"/>
          <w:sz w:val="15"/>
          <w:szCs w:val="15"/>
          <w:color w:val="auto"/>
        </w:rPr>
        <w:t>Consists of stock awards with performance-based vesting criteria, as discussed in the “Long-Term Incentive Compensation” section of the Compensation Discussion and Analysis; eligible for vesting in 2010.</w:t>
      </w:r>
    </w:p>
    <w:p>
      <w:pPr>
        <w:spacing w:after="0" w:line="202" w:lineRule="exact"/>
        <w:rPr>
          <w:rFonts w:ascii="Arial" w:cs="Arial" w:eastAsia="Arial" w:hAnsi="Arial"/>
          <w:sz w:val="18"/>
          <w:szCs w:val="18"/>
          <w:color w:val="auto"/>
        </w:rPr>
      </w:pPr>
    </w:p>
    <w:p>
      <w:pPr>
        <w:ind w:left="448" w:right="520" w:hanging="448"/>
        <w:spacing w:after="0" w:line="279"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Consists of cash awards measured by the value of the company’s common stock as of the vesting date with performance-based vesting criteria, as discussed in the “Long-Term Incentive Compensation” section of the Compensation Discussion and Analysis; eligible for vesting in 2010.</w:t>
      </w:r>
    </w:p>
    <w:p>
      <w:pPr>
        <w:spacing w:after="0" w:line="186" w:lineRule="exact"/>
        <w:rPr>
          <w:rFonts w:ascii="Arial" w:cs="Arial" w:eastAsia="Arial" w:hAnsi="Arial"/>
          <w:sz w:val="15"/>
          <w:szCs w:val="15"/>
          <w:color w:val="auto"/>
        </w:rPr>
      </w:pPr>
    </w:p>
    <w:p>
      <w:pPr>
        <w:ind w:left="448" w:hanging="448"/>
        <w:spacing w:after="0"/>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numbers listed for Performance Stock Awards and the Performance Stock Unit Awards are post-split.</w:t>
      </w:r>
    </w:p>
    <w:p>
      <w:pPr>
        <w:spacing w:after="0" w:line="230" w:lineRule="exact"/>
        <w:rPr>
          <w:rFonts w:ascii="Arial" w:cs="Arial" w:eastAsia="Arial" w:hAnsi="Arial"/>
          <w:sz w:val="15"/>
          <w:szCs w:val="15"/>
          <w:color w:val="auto"/>
        </w:rPr>
      </w:pPr>
    </w:p>
    <w:p>
      <w:pPr>
        <w:ind w:left="448" w:right="160" w:hanging="448"/>
        <w:spacing w:after="0" w:line="316" w:lineRule="auto"/>
        <w:tabs>
          <w:tab w:leader="none" w:pos="4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grant date fair value is calculated using the closing price of Twin Disc shares on the grant date ($31.84). Performance shares and/or performance stock units do not vest until the performance objectives are achieved, as discussed in the "Long-Term Incentive Compensation" section of the Compensation Discussion and Analysis.</w:t>
      </w:r>
    </w:p>
    <w:p>
      <w:pPr>
        <w:spacing w:after="0" w:line="324"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68"/>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3" w:lineRule="exact"/>
        <w:rPr>
          <w:sz w:val="20"/>
          <w:szCs w:val="20"/>
          <w:color w:val="auto"/>
        </w:rPr>
      </w:pPr>
    </w:p>
    <w:p>
      <w:pPr>
        <w:ind w:left="8" w:right="680"/>
        <w:spacing w:after="0" w:line="271" w:lineRule="auto"/>
        <w:rPr>
          <w:sz w:val="20"/>
          <w:szCs w:val="20"/>
          <w:color w:val="auto"/>
        </w:rPr>
      </w:pPr>
      <w:r>
        <w:rPr>
          <w:rFonts w:ascii="Arial" w:cs="Arial" w:eastAsia="Arial" w:hAnsi="Arial"/>
          <w:sz w:val="18"/>
          <w:szCs w:val="18"/>
          <w:color w:val="auto"/>
        </w:rPr>
        <w:t>The following table summarizes the number of shares covered by exercisable and unexercisable options, as well as the number of restricted stock, performance stock and performance stock unit awards held by our named executive officers on June 30, 2008.</w:t>
      </w:r>
    </w:p>
    <w:p>
      <w:pPr>
        <w:spacing w:after="0" w:line="178"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3"/>
          </w:tcPr>
          <w:p>
            <w:pPr>
              <w:ind w:left="960"/>
              <w:spacing w:after="0"/>
              <w:rPr>
                <w:sz w:val="20"/>
                <w:szCs w:val="20"/>
                <w:color w:val="auto"/>
              </w:rPr>
            </w:pPr>
            <w:r>
              <w:rPr>
                <w:rFonts w:ascii="Arial" w:cs="Arial" w:eastAsia="Arial" w:hAnsi="Arial"/>
                <w:sz w:val="15"/>
                <w:szCs w:val="15"/>
                <w:color w:val="auto"/>
              </w:rPr>
              <w:t>Option Awards</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445"/>
              <w:spacing w:after="0"/>
              <w:rPr>
                <w:sz w:val="20"/>
                <w:szCs w:val="20"/>
                <w:color w:val="auto"/>
              </w:rPr>
            </w:pPr>
            <w:r>
              <w:rPr>
                <w:rFonts w:ascii="Arial" w:cs="Arial" w:eastAsia="Arial" w:hAnsi="Arial"/>
                <w:sz w:val="15"/>
                <w:szCs w:val="15"/>
                <w:color w:val="auto"/>
              </w:rPr>
              <w:t>Stock Awards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06"/>
        </w:trPr>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Equity</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Equity</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5"/>
              </w:rPr>
              <w:t>Equity</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2"/>
              </w:rPr>
              <w:t>Awards:</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3"/>
              </w:rPr>
              <w:t>Incentive</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88"/>
              </w:rPr>
              <w:t>Awards:</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Market or</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3"/>
              </w:rPr>
              <w:t>Plan</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1"/>
              </w:rPr>
              <w:t>Number of</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87"/>
              </w:rPr>
              <w:t>Payout Value</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88"/>
              </w:rPr>
              <w:t>Awards: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1"/>
              </w:rPr>
              <w:t>Market</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87"/>
              </w:rPr>
              <w:t>Unearned</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of Unearned</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4"/>
              </w:rPr>
              <w:t>Number of</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4"/>
              </w:rPr>
              <w:t>Number of</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1"/>
              </w:rPr>
              <w:t>Number of</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4"/>
              </w:rPr>
              <w:t>Number of</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Value of</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88"/>
              </w:rPr>
              <w:t>Shares, Units</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86"/>
              </w:rPr>
              <w:t>Shares, Units</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8"/>
              </w:rPr>
              <w:t>Securities</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1"/>
              </w:rPr>
              <w:t>Securities</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1"/>
              </w:rPr>
              <w:t>Securities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86"/>
              </w:rPr>
              <w:t>Shares or</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6"/>
              </w:rPr>
              <w:t>Shares or</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0"/>
              </w:rPr>
              <w:t>or Other</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or Other</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94"/>
              </w:rPr>
              <w:t>Underlying</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4"/>
              </w:rPr>
              <w:t>Underlying</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4"/>
              </w:rPr>
              <w:t>Underlying</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4"/>
              </w:rPr>
              <w:t>Units of</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8"/>
              </w:rPr>
              <w:t>Units of</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1"/>
              </w:rPr>
              <w:t>Rights That</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Rights That</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8"/>
              </w:rPr>
              <w:t>Unexercised</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88"/>
              </w:rPr>
              <w:t>Unexercised</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1"/>
              </w:rPr>
              <w:t>Unexercised</w:t>
            </w:r>
          </w:p>
        </w:tc>
        <w:tc>
          <w:tcPr>
            <w:tcW w:w="220" w:type="dxa"/>
            <w:vAlign w:val="bottom"/>
          </w:tcPr>
          <w:p>
            <w:pPr>
              <w:spacing w:after="0"/>
              <w:rPr>
                <w:sz w:val="19"/>
                <w:szCs w:val="19"/>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Option</w:t>
            </w:r>
          </w:p>
        </w:tc>
        <w:tc>
          <w:tcPr>
            <w:tcW w:w="3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4"/>
              </w:rPr>
              <w:t>Option</w:t>
            </w: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1"/>
              </w:rPr>
              <w:t>Stock That</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1"/>
              </w:rPr>
              <w:t>Stock That</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Have Not</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2"/>
              </w:rPr>
              <w:t>Have Not</w:t>
            </w:r>
          </w:p>
        </w:tc>
      </w:tr>
      <w:tr>
        <w:trPr>
          <w:trHeight w:val="219"/>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8"/>
              </w:rPr>
              <w:t>Options</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2"/>
              </w:rPr>
              <w:t>Options</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1"/>
              </w:rPr>
              <w:t>Unearned</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Exercise</w:t>
            </w:r>
          </w:p>
        </w:tc>
        <w:tc>
          <w:tcPr>
            <w:tcW w:w="3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Expiration</w:t>
            </w: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92"/>
              </w:rPr>
              <w:t>Have Not</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2"/>
              </w:rPr>
              <w:t>Have Not</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85"/>
              </w:rPr>
              <w:t>Vested</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81"/>
              </w:rPr>
              <w:t>Vested</w:t>
            </w:r>
          </w:p>
        </w:tc>
      </w:tr>
      <w:tr>
        <w:trPr>
          <w:trHeight w:val="219"/>
        </w:trPr>
        <w:tc>
          <w:tcPr>
            <w:tcW w:w="1100" w:type="dxa"/>
            <w:vAlign w:val="bottom"/>
            <w:gridSpan w:val="2"/>
          </w:tcPr>
          <w:p>
            <w:pPr>
              <w:spacing w:after="0"/>
              <w:rPr>
                <w:sz w:val="20"/>
                <w:szCs w:val="20"/>
                <w:color w:val="auto"/>
              </w:rPr>
            </w:pPr>
            <w:r>
              <w:rPr>
                <w:rFonts w:ascii="Arial" w:cs="Arial" w:eastAsia="Arial" w:hAnsi="Arial"/>
                <w:sz w:val="15"/>
                <w:szCs w:val="15"/>
                <w:color w:val="auto"/>
              </w:rPr>
              <w:t>Name</w:t>
            </w:r>
          </w:p>
        </w:tc>
        <w:tc>
          <w:tcPr>
            <w:tcW w:w="980" w:type="dxa"/>
            <w:vAlign w:val="bottom"/>
          </w:tcPr>
          <w:p>
            <w:pPr>
              <w:jc w:val="center"/>
              <w:spacing w:after="0"/>
              <w:rPr>
                <w:sz w:val="20"/>
                <w:szCs w:val="20"/>
                <w:color w:val="auto"/>
              </w:rPr>
            </w:pPr>
            <w:r>
              <w:rPr>
                <w:rFonts w:ascii="Arial" w:cs="Arial" w:eastAsia="Arial" w:hAnsi="Arial"/>
                <w:sz w:val="15"/>
                <w:szCs w:val="15"/>
                <w:color w:val="auto"/>
                <w:w w:val="90"/>
              </w:rPr>
              <w:t>Exercisable</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0"/>
              </w:rPr>
              <w:t>Unexercisable</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w w:val="92"/>
              </w:rPr>
              <w:t>Options</w:t>
            </w:r>
          </w:p>
        </w:tc>
        <w:tc>
          <w:tcPr>
            <w:tcW w:w="220" w:type="dxa"/>
            <w:vAlign w:val="bottom"/>
          </w:tcPr>
          <w:p>
            <w:pPr>
              <w:spacing w:after="0"/>
              <w:rPr>
                <w:sz w:val="19"/>
                <w:szCs w:val="19"/>
                <w:color w:val="auto"/>
              </w:rPr>
            </w:pPr>
          </w:p>
        </w:tc>
        <w:tc>
          <w:tcPr>
            <w:tcW w:w="660" w:type="dxa"/>
            <w:vAlign w:val="bottom"/>
          </w:tcPr>
          <w:p>
            <w:pPr>
              <w:jc w:val="right"/>
              <w:ind w:right="105"/>
              <w:spacing w:after="0"/>
              <w:rPr>
                <w:sz w:val="20"/>
                <w:szCs w:val="20"/>
                <w:color w:val="auto"/>
              </w:rPr>
            </w:pPr>
            <w:r>
              <w:rPr>
                <w:rFonts w:ascii="Arial" w:cs="Arial" w:eastAsia="Arial" w:hAnsi="Arial"/>
                <w:sz w:val="15"/>
                <w:szCs w:val="15"/>
                <w:color w:val="auto"/>
              </w:rPr>
              <w:t>Price</w:t>
            </w:r>
          </w:p>
        </w:tc>
        <w:tc>
          <w:tcPr>
            <w:tcW w:w="3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88"/>
              </w:rPr>
              <w:t>Date</w:t>
            </w: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5"/>
                <w:szCs w:val="15"/>
                <w:color w:val="auto"/>
                <w:w w:val="85"/>
              </w:rPr>
              <w:t>Vested</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5"/>
              </w:rPr>
              <w:t>Vested</w:t>
            </w:r>
          </w:p>
        </w:tc>
        <w:tc>
          <w:tcPr>
            <w:tcW w:w="1240" w:type="dxa"/>
            <w:vAlign w:val="bottom"/>
            <w:gridSpan w:val="2"/>
          </w:tcPr>
          <w:p>
            <w:pPr>
              <w:jc w:val="center"/>
              <w:ind w:left="165"/>
              <w:spacing w:after="0"/>
              <w:rPr>
                <w:sz w:val="20"/>
                <w:szCs w:val="20"/>
                <w:color w:val="auto"/>
              </w:rPr>
            </w:pPr>
            <w:r>
              <w:rPr>
                <w:rFonts w:ascii="Arial" w:cs="Arial" w:eastAsia="Arial" w:hAnsi="Arial"/>
                <w:sz w:val="15"/>
                <w:szCs w:val="15"/>
                <w:color w:val="auto"/>
                <w:w w:val="87"/>
              </w:rPr>
              <w:t>(1)</w:t>
            </w:r>
          </w:p>
        </w:tc>
        <w:tc>
          <w:tcPr>
            <w:tcW w:w="1140" w:type="dxa"/>
            <w:vAlign w:val="bottom"/>
            <w:gridSpan w:val="2"/>
          </w:tcPr>
          <w:p>
            <w:pPr>
              <w:jc w:val="center"/>
              <w:ind w:left="165"/>
              <w:spacing w:after="0"/>
              <w:rPr>
                <w:sz w:val="20"/>
                <w:szCs w:val="20"/>
                <w:color w:val="auto"/>
              </w:rPr>
            </w:pPr>
            <w:r>
              <w:rPr>
                <w:rFonts w:ascii="Arial" w:cs="Arial" w:eastAsia="Arial" w:hAnsi="Arial"/>
                <w:sz w:val="15"/>
                <w:szCs w:val="15"/>
                <w:color w:val="auto"/>
                <w:w w:val="97"/>
              </w:rPr>
              <w:t>(2)</w:t>
            </w: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M.E. Batten</w:t>
            </w:r>
          </w:p>
        </w:tc>
        <w:tc>
          <w:tcPr>
            <w:tcW w:w="980" w:type="dxa"/>
            <w:vAlign w:val="bottom"/>
          </w:tcPr>
          <w:p>
            <w:pPr>
              <w:jc w:val="right"/>
              <w:spacing w:after="0"/>
              <w:rPr>
                <w:sz w:val="20"/>
                <w:szCs w:val="20"/>
                <w:color w:val="auto"/>
              </w:rPr>
            </w:pPr>
            <w:r>
              <w:rPr>
                <w:rFonts w:ascii="Arial" w:cs="Arial" w:eastAsia="Arial" w:hAnsi="Arial"/>
                <w:sz w:val="15"/>
                <w:szCs w:val="15"/>
                <w:color w:val="auto"/>
              </w:rPr>
              <w:t>12,000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gridSpan w:val="2"/>
          </w:tcPr>
          <w:p>
            <w:pPr>
              <w:jc w:val="right"/>
              <w:ind w:right="45"/>
              <w:spacing w:after="0"/>
              <w:rPr>
                <w:sz w:val="20"/>
                <w:szCs w:val="20"/>
                <w:color w:val="auto"/>
              </w:rPr>
            </w:pPr>
            <w:r>
              <w:rPr>
                <w:rFonts w:ascii="Arial" w:cs="Arial" w:eastAsia="Arial" w:hAnsi="Arial"/>
                <w:sz w:val="15"/>
                <w:szCs w:val="15"/>
                <w:color w:val="auto"/>
              </w:rPr>
              <w:t>$4.9844</w:t>
            </w:r>
          </w:p>
        </w:tc>
        <w:tc>
          <w:tcPr>
            <w:tcW w:w="1120" w:type="dxa"/>
            <w:vAlign w:val="bottom"/>
            <w:gridSpan w:val="2"/>
          </w:tcPr>
          <w:p>
            <w:pPr>
              <w:jc w:val="center"/>
              <w:ind w:left="225"/>
              <w:spacing w:after="0"/>
              <w:rPr>
                <w:sz w:val="20"/>
                <w:szCs w:val="20"/>
                <w:color w:val="auto"/>
              </w:rPr>
            </w:pPr>
            <w:r>
              <w:rPr>
                <w:rFonts w:ascii="Arial" w:cs="Arial" w:eastAsia="Arial" w:hAnsi="Arial"/>
                <w:sz w:val="15"/>
                <w:szCs w:val="15"/>
                <w:color w:val="auto"/>
                <w:w w:val="92"/>
              </w:rPr>
              <w:t>7/30/2009</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M.E. Batten</w:t>
            </w:r>
          </w:p>
        </w:tc>
        <w:tc>
          <w:tcPr>
            <w:tcW w:w="980" w:type="dxa"/>
            <w:vAlign w:val="bottom"/>
          </w:tcPr>
          <w:p>
            <w:pPr>
              <w:jc w:val="right"/>
              <w:spacing w:after="0"/>
              <w:rPr>
                <w:sz w:val="20"/>
                <w:szCs w:val="20"/>
                <w:color w:val="auto"/>
              </w:rPr>
            </w:pPr>
            <w:r>
              <w:rPr>
                <w:rFonts w:ascii="Arial" w:cs="Arial" w:eastAsia="Arial" w:hAnsi="Arial"/>
                <w:sz w:val="15"/>
                <w:szCs w:val="15"/>
                <w:color w:val="auto"/>
              </w:rPr>
              <w:t>12,000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$4.45315</w:t>
            </w:r>
          </w:p>
        </w:tc>
        <w:tc>
          <w:tcPr>
            <w:tcW w:w="1120" w:type="dxa"/>
            <w:vAlign w:val="bottom"/>
            <w:gridSpan w:val="2"/>
          </w:tcPr>
          <w:p>
            <w:pPr>
              <w:jc w:val="center"/>
              <w:ind w:left="225"/>
              <w:spacing w:after="0"/>
              <w:rPr>
                <w:sz w:val="20"/>
                <w:szCs w:val="20"/>
                <w:color w:val="auto"/>
              </w:rPr>
            </w:pPr>
            <w:r>
              <w:rPr>
                <w:rFonts w:ascii="Arial" w:cs="Arial" w:eastAsia="Arial" w:hAnsi="Arial"/>
                <w:sz w:val="15"/>
                <w:szCs w:val="15"/>
                <w:color w:val="auto"/>
                <w:w w:val="92"/>
              </w:rPr>
              <w:t>8/4/2010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M.E. Batten</w:t>
            </w:r>
          </w:p>
        </w:tc>
        <w:tc>
          <w:tcPr>
            <w:tcW w:w="980" w:type="dxa"/>
            <w:vAlign w:val="bottom"/>
          </w:tcPr>
          <w:p>
            <w:pPr>
              <w:jc w:val="right"/>
              <w:spacing w:after="0"/>
              <w:rPr>
                <w:sz w:val="20"/>
                <w:szCs w:val="20"/>
                <w:color w:val="auto"/>
              </w:rPr>
            </w:pPr>
            <w:r>
              <w:rPr>
                <w:rFonts w:ascii="Arial" w:cs="Arial" w:eastAsia="Arial" w:hAnsi="Arial"/>
                <w:sz w:val="15"/>
                <w:szCs w:val="15"/>
                <w:color w:val="auto"/>
              </w:rPr>
              <w:t>16,000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gridSpan w:val="2"/>
          </w:tcPr>
          <w:p>
            <w:pPr>
              <w:jc w:val="right"/>
              <w:ind w:right="45"/>
              <w:spacing w:after="0"/>
              <w:rPr>
                <w:sz w:val="20"/>
                <w:szCs w:val="20"/>
                <w:color w:val="auto"/>
              </w:rPr>
            </w:pPr>
            <w:r>
              <w:rPr>
                <w:rFonts w:ascii="Arial" w:cs="Arial" w:eastAsia="Arial" w:hAnsi="Arial"/>
                <w:sz w:val="15"/>
                <w:szCs w:val="15"/>
                <w:color w:val="auto"/>
              </w:rPr>
              <w:t>$3.7625</w:t>
            </w:r>
          </w:p>
        </w:tc>
        <w:tc>
          <w:tcPr>
            <w:tcW w:w="1120" w:type="dxa"/>
            <w:vAlign w:val="bottom"/>
            <w:gridSpan w:val="2"/>
          </w:tcPr>
          <w:p>
            <w:pPr>
              <w:jc w:val="center"/>
              <w:ind w:left="245"/>
              <w:spacing w:after="0"/>
              <w:rPr>
                <w:sz w:val="20"/>
                <w:szCs w:val="20"/>
                <w:color w:val="auto"/>
              </w:rPr>
            </w:pPr>
            <w:r>
              <w:rPr>
                <w:rFonts w:ascii="Arial" w:cs="Arial" w:eastAsia="Arial" w:hAnsi="Arial"/>
                <w:sz w:val="15"/>
                <w:szCs w:val="15"/>
                <w:color w:val="auto"/>
                <w:w w:val="89"/>
              </w:rPr>
              <w:t>8/13/2011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M.E. Batten</w:t>
            </w:r>
          </w:p>
        </w:tc>
        <w:tc>
          <w:tcPr>
            <w:tcW w:w="980" w:type="dxa"/>
            <w:vAlign w:val="bottom"/>
          </w:tcPr>
          <w:p>
            <w:pPr>
              <w:jc w:val="right"/>
              <w:spacing w:after="0"/>
              <w:rPr>
                <w:sz w:val="20"/>
                <w:szCs w:val="20"/>
                <w:color w:val="auto"/>
              </w:rPr>
            </w:pPr>
            <w:r>
              <w:rPr>
                <w:rFonts w:ascii="Arial" w:cs="Arial" w:eastAsia="Arial" w:hAnsi="Arial"/>
                <w:sz w:val="15"/>
                <w:szCs w:val="15"/>
                <w:color w:val="auto"/>
              </w:rPr>
              <w:t>32,000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gridSpan w:val="2"/>
          </w:tcPr>
          <w:p>
            <w:pPr>
              <w:jc w:val="right"/>
              <w:ind w:right="45"/>
              <w:spacing w:after="0"/>
              <w:rPr>
                <w:sz w:val="20"/>
                <w:szCs w:val="20"/>
                <w:color w:val="auto"/>
              </w:rPr>
            </w:pPr>
            <w:r>
              <w:rPr>
                <w:rFonts w:ascii="Arial" w:cs="Arial" w:eastAsia="Arial" w:hAnsi="Arial"/>
                <w:sz w:val="15"/>
                <w:szCs w:val="15"/>
                <w:color w:val="auto"/>
              </w:rPr>
              <w:t>$3.6125</w:t>
            </w:r>
          </w:p>
        </w:tc>
        <w:tc>
          <w:tcPr>
            <w:tcW w:w="1120" w:type="dxa"/>
            <w:vAlign w:val="bottom"/>
            <w:gridSpan w:val="2"/>
          </w:tcPr>
          <w:p>
            <w:pPr>
              <w:jc w:val="center"/>
              <w:ind w:left="225"/>
              <w:spacing w:after="0"/>
              <w:rPr>
                <w:sz w:val="20"/>
                <w:szCs w:val="20"/>
                <w:color w:val="auto"/>
              </w:rPr>
            </w:pPr>
            <w:r>
              <w:rPr>
                <w:rFonts w:ascii="Arial" w:cs="Arial" w:eastAsia="Arial" w:hAnsi="Arial"/>
                <w:sz w:val="15"/>
                <w:szCs w:val="15"/>
                <w:color w:val="auto"/>
                <w:w w:val="92"/>
              </w:rPr>
              <w:t>8/2/2012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M.E. Batten</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183,010</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$3,830,399</w:t>
            </w: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C.J. Eperjesy</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55,752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$1,166,889</w:t>
            </w: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J.E. Feiertag</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49,752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$1,041,309</w:t>
            </w: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J.H. Batten</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49,752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$1,041,309</w:t>
            </w: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00"/>
        </w:trPr>
        <w:tc>
          <w:tcPr>
            <w:tcW w:w="1100" w:type="dxa"/>
            <w:vAlign w:val="bottom"/>
            <w:gridSpan w:val="2"/>
          </w:tcPr>
          <w:p>
            <w:pPr>
              <w:spacing w:after="0"/>
              <w:rPr>
                <w:sz w:val="20"/>
                <w:szCs w:val="20"/>
                <w:color w:val="auto"/>
              </w:rPr>
            </w:pPr>
            <w:r>
              <w:rPr>
                <w:rFonts w:ascii="Arial" w:cs="Arial" w:eastAsia="Arial" w:hAnsi="Arial"/>
                <w:sz w:val="15"/>
                <w:szCs w:val="15"/>
                <w:color w:val="auto"/>
              </w:rPr>
              <w:t>H.C. Fabry</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20,328</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$425,465</w:t>
            </w:r>
          </w:p>
        </w:tc>
      </w:tr>
      <w:tr>
        <w:trPr>
          <w:trHeight w:val="106"/>
        </w:trPr>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76" w:lineRule="exact"/>
        <w:rPr>
          <w:sz w:val="20"/>
          <w:szCs w:val="20"/>
          <w:color w:val="auto"/>
        </w:rPr>
      </w:pPr>
    </w:p>
    <w:p>
      <w:pPr>
        <w:ind w:left="8" w:hanging="8"/>
        <w:spacing w:after="0" w:line="270" w:lineRule="auto"/>
        <w:tabs>
          <w:tab w:leader="none" w:pos="2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number of non-vested restricted stock awards, performance stock awards and performance stock unit awards which are scheduled to vest at various times between August 2008 through June 2010. For those awards granted in fiscal 2007 with Threshold/Target/ Maximum payout levels, the figures presented assume the Maximum level as the Target has been achieved in the prior fiscal year. For those awards granted in fiscal 2008 with Threshold/ Target/Maximum payout levels, the figures presented assume the Target level as the Threshold has been achieved in the prior fiscal year.</w:t>
      </w:r>
    </w:p>
    <w:p>
      <w:pPr>
        <w:sectPr>
          <w:pgSz w:w="11900" w:h="16927" w:orient="portrait"/>
          <w:cols w:equalWidth="0" w:num="1">
            <w:col w:w="11448"/>
          </w:cols>
          <w:pgMar w:left="232" w:top="188" w:right="219" w:bottom="0" w:gutter="0" w:footer="0" w:header="0"/>
        </w:sectPr>
      </w:pPr>
    </w:p>
    <w:bookmarkStart w:id="16" w:name="page17"/>
    <w:bookmarkEnd w:id="16"/>
    <w:p>
      <w:pPr>
        <w:spacing w:after="0" w:line="23" w:lineRule="exact"/>
        <w:rPr>
          <w:sz w:val="20"/>
          <w:szCs w:val="20"/>
          <w:color w:val="auto"/>
        </w:rPr>
      </w:pPr>
    </w:p>
    <w:p>
      <w:pPr>
        <w:ind w:left="268" w:hanging="268"/>
        <w:spacing w:after="0"/>
        <w:tabs>
          <w:tab w:leader="none" w:pos="2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using the closing price of the Company’s Common Stock as of June 30, 2008.</w:t>
      </w:r>
    </w:p>
    <w:p>
      <w:pPr>
        <w:spacing w:after="0" w:line="214" w:lineRule="exact"/>
        <w:rPr>
          <w:rFonts w:ascii="Arial" w:cs="Arial" w:eastAsia="Arial" w:hAnsi="Arial"/>
          <w:sz w:val="18"/>
          <w:szCs w:val="18"/>
          <w:color w:val="auto"/>
        </w:rPr>
      </w:pPr>
    </w:p>
    <w:p>
      <w:pPr>
        <w:ind w:left="628"/>
        <w:spacing w:after="0"/>
        <w:rPr>
          <w:rFonts w:ascii="Arial" w:cs="Arial" w:eastAsia="Arial" w:hAnsi="Arial"/>
          <w:sz w:val="18"/>
          <w:szCs w:val="18"/>
          <w:color w:val="auto"/>
        </w:rPr>
      </w:pPr>
      <w:r>
        <w:rPr>
          <w:rFonts w:ascii="Arial" w:cs="Arial" w:eastAsia="Arial" w:hAnsi="Arial"/>
          <w:sz w:val="18"/>
          <w:szCs w:val="18"/>
          <w:b w:val="1"/>
          <w:bCs w:val="1"/>
          <w:color w:val="auto"/>
        </w:rPr>
        <w:t>Option Exercises and Stock Vested</w:t>
      </w:r>
    </w:p>
    <w:p>
      <w:pPr>
        <w:spacing w:after="0" w:line="223" w:lineRule="exact"/>
        <w:rPr>
          <w:sz w:val="20"/>
          <w:szCs w:val="20"/>
          <w:color w:val="auto"/>
        </w:rPr>
      </w:pPr>
    </w:p>
    <w:p>
      <w:pPr>
        <w:ind w:left="8" w:right="380"/>
        <w:spacing w:after="0" w:line="271" w:lineRule="auto"/>
        <w:rPr>
          <w:sz w:val="20"/>
          <w:szCs w:val="20"/>
          <w:color w:val="auto"/>
        </w:rPr>
      </w:pPr>
      <w:r>
        <w:rPr>
          <w:rFonts w:ascii="Arial" w:cs="Arial" w:eastAsia="Arial" w:hAnsi="Arial"/>
          <w:sz w:val="18"/>
          <w:szCs w:val="18"/>
          <w:color w:val="auto"/>
        </w:rPr>
        <w:t>The following table sets forth information regarding each exercise of stock options and vesting of restricted stock and performance stock that occurred during fiscal 2008 for each of our named executive officers.</w:t>
      </w:r>
    </w:p>
    <w:p>
      <w:pPr>
        <w:spacing w:after="0" w:line="13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gridSpan w:val="3"/>
          </w:tcPr>
          <w:p>
            <w:pPr>
              <w:jc w:val="right"/>
              <w:ind w:right="145"/>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184"/>
        </w:trPr>
        <w:tc>
          <w:tcPr>
            <w:tcW w:w="11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gridSpan w:val="3"/>
          </w:tcPr>
          <w:p>
            <w:pPr>
              <w:spacing w:after="0"/>
              <w:rPr>
                <w:sz w:val="15"/>
                <w:szCs w:val="15"/>
                <w:color w:val="auto"/>
              </w:rPr>
            </w:pPr>
          </w:p>
        </w:tc>
        <w:tc>
          <w:tcPr>
            <w:tcW w:w="14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gridSpan w:val="3"/>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4000" w:type="dxa"/>
            <w:vAlign w:val="bottom"/>
            <w:tcBorders>
              <w:bottom w:val="single" w:sz="8" w:color="808080"/>
            </w:tcBorders>
          </w:tcPr>
          <w:p>
            <w:pPr>
              <w:spacing w:after="0"/>
              <w:rPr>
                <w:sz w:val="15"/>
                <w:szCs w:val="15"/>
                <w:color w:val="auto"/>
              </w:rPr>
            </w:pPr>
          </w:p>
        </w:tc>
      </w:tr>
      <w:tr>
        <w:trPr>
          <w:trHeight w:val="512"/>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1065"/>
              <w:spacing w:after="0"/>
              <w:rPr>
                <w:sz w:val="20"/>
                <w:szCs w:val="20"/>
                <w:color w:val="auto"/>
              </w:rPr>
            </w:pPr>
            <w:r>
              <w:rPr>
                <w:rFonts w:ascii="Arial" w:cs="Arial" w:eastAsia="Arial" w:hAnsi="Arial"/>
                <w:sz w:val="15"/>
                <w:szCs w:val="15"/>
                <w:color w:val="auto"/>
              </w:rPr>
              <w:t>Option Awards</w:t>
            </w:r>
          </w:p>
        </w:tc>
        <w:tc>
          <w:tcPr>
            <w:tcW w:w="160" w:type="dxa"/>
            <w:vAlign w:val="bottom"/>
          </w:tcPr>
          <w:p>
            <w:pPr>
              <w:spacing w:after="0"/>
              <w:rPr>
                <w:sz w:val="24"/>
                <w:szCs w:val="24"/>
                <w:color w:val="auto"/>
              </w:rPr>
            </w:pPr>
          </w:p>
        </w:tc>
        <w:tc>
          <w:tcPr>
            <w:tcW w:w="6880" w:type="dxa"/>
            <w:vAlign w:val="bottom"/>
            <w:gridSpan w:val="5"/>
          </w:tcPr>
          <w:p>
            <w:pPr>
              <w:ind w:left="1000"/>
              <w:spacing w:after="0"/>
              <w:rPr>
                <w:sz w:val="20"/>
                <w:szCs w:val="20"/>
                <w:color w:val="auto"/>
              </w:rPr>
            </w:pPr>
            <w:r>
              <w:rPr>
                <w:rFonts w:ascii="Arial" w:cs="Arial" w:eastAsia="Arial" w:hAnsi="Arial"/>
                <w:sz w:val="15"/>
                <w:szCs w:val="15"/>
                <w:color w:val="auto"/>
              </w:rPr>
              <w:t>Stock Awards</w:t>
            </w:r>
          </w:p>
        </w:tc>
      </w:tr>
      <w:tr>
        <w:trPr>
          <w:trHeight w:val="106"/>
        </w:trPr>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r>
        <w:trPr>
          <w:trHeight w:val="300"/>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left="125"/>
              <w:spacing w:after="0"/>
              <w:rPr>
                <w:sz w:val="20"/>
                <w:szCs w:val="20"/>
                <w:color w:val="auto"/>
              </w:rPr>
            </w:pPr>
            <w:r>
              <w:rPr>
                <w:rFonts w:ascii="Arial" w:cs="Arial" w:eastAsia="Arial" w:hAnsi="Arial"/>
                <w:sz w:val="15"/>
                <w:szCs w:val="15"/>
                <w:color w:val="auto"/>
                <w:w w:val="88"/>
              </w:rPr>
              <w:t>Number of Shares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9"/>
        </w:trPr>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125"/>
              <w:spacing w:after="0"/>
              <w:rPr>
                <w:sz w:val="20"/>
                <w:szCs w:val="20"/>
                <w:color w:val="auto"/>
              </w:rPr>
            </w:pPr>
            <w:r>
              <w:rPr>
                <w:rFonts w:ascii="Arial" w:cs="Arial" w:eastAsia="Arial" w:hAnsi="Arial"/>
                <w:sz w:val="15"/>
                <w:szCs w:val="15"/>
                <w:color w:val="auto"/>
                <w:w w:val="94"/>
              </w:rPr>
              <w:t>Acquired 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5"/>
              <w:spacing w:after="0"/>
              <w:rPr>
                <w:sz w:val="20"/>
                <w:szCs w:val="20"/>
                <w:color w:val="auto"/>
              </w:rPr>
            </w:pPr>
            <w:r>
              <w:rPr>
                <w:rFonts w:ascii="Arial" w:cs="Arial" w:eastAsia="Arial" w:hAnsi="Arial"/>
                <w:sz w:val="15"/>
                <w:szCs w:val="15"/>
                <w:color w:val="auto"/>
              </w:rPr>
              <w:t>Value Realized on</w:t>
            </w:r>
          </w:p>
        </w:tc>
        <w:tc>
          <w:tcPr>
            <w:tcW w:w="160" w:type="dxa"/>
            <w:vAlign w:val="bottom"/>
          </w:tcPr>
          <w:p>
            <w:pPr>
              <w:spacing w:after="0"/>
              <w:rPr>
                <w:sz w:val="19"/>
                <w:szCs w:val="19"/>
                <w:color w:val="auto"/>
              </w:rPr>
            </w:pPr>
          </w:p>
        </w:tc>
        <w:tc>
          <w:tcPr>
            <w:tcW w:w="1440" w:type="dxa"/>
            <w:vAlign w:val="bottom"/>
            <w:gridSpan w:val="2"/>
          </w:tcPr>
          <w:p>
            <w:pPr>
              <w:jc w:val="right"/>
              <w:ind w:right="125"/>
              <w:spacing w:after="0"/>
              <w:rPr>
                <w:sz w:val="20"/>
                <w:szCs w:val="20"/>
                <w:color w:val="auto"/>
              </w:rPr>
            </w:pPr>
            <w:r>
              <w:rPr>
                <w:rFonts w:ascii="Arial" w:cs="Arial" w:eastAsia="Arial" w:hAnsi="Arial"/>
                <w:sz w:val="15"/>
                <w:szCs w:val="15"/>
                <w:color w:val="auto"/>
              </w:rPr>
              <w:t>Number of Shares</w:t>
            </w:r>
          </w:p>
        </w:tc>
        <w:tc>
          <w:tcPr>
            <w:tcW w:w="160" w:type="dxa"/>
            <w:vAlign w:val="bottom"/>
          </w:tcPr>
          <w:p>
            <w:pPr>
              <w:spacing w:after="0"/>
              <w:rPr>
                <w:sz w:val="19"/>
                <w:szCs w:val="19"/>
                <w:color w:val="auto"/>
              </w:rPr>
            </w:pPr>
          </w:p>
        </w:tc>
        <w:tc>
          <w:tcPr>
            <w:tcW w:w="5280" w:type="dxa"/>
            <w:vAlign w:val="bottom"/>
            <w:gridSpan w:val="2"/>
          </w:tcPr>
          <w:p>
            <w:pPr>
              <w:jc w:val="center"/>
              <w:ind w:right="4000"/>
              <w:spacing w:after="0"/>
              <w:rPr>
                <w:sz w:val="20"/>
                <w:szCs w:val="20"/>
                <w:color w:val="auto"/>
              </w:rPr>
            </w:pPr>
            <w:r>
              <w:rPr>
                <w:rFonts w:ascii="Arial" w:cs="Arial" w:eastAsia="Arial" w:hAnsi="Arial"/>
                <w:sz w:val="15"/>
                <w:szCs w:val="15"/>
                <w:color w:val="auto"/>
                <w:w w:val="88"/>
              </w:rPr>
              <w:t>Value Realized on</w:t>
            </w:r>
          </w:p>
        </w:tc>
      </w:tr>
      <w:tr>
        <w:trPr>
          <w:trHeight w:val="219"/>
        </w:trPr>
        <w:tc>
          <w:tcPr>
            <w:tcW w:w="1280" w:type="dxa"/>
            <w:vAlign w:val="bottom"/>
            <w:gridSpan w:val="2"/>
          </w:tcPr>
          <w:p>
            <w:pPr>
              <w:ind w:left="700"/>
              <w:spacing w:after="0"/>
              <w:rPr>
                <w:sz w:val="20"/>
                <w:szCs w:val="20"/>
                <w:color w:val="auto"/>
              </w:rPr>
            </w:pPr>
            <w:r>
              <w:rPr>
                <w:rFonts w:ascii="Arial" w:cs="Arial" w:eastAsia="Arial" w:hAnsi="Arial"/>
                <w:sz w:val="15"/>
                <w:szCs w:val="15"/>
                <w:color w:val="auto"/>
              </w:rPr>
              <w:t>Name</w:t>
            </w:r>
          </w:p>
        </w:tc>
        <w:tc>
          <w:tcPr>
            <w:tcW w:w="1320" w:type="dxa"/>
            <w:vAlign w:val="bottom"/>
          </w:tcPr>
          <w:p>
            <w:pPr>
              <w:jc w:val="center"/>
              <w:ind w:left="125"/>
              <w:spacing w:after="0"/>
              <w:rPr>
                <w:sz w:val="20"/>
                <w:szCs w:val="20"/>
                <w:color w:val="auto"/>
              </w:rPr>
            </w:pPr>
            <w:r>
              <w:rPr>
                <w:rFonts w:ascii="Arial" w:cs="Arial" w:eastAsia="Arial" w:hAnsi="Arial"/>
                <w:sz w:val="15"/>
                <w:szCs w:val="15"/>
                <w:color w:val="auto"/>
                <w:w w:val="90"/>
              </w:rPr>
              <w:t>Exercise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385"/>
              <w:spacing w:after="0"/>
              <w:rPr>
                <w:sz w:val="20"/>
                <w:szCs w:val="20"/>
                <w:color w:val="auto"/>
              </w:rPr>
            </w:pPr>
            <w:r>
              <w:rPr>
                <w:rFonts w:ascii="Arial" w:cs="Arial" w:eastAsia="Arial" w:hAnsi="Arial"/>
                <w:sz w:val="15"/>
                <w:szCs w:val="15"/>
                <w:color w:val="auto"/>
              </w:rPr>
              <w:t>Exercise</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Acquired on Vesting</w:t>
            </w:r>
          </w:p>
        </w:tc>
        <w:tc>
          <w:tcPr>
            <w:tcW w:w="160" w:type="dxa"/>
            <w:vAlign w:val="bottom"/>
          </w:tcPr>
          <w:p>
            <w:pPr>
              <w:spacing w:after="0"/>
              <w:rPr>
                <w:sz w:val="19"/>
                <w:szCs w:val="19"/>
                <w:color w:val="auto"/>
              </w:rPr>
            </w:pPr>
          </w:p>
        </w:tc>
        <w:tc>
          <w:tcPr>
            <w:tcW w:w="5280" w:type="dxa"/>
            <w:vAlign w:val="bottom"/>
            <w:gridSpan w:val="2"/>
          </w:tcPr>
          <w:p>
            <w:pPr>
              <w:jc w:val="center"/>
              <w:ind w:right="4020"/>
              <w:spacing w:after="0"/>
              <w:rPr>
                <w:sz w:val="20"/>
                <w:szCs w:val="20"/>
                <w:color w:val="auto"/>
              </w:rPr>
            </w:pPr>
            <w:r>
              <w:rPr>
                <w:rFonts w:ascii="Arial" w:cs="Arial" w:eastAsia="Arial" w:hAnsi="Arial"/>
                <w:sz w:val="15"/>
                <w:szCs w:val="15"/>
                <w:color w:val="auto"/>
                <w:w w:val="90"/>
              </w:rPr>
              <w:t>Vesting (5)</w:t>
            </w:r>
          </w:p>
        </w:tc>
      </w:tr>
      <w:tr>
        <w:trPr>
          <w:trHeight w:val="106"/>
        </w:trPr>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r>
        <w:trPr>
          <w:trHeight w:val="300"/>
        </w:trPr>
        <w:tc>
          <w:tcPr>
            <w:tcW w:w="1280" w:type="dxa"/>
            <w:vAlign w:val="bottom"/>
            <w:gridSpan w:val="2"/>
          </w:tcPr>
          <w:p>
            <w:pPr>
              <w:spacing w:after="0"/>
              <w:rPr>
                <w:sz w:val="20"/>
                <w:szCs w:val="20"/>
                <w:color w:val="auto"/>
              </w:rPr>
            </w:pPr>
            <w:r>
              <w:rPr>
                <w:rFonts w:ascii="Arial" w:cs="Arial" w:eastAsia="Arial" w:hAnsi="Arial"/>
                <w:sz w:val="15"/>
                <w:szCs w:val="15"/>
                <w:color w:val="auto"/>
              </w:rPr>
              <w:t>M.E. Batten</w:t>
            </w:r>
          </w:p>
        </w:tc>
        <w:tc>
          <w:tcPr>
            <w:tcW w:w="1320" w:type="dxa"/>
            <w:vAlign w:val="bottom"/>
          </w:tcPr>
          <w:p>
            <w:pPr>
              <w:jc w:val="right"/>
              <w:spacing w:after="0"/>
              <w:rPr>
                <w:sz w:val="20"/>
                <w:szCs w:val="20"/>
                <w:color w:val="auto"/>
              </w:rPr>
            </w:pPr>
            <w:r>
              <w:rPr>
                <w:rFonts w:ascii="Arial" w:cs="Arial" w:eastAsia="Arial" w:hAnsi="Arial"/>
                <w:sz w:val="15"/>
                <w:szCs w:val="15"/>
                <w:color w:val="auto"/>
              </w:rPr>
              <w:t>18,000</w:t>
            </w:r>
          </w:p>
        </w:tc>
        <w:tc>
          <w:tcPr>
            <w:tcW w:w="24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$210,399 (1)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28,800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$894,384 (5)</w:t>
            </w:r>
          </w:p>
        </w:tc>
        <w:tc>
          <w:tcPr>
            <w:tcW w:w="4000" w:type="dxa"/>
            <w:vAlign w:val="bottom"/>
          </w:tcPr>
          <w:p>
            <w:pPr>
              <w:spacing w:after="0"/>
              <w:rPr>
                <w:sz w:val="24"/>
                <w:szCs w:val="24"/>
                <w:color w:val="auto"/>
              </w:rPr>
            </w:pPr>
          </w:p>
        </w:tc>
      </w:tr>
      <w:tr>
        <w:trPr>
          <w:trHeight w:val="106"/>
        </w:trPr>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r>
        <w:trPr>
          <w:trHeight w:val="300"/>
        </w:trPr>
        <w:tc>
          <w:tcPr>
            <w:tcW w:w="1280" w:type="dxa"/>
            <w:vAlign w:val="bottom"/>
            <w:gridSpan w:val="2"/>
          </w:tcPr>
          <w:p>
            <w:pPr>
              <w:spacing w:after="0"/>
              <w:rPr>
                <w:sz w:val="20"/>
                <w:szCs w:val="20"/>
                <w:color w:val="auto"/>
              </w:rPr>
            </w:pPr>
            <w:r>
              <w:rPr>
                <w:rFonts w:ascii="Arial" w:cs="Arial" w:eastAsia="Arial" w:hAnsi="Arial"/>
                <w:sz w:val="15"/>
                <w:szCs w:val="15"/>
                <w:color w:val="auto"/>
              </w:rPr>
              <w:t>C.J. Eperjesy</w:t>
            </w:r>
          </w:p>
        </w:tc>
        <w:tc>
          <w:tcPr>
            <w:tcW w:w="1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44,000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$1,272,180(4)</w:t>
            </w:r>
          </w:p>
        </w:tc>
        <w:tc>
          <w:tcPr>
            <w:tcW w:w="4000" w:type="dxa"/>
            <w:vAlign w:val="bottom"/>
          </w:tcPr>
          <w:p>
            <w:pPr>
              <w:spacing w:after="0"/>
              <w:rPr>
                <w:sz w:val="24"/>
                <w:szCs w:val="24"/>
                <w:color w:val="auto"/>
              </w:rPr>
            </w:pPr>
          </w:p>
        </w:tc>
      </w:tr>
      <w:tr>
        <w:trPr>
          <w:trHeight w:val="106"/>
        </w:trPr>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r>
        <w:trPr>
          <w:trHeight w:val="300"/>
        </w:trPr>
        <w:tc>
          <w:tcPr>
            <w:tcW w:w="1280" w:type="dxa"/>
            <w:vAlign w:val="bottom"/>
            <w:gridSpan w:val="2"/>
          </w:tcPr>
          <w:p>
            <w:pPr>
              <w:spacing w:after="0"/>
              <w:rPr>
                <w:sz w:val="20"/>
                <w:szCs w:val="20"/>
                <w:color w:val="auto"/>
              </w:rPr>
            </w:pPr>
            <w:r>
              <w:rPr>
                <w:rFonts w:ascii="Arial" w:cs="Arial" w:eastAsia="Arial" w:hAnsi="Arial"/>
                <w:sz w:val="15"/>
                <w:szCs w:val="15"/>
                <w:color w:val="auto"/>
              </w:rPr>
              <w:t>J.E. Feiertag</w:t>
            </w:r>
          </w:p>
        </w:tc>
        <w:tc>
          <w:tcPr>
            <w:tcW w:w="1320" w:type="dxa"/>
            <w:vAlign w:val="bottom"/>
          </w:tcPr>
          <w:p>
            <w:pPr>
              <w:jc w:val="right"/>
              <w:spacing w:after="0"/>
              <w:rPr>
                <w:sz w:val="20"/>
                <w:szCs w:val="20"/>
                <w:color w:val="auto"/>
              </w:rPr>
            </w:pPr>
            <w:r>
              <w:rPr>
                <w:rFonts w:ascii="Arial" w:cs="Arial" w:eastAsia="Arial" w:hAnsi="Arial"/>
                <w:sz w:val="15"/>
                <w:szCs w:val="15"/>
                <w:color w:val="auto"/>
              </w:rPr>
              <w:t>7,000</w:t>
            </w:r>
          </w:p>
        </w:tc>
        <w:tc>
          <w:tcPr>
            <w:tcW w:w="24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$162,187 (2)</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12,000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$382.660 (5)</w:t>
            </w:r>
          </w:p>
        </w:tc>
        <w:tc>
          <w:tcPr>
            <w:tcW w:w="4000" w:type="dxa"/>
            <w:vAlign w:val="bottom"/>
          </w:tcPr>
          <w:p>
            <w:pPr>
              <w:spacing w:after="0"/>
              <w:rPr>
                <w:sz w:val="24"/>
                <w:szCs w:val="24"/>
                <w:color w:val="auto"/>
              </w:rPr>
            </w:pPr>
          </w:p>
        </w:tc>
      </w:tr>
      <w:tr>
        <w:trPr>
          <w:trHeight w:val="106"/>
        </w:trPr>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r>
        <w:trPr>
          <w:trHeight w:val="300"/>
        </w:trPr>
        <w:tc>
          <w:tcPr>
            <w:tcW w:w="1280" w:type="dxa"/>
            <w:vAlign w:val="bottom"/>
            <w:gridSpan w:val="2"/>
          </w:tcPr>
          <w:p>
            <w:pPr>
              <w:spacing w:after="0"/>
              <w:rPr>
                <w:sz w:val="20"/>
                <w:szCs w:val="20"/>
                <w:color w:val="auto"/>
              </w:rPr>
            </w:pPr>
            <w:r>
              <w:rPr>
                <w:rFonts w:ascii="Arial" w:cs="Arial" w:eastAsia="Arial" w:hAnsi="Arial"/>
                <w:sz w:val="15"/>
                <w:szCs w:val="15"/>
                <w:color w:val="auto"/>
              </w:rPr>
              <w:t>J.H. Batten</w:t>
            </w:r>
          </w:p>
        </w:tc>
        <w:tc>
          <w:tcPr>
            <w:tcW w:w="1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8,400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$260,862 (5)</w:t>
            </w:r>
          </w:p>
        </w:tc>
        <w:tc>
          <w:tcPr>
            <w:tcW w:w="4000" w:type="dxa"/>
            <w:vAlign w:val="bottom"/>
          </w:tcPr>
          <w:p>
            <w:pPr>
              <w:spacing w:after="0"/>
              <w:rPr>
                <w:sz w:val="24"/>
                <w:szCs w:val="24"/>
                <w:color w:val="auto"/>
              </w:rPr>
            </w:pPr>
          </w:p>
        </w:tc>
      </w:tr>
      <w:tr>
        <w:trPr>
          <w:trHeight w:val="106"/>
        </w:trPr>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r>
        <w:trPr>
          <w:trHeight w:val="300"/>
        </w:trPr>
        <w:tc>
          <w:tcPr>
            <w:tcW w:w="1280" w:type="dxa"/>
            <w:vAlign w:val="bottom"/>
            <w:gridSpan w:val="2"/>
          </w:tcPr>
          <w:p>
            <w:pPr>
              <w:spacing w:after="0"/>
              <w:rPr>
                <w:sz w:val="20"/>
                <w:szCs w:val="20"/>
                <w:color w:val="auto"/>
              </w:rPr>
            </w:pPr>
            <w:r>
              <w:rPr>
                <w:rFonts w:ascii="Arial" w:cs="Arial" w:eastAsia="Arial" w:hAnsi="Arial"/>
                <w:sz w:val="15"/>
                <w:szCs w:val="15"/>
                <w:color w:val="auto"/>
              </w:rPr>
              <w:t>H.C. Fabry</w:t>
            </w:r>
          </w:p>
        </w:tc>
        <w:tc>
          <w:tcPr>
            <w:tcW w:w="13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8,400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(3)</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$260,862 (5)</w:t>
            </w:r>
          </w:p>
        </w:tc>
        <w:tc>
          <w:tcPr>
            <w:tcW w:w="4000" w:type="dxa"/>
            <w:vAlign w:val="bottom"/>
          </w:tcPr>
          <w:p>
            <w:pPr>
              <w:spacing w:after="0"/>
              <w:rPr>
                <w:sz w:val="24"/>
                <w:szCs w:val="24"/>
                <w:color w:val="auto"/>
              </w:rPr>
            </w:pPr>
          </w:p>
        </w:tc>
      </w:tr>
      <w:tr>
        <w:trPr>
          <w:trHeight w:val="106"/>
        </w:trPr>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-2313305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-2313305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2" w:lineRule="exact"/>
        <w:rPr>
          <w:sz w:val="20"/>
          <w:szCs w:val="20"/>
          <w:color w:val="auto"/>
        </w:rPr>
      </w:pPr>
    </w:p>
    <w:p>
      <w:pPr>
        <w:ind w:left="448" w:right="3980" w:hanging="448"/>
        <w:spacing w:after="0" w:line="256"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exercise in fiscal 2008 of options originally granted in 1998 and is calculated using the per share closing price of the Company’s Common Stock on the date of exercise, net of exercise price.</w:t>
      </w:r>
    </w:p>
    <w:p>
      <w:pPr>
        <w:spacing w:after="0" w:line="166" w:lineRule="exact"/>
        <w:rPr>
          <w:rFonts w:ascii="Arial" w:cs="Arial" w:eastAsia="Arial" w:hAnsi="Arial"/>
          <w:sz w:val="18"/>
          <w:szCs w:val="18"/>
          <w:color w:val="auto"/>
        </w:rPr>
      </w:pPr>
    </w:p>
    <w:p>
      <w:pPr>
        <w:ind w:left="448" w:right="3980" w:hanging="448"/>
        <w:spacing w:after="0" w:line="301" w:lineRule="auto"/>
        <w:tabs>
          <w:tab w:leader="none" w:pos="4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the exercise in fiscal 2008 of options originally granted in 2001 and is calculated using the per share closing price of the Company’s Common Stock on the date of exercise.</w:t>
      </w:r>
    </w:p>
    <w:p>
      <w:pPr>
        <w:spacing w:after="0" w:line="131" w:lineRule="exact"/>
        <w:rPr>
          <w:rFonts w:ascii="Arial" w:cs="Arial" w:eastAsia="Arial" w:hAnsi="Arial"/>
          <w:sz w:val="17"/>
          <w:szCs w:val="17"/>
          <w:color w:val="auto"/>
        </w:rPr>
      </w:pPr>
    </w:p>
    <w:p>
      <w:pPr>
        <w:ind w:left="448" w:hanging="448"/>
        <w:spacing w:after="0"/>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vesting of performance shares originally granted in 2004.</w:t>
      </w:r>
    </w:p>
    <w:p>
      <w:pPr>
        <w:spacing w:after="0" w:line="207" w:lineRule="exact"/>
        <w:rPr>
          <w:rFonts w:ascii="Arial" w:cs="Arial" w:eastAsia="Arial" w:hAnsi="Arial"/>
          <w:sz w:val="18"/>
          <w:szCs w:val="18"/>
          <w:color w:val="auto"/>
        </w:rPr>
      </w:pPr>
    </w:p>
    <w:p>
      <w:pPr>
        <w:ind w:left="448" w:right="4080" w:hanging="448"/>
        <w:spacing w:after="0" w:line="266" w:lineRule="auto"/>
        <w:tabs>
          <w:tab w:leader="none" w:pos="4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the vesting of performance shares originally granted in 2004 (12,000) plus restricted stock awards granted in 2003 (32,000). The value of the performance shares was calculated using the closing price of the company’s Common Stock on the date of vesting, July 27, 2007. The value of Mr. Eperjesy’s restricted shares was calculated using the closing price of the Company’s Common Stock on the date of vesting, August 20, 2007.</w:t>
      </w:r>
    </w:p>
    <w:p>
      <w:pPr>
        <w:spacing w:after="0" w:line="160" w:lineRule="exact"/>
        <w:rPr>
          <w:rFonts w:ascii="Arial" w:cs="Arial" w:eastAsia="Arial" w:hAnsi="Arial"/>
          <w:sz w:val="17"/>
          <w:szCs w:val="17"/>
          <w:color w:val="auto"/>
        </w:rPr>
      </w:pPr>
    </w:p>
    <w:p>
      <w:pPr>
        <w:ind w:left="448" w:right="4140" w:hanging="448"/>
        <w:spacing w:after="0" w:line="271"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the performance shares was calculated using the closing price of the Company’s Common Stock on the date of vesting, July 27, 2007.</w:t>
      </w:r>
    </w:p>
    <w:p>
      <w:pPr>
        <w:spacing w:after="0" w:line="369" w:lineRule="exact"/>
        <w:rPr>
          <w:sz w:val="20"/>
          <w:szCs w:val="20"/>
          <w:color w:val="auto"/>
        </w:rPr>
      </w:pPr>
    </w:p>
    <w:p>
      <w:pPr>
        <w:ind w:left="28"/>
        <w:spacing w:after="0"/>
        <w:rPr>
          <w:sz w:val="20"/>
          <w:szCs w:val="20"/>
          <w:color w:val="auto"/>
        </w:rPr>
      </w:pPr>
      <w:r>
        <w:rPr>
          <w:rFonts w:ascii="Arial" w:cs="Arial" w:eastAsia="Arial" w:hAnsi="Arial"/>
          <w:sz w:val="18"/>
          <w:szCs w:val="18"/>
          <w:b w:val="1"/>
          <w:bCs w:val="1"/>
          <w:color w:val="auto"/>
        </w:rPr>
        <w:t>Pension Benefits</w:t>
      </w:r>
    </w:p>
    <w:p>
      <w:pPr>
        <w:spacing w:after="0" w:line="223" w:lineRule="exact"/>
        <w:rPr>
          <w:sz w:val="20"/>
          <w:szCs w:val="20"/>
          <w:color w:val="auto"/>
        </w:rPr>
      </w:pPr>
    </w:p>
    <w:p>
      <w:pPr>
        <w:ind w:left="8" w:right="120"/>
        <w:spacing w:after="0" w:line="271" w:lineRule="auto"/>
        <w:rPr>
          <w:sz w:val="20"/>
          <w:szCs w:val="20"/>
          <w:color w:val="auto"/>
        </w:rPr>
      </w:pPr>
      <w:r>
        <w:rPr>
          <w:rFonts w:ascii="Arial" w:cs="Arial" w:eastAsia="Arial" w:hAnsi="Arial"/>
          <w:sz w:val="18"/>
          <w:szCs w:val="18"/>
          <w:color w:val="auto"/>
        </w:rPr>
        <w:t>The following table summarizes the actuarial present value of each named executive officer’s accumulated benefits as of June 30, 2008 under our pension plan and supplemental executive retirement plan.</w:t>
      </w:r>
    </w:p>
    <w:p>
      <w:pPr>
        <w:sectPr>
          <w:pgSz w:w="11900" w:h="16861" w:orient="portrait"/>
          <w:cols w:equalWidth="0" w:num="1">
            <w:col w:w="11468"/>
          </w:cols>
          <w:pgMar w:left="232" w:top="121"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54102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1020" cy="7620"/>
                    </a:xfrm>
                    <a:prstGeom prst="rect">
                      <a:avLst/>
                    </a:prstGeom>
                    <a:noFill/>
                  </pic:spPr>
                </pic:pic>
              </a:graphicData>
            </a:graphic>
          </wp:anchor>
        </w:drawing>
      </w:r>
    </w:p>
    <w:p>
      <w:pPr>
        <w:spacing w:after="0" w:line="23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M.E. Batten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54102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10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353060</wp:posOffset>
            </wp:positionV>
            <wp:extent cx="54610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610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
        <w:spacing w:after="0"/>
        <w:rPr>
          <w:sz w:val="20"/>
          <w:szCs w:val="20"/>
          <w:color w:val="auto"/>
        </w:rPr>
      </w:pPr>
      <w:r>
        <w:rPr>
          <w:rFonts w:ascii="Arial" w:cs="Arial" w:eastAsia="Arial" w:hAnsi="Arial"/>
          <w:sz w:val="13"/>
          <w:szCs w:val="13"/>
          <w:color w:val="auto"/>
        </w:rPr>
        <w:t>C.J. Eperjesy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5410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10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360045</wp:posOffset>
            </wp:positionV>
            <wp:extent cx="54610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610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14"/>
          <w:szCs w:val="14"/>
          <w:color w:val="auto"/>
        </w:rPr>
        <w:t>J.E. Feiertag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54102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10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353060</wp:posOffset>
            </wp:positionV>
            <wp:extent cx="54610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610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
        <w:spacing w:after="0"/>
        <w:rPr>
          <w:sz w:val="20"/>
          <w:szCs w:val="20"/>
          <w:color w:val="auto"/>
        </w:rPr>
      </w:pPr>
      <w:r>
        <w:rPr>
          <w:rFonts w:ascii="Arial" w:cs="Arial" w:eastAsia="Arial" w:hAnsi="Arial"/>
          <w:sz w:val="15"/>
          <w:szCs w:val="15"/>
          <w:color w:val="auto"/>
        </w:rPr>
        <w:t>J.H. Batten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54102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102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345440</wp:posOffset>
            </wp:positionV>
            <wp:extent cx="54610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610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Arial" w:cs="Arial" w:eastAsia="Arial" w:hAnsi="Arial"/>
          <w:sz w:val="15"/>
          <w:szCs w:val="15"/>
          <w:color w:val="auto"/>
        </w:rPr>
        <w:t>H.C. Fabry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5410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10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4"/>
              </w:rPr>
              <w:t>Number of</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w w:val="97"/>
              </w:rPr>
              <w:t>Present Value of</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86"/>
              </w:rPr>
              <w:t>Payments</w:t>
            </w:r>
          </w:p>
        </w:tc>
      </w:tr>
      <w:tr>
        <w:trPr>
          <w:trHeight w:val="219"/>
        </w:trPr>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89"/>
              </w:rPr>
              <w:t>Years of</w:t>
            </w:r>
          </w:p>
        </w:tc>
        <w:tc>
          <w:tcPr>
            <w:tcW w:w="160" w:type="dxa"/>
            <w:vAlign w:val="bottom"/>
          </w:tcPr>
          <w:p>
            <w:pPr>
              <w:spacing w:after="0"/>
              <w:rPr>
                <w:sz w:val="19"/>
                <w:szCs w:val="19"/>
                <w:color w:val="auto"/>
              </w:rPr>
            </w:pPr>
          </w:p>
        </w:tc>
        <w:tc>
          <w:tcPr>
            <w:tcW w:w="1140" w:type="dxa"/>
            <w:vAlign w:val="bottom"/>
          </w:tcPr>
          <w:p>
            <w:pPr>
              <w:jc w:val="right"/>
              <w:ind w:right="125"/>
              <w:spacing w:after="0"/>
              <w:rPr>
                <w:sz w:val="20"/>
                <w:szCs w:val="20"/>
                <w:color w:val="auto"/>
              </w:rPr>
            </w:pPr>
            <w:r>
              <w:rPr>
                <w:rFonts w:ascii="Arial" w:cs="Arial" w:eastAsia="Arial" w:hAnsi="Arial"/>
                <w:sz w:val="15"/>
                <w:szCs w:val="15"/>
                <w:color w:val="auto"/>
              </w:rPr>
              <w:t>Accumulated</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3"/>
              </w:rPr>
              <w:t>During Last</w:t>
            </w:r>
          </w:p>
        </w:tc>
      </w:tr>
      <w:tr>
        <w:trPr>
          <w:trHeight w:val="219"/>
        </w:trPr>
        <w:tc>
          <w:tcPr>
            <w:tcW w:w="2560" w:type="dxa"/>
            <w:vAlign w:val="bottom"/>
          </w:tcPr>
          <w:p>
            <w:pPr>
              <w:ind w:left="820"/>
              <w:spacing w:after="0"/>
              <w:rPr>
                <w:sz w:val="20"/>
                <w:szCs w:val="20"/>
                <w:color w:val="auto"/>
              </w:rPr>
            </w:pPr>
            <w:r>
              <w:rPr>
                <w:rFonts w:ascii="Arial" w:cs="Arial" w:eastAsia="Arial" w:hAnsi="Arial"/>
                <w:sz w:val="15"/>
                <w:szCs w:val="15"/>
                <w:color w:val="auto"/>
              </w:rPr>
              <w:t>Plan Name (1)</w:t>
            </w: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0"/>
              </w:rPr>
              <w:t>Credited Service</w:t>
            </w:r>
          </w:p>
        </w:tc>
        <w:tc>
          <w:tcPr>
            <w:tcW w:w="160" w:type="dxa"/>
            <w:vAlign w:val="bottom"/>
          </w:tcPr>
          <w:p>
            <w:pPr>
              <w:spacing w:after="0"/>
              <w:rPr>
                <w:sz w:val="19"/>
                <w:szCs w:val="19"/>
                <w:color w:val="auto"/>
              </w:rPr>
            </w:pPr>
          </w:p>
        </w:tc>
        <w:tc>
          <w:tcPr>
            <w:tcW w:w="1140" w:type="dxa"/>
            <w:vAlign w:val="bottom"/>
          </w:tcPr>
          <w:p>
            <w:pPr>
              <w:jc w:val="right"/>
              <w:ind w:right="185"/>
              <w:spacing w:after="0"/>
              <w:rPr>
                <w:sz w:val="20"/>
                <w:szCs w:val="20"/>
                <w:color w:val="auto"/>
              </w:rPr>
            </w:pPr>
            <w:r>
              <w:rPr>
                <w:rFonts w:ascii="Arial" w:cs="Arial" w:eastAsia="Arial" w:hAnsi="Arial"/>
                <w:sz w:val="15"/>
                <w:szCs w:val="15"/>
                <w:color w:val="auto"/>
              </w:rPr>
              <w:t>Benefits(1)</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87"/>
              </w:rPr>
              <w:t>Fiscal Year</w:t>
            </w:r>
          </w:p>
        </w:tc>
      </w:tr>
      <w:tr>
        <w:trPr>
          <w:trHeight w:val="106"/>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0"/>
        </w:trPr>
        <w:tc>
          <w:tcPr>
            <w:tcW w:w="2560" w:type="dxa"/>
            <w:vAlign w:val="bottom"/>
          </w:tcPr>
          <w:p>
            <w:pPr>
              <w:spacing w:after="0"/>
              <w:rPr>
                <w:sz w:val="20"/>
                <w:szCs w:val="20"/>
                <w:color w:val="auto"/>
              </w:rPr>
            </w:pPr>
            <w:r>
              <w:rPr>
                <w:rFonts w:ascii="Arial" w:cs="Arial" w:eastAsia="Arial" w:hAnsi="Arial"/>
                <w:sz w:val="15"/>
                <w:szCs w:val="15"/>
                <w:color w:val="auto"/>
                <w:w w:val="95"/>
              </w:rPr>
              <w:t>Retirement Plan for Salaried Employees</w:t>
            </w:r>
          </w:p>
        </w:tc>
        <w:tc>
          <w:tcPr>
            <w:tcW w:w="1280" w:type="dxa"/>
            <w:vAlign w:val="bottom"/>
            <w:gridSpan w:val="2"/>
          </w:tcPr>
          <w:p>
            <w:pPr>
              <w:jc w:val="center"/>
              <w:ind w:left="25"/>
              <w:spacing w:after="0"/>
              <w:rPr>
                <w:sz w:val="20"/>
                <w:szCs w:val="20"/>
                <w:color w:val="auto"/>
              </w:rPr>
            </w:pPr>
            <w:r>
              <w:rPr>
                <w:rFonts w:ascii="Arial" w:cs="Arial" w:eastAsia="Arial" w:hAnsi="Arial"/>
                <w:sz w:val="15"/>
                <w:szCs w:val="15"/>
                <w:color w:val="auto"/>
                <w:w w:val="91"/>
              </w:rPr>
              <w:t>38.583</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$1,055,872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6"/>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0"/>
        </w:trPr>
        <w:tc>
          <w:tcPr>
            <w:tcW w:w="2560" w:type="dxa"/>
            <w:vAlign w:val="bottom"/>
          </w:tcPr>
          <w:p>
            <w:pPr>
              <w:spacing w:after="0"/>
              <w:rPr>
                <w:sz w:val="20"/>
                <w:szCs w:val="20"/>
                <w:color w:val="auto"/>
              </w:rPr>
            </w:pPr>
            <w:r>
              <w:rPr>
                <w:rFonts w:ascii="Arial" w:cs="Arial" w:eastAsia="Arial" w:hAnsi="Arial"/>
                <w:sz w:val="15"/>
                <w:szCs w:val="15"/>
                <w:color w:val="auto"/>
                <w:w w:val="93"/>
              </w:rPr>
              <w:t>Supplemental Executive Retirement Plan</w:t>
            </w:r>
          </w:p>
        </w:tc>
        <w:tc>
          <w:tcPr>
            <w:tcW w:w="1280" w:type="dxa"/>
            <w:vAlign w:val="bottom"/>
            <w:gridSpan w:val="2"/>
          </w:tcPr>
          <w:p>
            <w:pPr>
              <w:jc w:val="center"/>
              <w:ind w:left="25"/>
              <w:spacing w:after="0"/>
              <w:rPr>
                <w:sz w:val="20"/>
                <w:szCs w:val="20"/>
                <w:color w:val="auto"/>
              </w:rPr>
            </w:pPr>
            <w:r>
              <w:rPr>
                <w:rFonts w:ascii="Arial" w:cs="Arial" w:eastAsia="Arial" w:hAnsi="Arial"/>
                <w:sz w:val="15"/>
                <w:szCs w:val="15"/>
                <w:color w:val="auto"/>
                <w:w w:val="91"/>
              </w:rPr>
              <w:t>38.583</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$2,512,068</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3"/>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523"/>
        </w:trPr>
        <w:tc>
          <w:tcPr>
            <w:tcW w:w="2560" w:type="dxa"/>
            <w:vAlign w:val="bottom"/>
          </w:tcPr>
          <w:p>
            <w:pPr>
              <w:spacing w:after="0"/>
              <w:rPr>
                <w:sz w:val="20"/>
                <w:szCs w:val="20"/>
                <w:color w:val="auto"/>
              </w:rPr>
            </w:pPr>
            <w:r>
              <w:rPr>
                <w:rFonts w:ascii="Arial" w:cs="Arial" w:eastAsia="Arial" w:hAnsi="Arial"/>
                <w:sz w:val="15"/>
                <w:szCs w:val="15"/>
                <w:color w:val="auto"/>
                <w:w w:val="95"/>
              </w:rPr>
              <w:t>Retirement Plan for Salaried Employees</w:t>
            </w:r>
          </w:p>
        </w:tc>
        <w:tc>
          <w:tcPr>
            <w:tcW w:w="1280" w:type="dxa"/>
            <w:vAlign w:val="bottom"/>
            <w:gridSpan w:val="2"/>
          </w:tcPr>
          <w:p>
            <w:pPr>
              <w:jc w:val="center"/>
              <w:ind w:left="45"/>
              <w:spacing w:after="0"/>
              <w:rPr>
                <w:sz w:val="20"/>
                <w:szCs w:val="20"/>
                <w:color w:val="auto"/>
              </w:rPr>
            </w:pPr>
            <w:r>
              <w:rPr>
                <w:rFonts w:ascii="Arial" w:cs="Arial" w:eastAsia="Arial" w:hAnsi="Arial"/>
                <w:sz w:val="15"/>
                <w:szCs w:val="15"/>
                <w:color w:val="auto"/>
                <w:w w:val="95"/>
              </w:rPr>
              <w:t>6</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$56,366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6"/>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0"/>
        </w:trPr>
        <w:tc>
          <w:tcPr>
            <w:tcW w:w="2560" w:type="dxa"/>
            <w:vAlign w:val="bottom"/>
          </w:tcPr>
          <w:p>
            <w:pPr>
              <w:spacing w:after="0"/>
              <w:rPr>
                <w:sz w:val="20"/>
                <w:szCs w:val="20"/>
                <w:color w:val="auto"/>
              </w:rPr>
            </w:pPr>
            <w:r>
              <w:rPr>
                <w:rFonts w:ascii="Arial" w:cs="Arial" w:eastAsia="Arial" w:hAnsi="Arial"/>
                <w:sz w:val="15"/>
                <w:szCs w:val="15"/>
                <w:color w:val="auto"/>
                <w:w w:val="93"/>
              </w:rPr>
              <w:t>Supplemental Executive Retirement Plan</w:t>
            </w:r>
          </w:p>
        </w:tc>
        <w:tc>
          <w:tcPr>
            <w:tcW w:w="1280" w:type="dxa"/>
            <w:vAlign w:val="bottom"/>
            <w:gridSpan w:val="2"/>
          </w:tcPr>
          <w:p>
            <w:pPr>
              <w:jc w:val="center"/>
              <w:ind w:left="45"/>
              <w:spacing w:after="0"/>
              <w:rPr>
                <w:sz w:val="20"/>
                <w:szCs w:val="20"/>
                <w:color w:val="auto"/>
              </w:rPr>
            </w:pPr>
            <w:r>
              <w:rPr>
                <w:rFonts w:ascii="Arial" w:cs="Arial" w:eastAsia="Arial" w:hAnsi="Arial"/>
                <w:sz w:val="15"/>
                <w:szCs w:val="15"/>
                <w:color w:val="auto"/>
                <w:w w:val="95"/>
              </w:rPr>
              <w:t>6</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$28,842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3"/>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523"/>
        </w:trPr>
        <w:tc>
          <w:tcPr>
            <w:tcW w:w="2560" w:type="dxa"/>
            <w:vAlign w:val="bottom"/>
          </w:tcPr>
          <w:p>
            <w:pPr>
              <w:spacing w:after="0"/>
              <w:rPr>
                <w:sz w:val="20"/>
                <w:szCs w:val="20"/>
                <w:color w:val="auto"/>
              </w:rPr>
            </w:pPr>
            <w:r>
              <w:rPr>
                <w:rFonts w:ascii="Arial" w:cs="Arial" w:eastAsia="Arial" w:hAnsi="Arial"/>
                <w:sz w:val="15"/>
                <w:szCs w:val="15"/>
                <w:color w:val="auto"/>
                <w:w w:val="95"/>
              </w:rPr>
              <w:t>Retirement Plan for Salaried Employees</w:t>
            </w:r>
          </w:p>
        </w:tc>
        <w:tc>
          <w:tcPr>
            <w:tcW w:w="1280" w:type="dxa"/>
            <w:vAlign w:val="bottom"/>
            <w:gridSpan w:val="2"/>
          </w:tcPr>
          <w:p>
            <w:pPr>
              <w:jc w:val="center"/>
              <w:ind w:left="45"/>
              <w:spacing w:after="0"/>
              <w:rPr>
                <w:sz w:val="20"/>
                <w:szCs w:val="20"/>
                <w:color w:val="auto"/>
              </w:rPr>
            </w:pPr>
            <w:r>
              <w:rPr>
                <w:rFonts w:ascii="Arial" w:cs="Arial" w:eastAsia="Arial" w:hAnsi="Arial"/>
                <w:sz w:val="15"/>
                <w:szCs w:val="15"/>
                <w:color w:val="auto"/>
                <w:w w:val="95"/>
              </w:rPr>
              <w:t>8</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$80,348</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6"/>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0"/>
        </w:trPr>
        <w:tc>
          <w:tcPr>
            <w:tcW w:w="2560" w:type="dxa"/>
            <w:vAlign w:val="bottom"/>
          </w:tcPr>
          <w:p>
            <w:pPr>
              <w:spacing w:after="0"/>
              <w:rPr>
                <w:sz w:val="20"/>
                <w:szCs w:val="20"/>
                <w:color w:val="auto"/>
              </w:rPr>
            </w:pPr>
            <w:r>
              <w:rPr>
                <w:rFonts w:ascii="Arial" w:cs="Arial" w:eastAsia="Arial" w:hAnsi="Arial"/>
                <w:sz w:val="15"/>
                <w:szCs w:val="15"/>
                <w:color w:val="auto"/>
                <w:w w:val="93"/>
              </w:rPr>
              <w:t>Supplemental Executive Retirement Plan</w:t>
            </w:r>
          </w:p>
        </w:tc>
        <w:tc>
          <w:tcPr>
            <w:tcW w:w="1280" w:type="dxa"/>
            <w:vAlign w:val="bottom"/>
            <w:gridSpan w:val="2"/>
          </w:tcPr>
          <w:p>
            <w:pPr>
              <w:jc w:val="center"/>
              <w:ind w:left="45"/>
              <w:spacing w:after="0"/>
              <w:rPr>
                <w:sz w:val="20"/>
                <w:szCs w:val="20"/>
                <w:color w:val="auto"/>
              </w:rPr>
            </w:pPr>
            <w:r>
              <w:rPr>
                <w:rFonts w:ascii="Arial" w:cs="Arial" w:eastAsia="Arial" w:hAnsi="Arial"/>
                <w:sz w:val="15"/>
                <w:szCs w:val="15"/>
                <w:color w:val="auto"/>
                <w:w w:val="95"/>
              </w:rPr>
              <w:t>8</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$42,024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3"/>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523"/>
        </w:trPr>
        <w:tc>
          <w:tcPr>
            <w:tcW w:w="2560" w:type="dxa"/>
            <w:vAlign w:val="bottom"/>
          </w:tcPr>
          <w:p>
            <w:pPr>
              <w:spacing w:after="0"/>
              <w:rPr>
                <w:sz w:val="20"/>
                <w:szCs w:val="20"/>
                <w:color w:val="auto"/>
              </w:rPr>
            </w:pPr>
            <w:r>
              <w:rPr>
                <w:rFonts w:ascii="Arial" w:cs="Arial" w:eastAsia="Arial" w:hAnsi="Arial"/>
                <w:sz w:val="15"/>
                <w:szCs w:val="15"/>
                <w:color w:val="auto"/>
                <w:w w:val="95"/>
              </w:rPr>
              <w:t>Retirement Plan for Salaried Employees</w:t>
            </w:r>
          </w:p>
        </w:tc>
        <w:tc>
          <w:tcPr>
            <w:tcW w:w="1280" w:type="dxa"/>
            <w:vAlign w:val="bottom"/>
            <w:gridSpan w:val="2"/>
          </w:tcPr>
          <w:p>
            <w:pPr>
              <w:jc w:val="center"/>
              <w:ind w:left="25"/>
              <w:spacing w:after="0"/>
              <w:rPr>
                <w:sz w:val="20"/>
                <w:szCs w:val="20"/>
                <w:color w:val="auto"/>
              </w:rPr>
            </w:pPr>
            <w:r>
              <w:rPr>
                <w:rFonts w:ascii="Arial" w:cs="Arial" w:eastAsia="Arial" w:hAnsi="Arial"/>
                <w:sz w:val="15"/>
                <w:szCs w:val="15"/>
                <w:color w:val="auto"/>
                <w:w w:val="83"/>
              </w:rPr>
              <w:t>12</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$83,205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6"/>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0"/>
        </w:trPr>
        <w:tc>
          <w:tcPr>
            <w:tcW w:w="2560" w:type="dxa"/>
            <w:vAlign w:val="bottom"/>
          </w:tcPr>
          <w:p>
            <w:pPr>
              <w:spacing w:after="0"/>
              <w:rPr>
                <w:sz w:val="20"/>
                <w:szCs w:val="20"/>
                <w:color w:val="auto"/>
              </w:rPr>
            </w:pPr>
            <w:r>
              <w:rPr>
                <w:rFonts w:ascii="Arial" w:cs="Arial" w:eastAsia="Arial" w:hAnsi="Arial"/>
                <w:sz w:val="15"/>
                <w:szCs w:val="15"/>
                <w:color w:val="auto"/>
                <w:w w:val="93"/>
              </w:rPr>
              <w:t>Supplemental Executive Retirement Plan</w:t>
            </w:r>
          </w:p>
        </w:tc>
        <w:tc>
          <w:tcPr>
            <w:tcW w:w="1280" w:type="dxa"/>
            <w:vAlign w:val="bottom"/>
            <w:gridSpan w:val="2"/>
          </w:tcPr>
          <w:p>
            <w:pPr>
              <w:jc w:val="center"/>
              <w:ind w:left="25"/>
              <w:spacing w:after="0"/>
              <w:rPr>
                <w:sz w:val="20"/>
                <w:szCs w:val="20"/>
                <w:color w:val="auto"/>
              </w:rPr>
            </w:pPr>
            <w:r>
              <w:rPr>
                <w:rFonts w:ascii="Arial" w:cs="Arial" w:eastAsia="Arial" w:hAnsi="Arial"/>
                <w:sz w:val="15"/>
                <w:szCs w:val="15"/>
                <w:color w:val="auto"/>
                <w:w w:val="83"/>
              </w:rPr>
              <w:t>12</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$18,166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3"/>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523"/>
        </w:trPr>
        <w:tc>
          <w:tcPr>
            <w:tcW w:w="2560" w:type="dxa"/>
            <w:vAlign w:val="bottom"/>
          </w:tcPr>
          <w:p>
            <w:pPr>
              <w:spacing w:after="0"/>
              <w:rPr>
                <w:sz w:val="20"/>
                <w:szCs w:val="20"/>
                <w:color w:val="auto"/>
              </w:rPr>
            </w:pPr>
            <w:r>
              <w:rPr>
                <w:rFonts w:ascii="Arial" w:cs="Arial" w:eastAsia="Arial" w:hAnsi="Arial"/>
                <w:sz w:val="15"/>
                <w:szCs w:val="15"/>
                <w:color w:val="auto"/>
                <w:w w:val="93"/>
              </w:rPr>
              <w:t>Wintherthur-Europe Assurances – Group</w:t>
            </w:r>
          </w:p>
        </w:tc>
        <w:tc>
          <w:tcPr>
            <w:tcW w:w="1280" w:type="dxa"/>
            <w:vAlign w:val="bottom"/>
            <w:gridSpan w:val="2"/>
          </w:tcPr>
          <w:p>
            <w:pPr>
              <w:jc w:val="center"/>
              <w:ind w:left="25"/>
              <w:spacing w:after="0"/>
              <w:rPr>
                <w:sz w:val="20"/>
                <w:szCs w:val="20"/>
                <w:color w:val="auto"/>
              </w:rPr>
            </w:pPr>
            <w:r>
              <w:rPr>
                <w:rFonts w:ascii="Arial" w:cs="Arial" w:eastAsia="Arial" w:hAnsi="Arial"/>
                <w:sz w:val="15"/>
                <w:szCs w:val="15"/>
                <w:color w:val="auto"/>
                <w:w w:val="83"/>
              </w:rPr>
              <w:t>11</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$245,721 (2)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9"/>
        </w:trPr>
        <w:tc>
          <w:tcPr>
            <w:tcW w:w="2560" w:type="dxa"/>
            <w:vAlign w:val="bottom"/>
          </w:tcPr>
          <w:p>
            <w:pPr>
              <w:spacing w:after="0"/>
              <w:rPr>
                <w:sz w:val="20"/>
                <w:szCs w:val="20"/>
                <w:color w:val="auto"/>
              </w:rPr>
            </w:pPr>
            <w:r>
              <w:rPr>
                <w:rFonts w:ascii="Arial" w:cs="Arial" w:eastAsia="Arial" w:hAnsi="Arial"/>
                <w:sz w:val="15"/>
                <w:szCs w:val="15"/>
                <w:color w:val="auto"/>
              </w:rPr>
              <w:t>Annuity Plan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06"/>
        </w:trPr>
        <w:tc>
          <w:tcPr>
            <w:tcW w:w="2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-2620010</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-2620010</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-2620010</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-2620010</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-2620010</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-2620010</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-2620010</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-2620010</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1610995</wp:posOffset>
            </wp:positionH>
            <wp:positionV relativeFrom="paragraph">
              <wp:posOffset>-1932940</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-1932940</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-1932940</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-1932940</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-1932940</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-1932940</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-1932940</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-1932940</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1610995</wp:posOffset>
            </wp:positionH>
            <wp:positionV relativeFrom="paragraph">
              <wp:posOffset>-1245870</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-1245870</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-1245870</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-1245870</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-1245870</wp:posOffset>
            </wp:positionV>
            <wp:extent cx="127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-1245870</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-1245870</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-1245870</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1610995</wp:posOffset>
            </wp:positionH>
            <wp:positionV relativeFrom="paragraph">
              <wp:posOffset>-558800</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-558800</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-558800</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-558800</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-558800</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-558800</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-558800</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-558800</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61" w:orient="portrait"/>
          <w:cols w:equalWidth="0" w:num="2">
            <w:col w:w="808" w:space="220"/>
            <w:col w:w="10440"/>
          </w:cols>
          <w:pgMar w:left="232" w:top="121" w:right="199" w:bottom="0" w:gutter="0" w:footer="0" w:header="0"/>
          <w:type w:val="continuous"/>
        </w:sectPr>
      </w:pPr>
    </w:p>
    <w:bookmarkStart w:id="17" w:name="page18"/>
    <w:bookmarkEnd w:id="17"/>
    <w:p>
      <w:pPr>
        <w:spacing w:after="0" w:line="5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91" w:lineRule="exact"/>
        <w:rPr>
          <w:sz w:val="20"/>
          <w:szCs w:val="20"/>
          <w:color w:val="auto"/>
        </w:rPr>
      </w:pPr>
    </w:p>
    <w:p>
      <w:pPr>
        <w:ind w:left="408" w:right="20" w:hanging="398"/>
        <w:spacing w:after="0" w:line="284" w:lineRule="auto"/>
        <w:tabs>
          <w:tab w:leader="none" w:pos="408" w:val="left"/>
        </w:tabs>
        <w:numPr>
          <w:ilvl w:val="0"/>
          <w:numId w:val="25"/>
        </w:numPr>
        <w:rPr>
          <w:rFonts w:ascii="Arial" w:cs="Arial" w:eastAsia="Arial" w:hAnsi="Arial"/>
          <w:sz w:val="15"/>
          <w:szCs w:val="15"/>
          <w:color w:val="auto"/>
        </w:rPr>
      </w:pPr>
      <w:r>
        <w:rPr>
          <w:rFonts w:ascii="Arial" w:cs="Arial" w:eastAsia="Arial" w:hAnsi="Arial"/>
          <w:sz w:val="15"/>
          <w:szCs w:val="15"/>
          <w:color w:val="auto"/>
        </w:rPr>
        <w:t>Key assumptions in calculating the present value of the qualified retirement plan for Mr. M. Batten assumes a 6% discount rate, with his retirement age assumed to be their current age. For Messrs. Eperjesy, Feiertag, and J. Batten, the key assumptions include a 6% discount rate and a retirement age of 65. No mortality assumption was used prior to retirement. After retirement, the mortality assumption is the IRS Generational Mortality Table.</w:t>
      </w:r>
    </w:p>
    <w:p>
      <w:pPr>
        <w:spacing w:after="0" w:line="170" w:lineRule="exact"/>
        <w:rPr>
          <w:rFonts w:ascii="Arial" w:cs="Arial" w:eastAsia="Arial" w:hAnsi="Arial"/>
          <w:sz w:val="15"/>
          <w:szCs w:val="15"/>
          <w:color w:val="auto"/>
        </w:rPr>
      </w:pPr>
    </w:p>
    <w:p>
      <w:pPr>
        <w:ind w:left="408" w:right="80"/>
        <w:spacing w:after="0" w:line="295" w:lineRule="auto"/>
        <w:rPr>
          <w:rFonts w:ascii="Arial" w:cs="Arial" w:eastAsia="Arial" w:hAnsi="Arial"/>
          <w:sz w:val="15"/>
          <w:szCs w:val="15"/>
          <w:color w:val="auto"/>
        </w:rPr>
      </w:pPr>
      <w:r>
        <w:rPr>
          <w:rFonts w:ascii="Arial" w:cs="Arial" w:eastAsia="Arial" w:hAnsi="Arial"/>
          <w:sz w:val="14"/>
          <w:szCs w:val="14"/>
          <w:color w:val="auto"/>
        </w:rPr>
        <w:t>The following key assumptions were made in calculating the present value of the Supplemental Executive Retirement Plan. For Mr. M. Batten, the values are calculated as pursuant to the terms of the Plan document. No assumptions as to future events are required. For Messrs. Eperjesy, Feiertag and J. Batten, current account balances are projected to the assumed retirement age of 65, utilizing an 8% discount rate and a 7% accumulation rate. No pre-retirement termination or mortality has been assumed.</w:t>
      </w:r>
    </w:p>
    <w:p>
      <w:pPr>
        <w:spacing w:after="0" w:line="166" w:lineRule="exact"/>
        <w:rPr>
          <w:rFonts w:ascii="Arial" w:cs="Arial" w:eastAsia="Arial" w:hAnsi="Arial"/>
          <w:sz w:val="15"/>
          <w:szCs w:val="15"/>
          <w:color w:val="auto"/>
        </w:rPr>
      </w:pPr>
    </w:p>
    <w:p>
      <w:pPr>
        <w:ind w:left="408" w:hanging="398"/>
        <w:spacing w:after="0" w:line="279" w:lineRule="auto"/>
        <w:tabs>
          <w:tab w:leader="none" w:pos="40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present value Mr. Fabry’s benefit was denominated in Euro and translated to dollars at the average exchange rate for fiscal 2008 of 1.47061. This is a group insurance contract with a guaranteed interest rate of 3.25% per year. No mortality tables are used in respect to his retirement benefits.</w:t>
      </w:r>
    </w:p>
    <w:p>
      <w:pPr>
        <w:spacing w:after="0" w:line="347" w:lineRule="exact"/>
        <w:rPr>
          <w:sz w:val="20"/>
          <w:szCs w:val="20"/>
          <w:color w:val="auto"/>
        </w:rPr>
      </w:pPr>
    </w:p>
    <w:p>
      <w:pPr>
        <w:ind w:left="8"/>
        <w:spacing w:after="0" w:line="250" w:lineRule="auto"/>
        <w:rPr>
          <w:sz w:val="20"/>
          <w:szCs w:val="20"/>
          <w:color w:val="auto"/>
        </w:rPr>
      </w:pPr>
      <w:r>
        <w:rPr>
          <w:rFonts w:ascii="Arial" w:cs="Arial" w:eastAsia="Arial" w:hAnsi="Arial"/>
          <w:sz w:val="18"/>
          <w:szCs w:val="18"/>
          <w:color w:val="auto"/>
        </w:rPr>
        <w:t>All full-time Twin Disc, Incorporated salaried employees employed before October 1, 2003 are eligible to participate in the Twin Disc, Incorporated Retirement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eligible for retirement.</w:t>
      </w:r>
    </w:p>
    <w:p>
      <w:pPr>
        <w:spacing w:after="0" w:line="151" w:lineRule="exact"/>
        <w:rPr>
          <w:sz w:val="20"/>
          <w:szCs w:val="20"/>
          <w:color w:val="auto"/>
        </w:rPr>
      </w:pPr>
    </w:p>
    <w:p>
      <w:pPr>
        <w:ind w:left="8" w:right="100"/>
        <w:spacing w:after="0" w:line="250" w:lineRule="auto"/>
        <w:rPr>
          <w:sz w:val="20"/>
          <w:szCs w:val="20"/>
          <w:color w:val="auto"/>
        </w:rPr>
      </w:pPr>
      <w:r>
        <w:rPr>
          <w:rFonts w:ascii="Arial" w:cs="Arial" w:eastAsia="Arial" w:hAnsi="Arial"/>
          <w:sz w:val="18"/>
          <w:szCs w:val="18"/>
          <w:color w:val="auto"/>
        </w:rPr>
        <w:t>Prior to January 1, 1997 pension plan benefits were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program. Mr. M. Batten is the only Named Executive Officer with a benefit under both the frozen plan formula and the cash balance program.</w:t>
      </w:r>
    </w:p>
    <w:p>
      <w:pPr>
        <w:spacing w:after="0" w:line="151" w:lineRule="exact"/>
        <w:rPr>
          <w:sz w:val="20"/>
          <w:szCs w:val="20"/>
          <w:color w:val="auto"/>
        </w:rPr>
      </w:pPr>
    </w:p>
    <w:p>
      <w:pPr>
        <w:ind w:left="8" w:right="260"/>
        <w:spacing w:after="0" w:line="256"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2007, that annual amount was $225,000. In calendar 2008, the annual amount is $230,000.</w:t>
      </w:r>
    </w:p>
    <w:p>
      <w:pPr>
        <w:spacing w:after="0" w:line="144" w:lineRule="exact"/>
        <w:rPr>
          <w:sz w:val="20"/>
          <w:szCs w:val="20"/>
          <w:color w:val="auto"/>
        </w:rPr>
      </w:pPr>
    </w:p>
    <w:p>
      <w:pPr>
        <w:ind w:left="8" w:right="180"/>
        <w:spacing w:after="0" w:line="271" w:lineRule="auto"/>
        <w:rPr>
          <w:sz w:val="20"/>
          <w:szCs w:val="20"/>
          <w:color w:val="auto"/>
        </w:rPr>
      </w:pPr>
      <w:r>
        <w:rPr>
          <w:rFonts w:ascii="Arial" w:cs="Arial" w:eastAsia="Arial" w:hAnsi="Arial"/>
          <w:sz w:val="18"/>
          <w:szCs w:val="18"/>
          <w:color w:val="auto"/>
        </w:rPr>
        <w:t>Benefits under the frozen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31" w:lineRule="exact"/>
        <w:rPr>
          <w:sz w:val="20"/>
          <w:szCs w:val="20"/>
          <w:color w:val="auto"/>
        </w:rPr>
      </w:pPr>
    </w:p>
    <w:p>
      <w:pPr>
        <w:ind w:left="8" w:right="60"/>
        <w:spacing w:after="0" w:line="250" w:lineRule="auto"/>
        <w:rPr>
          <w:sz w:val="20"/>
          <w:szCs w:val="20"/>
          <w:color w:val="auto"/>
        </w:rPr>
      </w:pPr>
      <w:r>
        <w:rPr>
          <w:rFonts w:ascii="Arial" w:cs="Arial" w:eastAsia="Arial" w:hAnsi="Arial"/>
          <w:sz w:val="18"/>
          <w:szCs w:val="18"/>
          <w:color w:val="auto"/>
        </w:rPr>
        <w:t>The Supplemental Executive Retirement Plan (SERP) is available to qualified named US executive officers. For those who became participants after January 1, 1998 (including Mr. Feiertag, Mr. J. Batten and Mr. Eperjesy) the supplemental retirement benefit is calculated as the additional benefit that the participant would have received at retirement under the Company’s qualified defined benefit plan, but for the limitation on compensation used in determining benefits</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
        <w:spacing w:after="0"/>
        <w:rPr>
          <w:sz w:val="20"/>
          <w:szCs w:val="20"/>
          <w:color w:val="auto"/>
        </w:rPr>
      </w:pPr>
      <w:r>
        <w:rPr>
          <w:rFonts w:ascii="Arial" w:cs="Arial" w:eastAsia="Arial" w:hAnsi="Arial"/>
          <w:sz w:val="18"/>
          <w:szCs w:val="18"/>
          <w:color w:val="auto"/>
        </w:rPr>
        <w:t>under the defined benefit plan.</w:t>
      </w:r>
    </w:p>
    <w:p>
      <w:pPr>
        <w:spacing w:after="0" w:line="219" w:lineRule="exact"/>
        <w:rPr>
          <w:sz w:val="20"/>
          <w:szCs w:val="20"/>
          <w:color w:val="auto"/>
        </w:rPr>
      </w:pPr>
    </w:p>
    <w:p>
      <w:pPr>
        <w:ind w:left="8" w:right="20"/>
        <w:spacing w:after="0" w:line="256" w:lineRule="auto"/>
        <w:rPr>
          <w:sz w:val="20"/>
          <w:szCs w:val="20"/>
          <w:color w:val="auto"/>
        </w:rPr>
      </w:pPr>
      <w:r>
        <w:rPr>
          <w:rFonts w:ascii="Arial" w:cs="Arial" w:eastAsia="Arial" w:hAnsi="Arial"/>
          <w:sz w:val="18"/>
          <w:szCs w:val="18"/>
          <w:color w:val="auto"/>
        </w:rPr>
        <w:t>For those who were participants in the plan before January 1, 1998 (only Mr. M. Batten), the supplemental retirement benefit is calculated as an annual benefit approximating 50% of highest rate of pay attained during a specified period, minus amounts accrued under the company’s qualified defined benefit plan. The plan also preserved the level of benefits that had accrued prior to 1998.</w:t>
      </w:r>
    </w:p>
    <w:p>
      <w:pPr>
        <w:spacing w:after="0" w:line="144" w:lineRule="exact"/>
        <w:rPr>
          <w:sz w:val="20"/>
          <w:szCs w:val="20"/>
          <w:color w:val="auto"/>
        </w:rPr>
      </w:pPr>
    </w:p>
    <w:p>
      <w:pPr>
        <w:ind w:left="8" w:right="40"/>
        <w:spacing w:after="0" w:line="250" w:lineRule="auto"/>
        <w:rPr>
          <w:sz w:val="20"/>
          <w:szCs w:val="20"/>
          <w:color w:val="auto"/>
        </w:rPr>
      </w:pPr>
      <w:r>
        <w:rPr>
          <w:rFonts w:ascii="Arial" w:cs="Arial" w:eastAsia="Arial" w:hAnsi="Arial"/>
          <w:sz w:val="18"/>
          <w:szCs w:val="18"/>
          <w:color w:val="auto"/>
        </w:rPr>
        <w:t>Any benefits payable under this Plan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151" w:lineRule="exact"/>
        <w:rPr>
          <w:sz w:val="20"/>
          <w:szCs w:val="20"/>
          <w:color w:val="auto"/>
        </w:rPr>
      </w:pPr>
    </w:p>
    <w:p>
      <w:pPr>
        <w:ind w:left="8" w:right="180"/>
        <w:spacing w:after="0" w:line="271" w:lineRule="auto"/>
        <w:rPr>
          <w:sz w:val="20"/>
          <w:szCs w:val="20"/>
          <w:color w:val="auto"/>
        </w:rPr>
      </w:pPr>
      <w:r>
        <w:rPr>
          <w:rFonts w:ascii="Arial" w:cs="Arial" w:eastAsia="Arial" w:hAnsi="Arial"/>
          <w:sz w:val="18"/>
          <w:szCs w:val="18"/>
          <w:color w:val="auto"/>
        </w:rPr>
        <w:t>In the event that the participant is a “key employee” as defined in Section 409A of the Internal Revenue Code, the first payment will not be made sooner than six months after the participant’s termination.</w:t>
      </w:r>
    </w:p>
    <w:p>
      <w:pPr>
        <w:spacing w:after="0" w:line="131" w:lineRule="exact"/>
        <w:rPr>
          <w:sz w:val="20"/>
          <w:szCs w:val="20"/>
          <w:color w:val="auto"/>
        </w:rPr>
      </w:pPr>
    </w:p>
    <w:p>
      <w:pPr>
        <w:ind w:left="8" w:right="640"/>
        <w:spacing w:after="0" w:line="271" w:lineRule="auto"/>
        <w:rPr>
          <w:sz w:val="20"/>
          <w:szCs w:val="20"/>
          <w:color w:val="auto"/>
        </w:rPr>
      </w:pPr>
      <w:r>
        <w:rPr>
          <w:rFonts w:ascii="Arial" w:cs="Arial" w:eastAsia="Arial" w:hAnsi="Arial"/>
          <w:sz w:val="18"/>
          <w:szCs w:val="18"/>
          <w:color w:val="auto"/>
        </w:rPr>
        <w:t>If each of the two lump sum payments exceed $500,000, each payment shall be limited to $500,000 each with additional payments (also limited to $500,000 each) to be made on each subsequent February 1 until the balance is paid.</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188" w:lineRule="exact"/>
        <w:rPr>
          <w:sz w:val="20"/>
          <w:szCs w:val="20"/>
          <w:color w:val="auto"/>
        </w:rPr>
      </w:pPr>
    </w:p>
    <w:p>
      <w:pPr>
        <w:ind w:left="8" w:right="100"/>
        <w:spacing w:after="0" w:line="271" w:lineRule="auto"/>
        <w:rPr>
          <w:sz w:val="20"/>
          <w:szCs w:val="20"/>
          <w:color w:val="auto"/>
        </w:rPr>
      </w:pPr>
      <w:r>
        <w:rPr>
          <w:rFonts w:ascii="Arial" w:cs="Arial" w:eastAsia="Arial" w:hAnsi="Arial"/>
          <w:sz w:val="18"/>
          <w:szCs w:val="18"/>
          <w:color w:val="auto"/>
        </w:rPr>
        <w:t>The Company does not maintain any nonqualified defined contribution deferred compensation plans, or any other type of non-actuarial plans that provide for the deferral of compensation on a basis that is not tax-qualified.</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8" w:lineRule="exact"/>
        <w:rPr>
          <w:sz w:val="20"/>
          <w:szCs w:val="20"/>
          <w:color w:val="auto"/>
        </w:rPr>
      </w:pPr>
    </w:p>
    <w:p>
      <w:pPr>
        <w:ind w:left="8" w:right="60"/>
        <w:spacing w:after="0" w:line="256"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40" w:lineRule="exact"/>
        <w:rPr>
          <w:sz w:val="20"/>
          <w:szCs w:val="20"/>
          <w:color w:val="auto"/>
        </w:rPr>
      </w:pPr>
    </w:p>
    <w:p>
      <w:pPr>
        <w:ind w:left="268" w:right="160" w:hanging="268"/>
        <w:spacing w:after="0" w:line="249"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Normal or Early Retirement</w:t>
      </w:r>
      <w:r>
        <w:rPr>
          <w:rFonts w:ascii="Arial" w:cs="Arial" w:eastAsia="Arial" w:hAnsi="Arial"/>
          <w:sz w:val="18"/>
          <w:szCs w:val="18"/>
          <w:color w:val="auto"/>
        </w:rPr>
        <w:t>. The normal retirement age for US-based employees, including the named executive officers, is 65. All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salaried employees employed before October 1, 2003 participate in the Twin Disc, Incorporated Retirement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Officer eligible for</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0" w:lineRule="exact"/>
        <w:rPr>
          <w:sz w:val="20"/>
          <w:szCs w:val="20"/>
          <w:color w:val="auto"/>
        </w:rPr>
      </w:pPr>
    </w:p>
    <w:p>
      <w:pPr>
        <w:ind w:left="268"/>
        <w:spacing w:after="0"/>
        <w:rPr>
          <w:sz w:val="20"/>
          <w:szCs w:val="20"/>
          <w:color w:val="auto"/>
        </w:rPr>
      </w:pPr>
      <w:r>
        <w:rPr>
          <w:rFonts w:ascii="Arial" w:cs="Arial" w:eastAsia="Arial" w:hAnsi="Arial"/>
          <w:sz w:val="18"/>
          <w:szCs w:val="18"/>
          <w:color w:val="auto"/>
        </w:rPr>
        <w:t>retirement. Mr. Fabry is also eligible for retirement under the Belgian subsidiary’s pension plan.</w:t>
      </w:r>
    </w:p>
    <w:p>
      <w:pPr>
        <w:spacing w:after="0" w:line="207" w:lineRule="exact"/>
        <w:rPr>
          <w:sz w:val="20"/>
          <w:szCs w:val="20"/>
          <w:color w:val="auto"/>
        </w:rPr>
      </w:pPr>
    </w:p>
    <w:p>
      <w:pPr>
        <w:ind w:left="268" w:right="340"/>
        <w:spacing w:after="0" w:line="271" w:lineRule="auto"/>
        <w:rPr>
          <w:sz w:val="20"/>
          <w:szCs w:val="20"/>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ectPr>
          <w:pgSz w:w="11900" w:h="16895" w:orient="portrait"/>
          <w:cols w:equalWidth="0" w:num="1">
            <w:col w:w="11428"/>
          </w:cols>
          <w:pgMar w:left="232" w:top="570" w:right="239" w:bottom="0" w:gutter="0" w:footer="0" w:header="0"/>
        </w:sectPr>
      </w:pPr>
    </w:p>
    <w:bookmarkStart w:id="18" w:name="page19"/>
    <w:bookmarkEnd w:id="18"/>
    <w:p>
      <w:pPr>
        <w:ind w:left="268" w:right="240"/>
        <w:spacing w:after="0" w:line="256" w:lineRule="auto"/>
        <w:rPr>
          <w:sz w:val="20"/>
          <w:szCs w:val="20"/>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167" w:lineRule="exact"/>
        <w:rPr>
          <w:sz w:val="20"/>
          <w:szCs w:val="20"/>
          <w:color w:val="auto"/>
        </w:rPr>
      </w:pPr>
    </w:p>
    <w:p>
      <w:pPr>
        <w:ind w:left="268"/>
        <w:spacing w:after="0"/>
        <w:rPr>
          <w:sz w:val="20"/>
          <w:szCs w:val="20"/>
          <w:color w:val="auto"/>
        </w:rPr>
      </w:pPr>
      <w:r>
        <w:rPr>
          <w:rFonts w:ascii="Arial" w:cs="Arial" w:eastAsia="Arial" w:hAnsi="Arial"/>
          <w:sz w:val="18"/>
          <w:szCs w:val="18"/>
          <w:color w:val="auto"/>
        </w:rPr>
        <w:t>Stock options must be exercised within 30 days of termination or they expire.</w:t>
      </w:r>
    </w:p>
    <w:p>
      <w:pPr>
        <w:spacing w:after="0" w:line="207" w:lineRule="exact"/>
        <w:rPr>
          <w:sz w:val="20"/>
          <w:szCs w:val="20"/>
          <w:color w:val="auto"/>
        </w:rPr>
      </w:pPr>
    </w:p>
    <w:p>
      <w:pPr>
        <w:ind w:left="268" w:right="220"/>
        <w:spacing w:after="0" w:line="271" w:lineRule="auto"/>
        <w:rPr>
          <w:sz w:val="20"/>
          <w:szCs w:val="20"/>
          <w:color w:val="auto"/>
        </w:rPr>
      </w:pPr>
      <w:r>
        <w:rPr>
          <w:rFonts w:ascii="Arial" w:cs="Arial" w:eastAsia="Arial" w:hAnsi="Arial"/>
          <w:sz w:val="18"/>
          <w:szCs w:val="18"/>
          <w:color w:val="auto"/>
        </w:rPr>
        <w:t>A Supplemental Executive Retirement Plan (SERP) is available for US based named executive officers who qualify for a retirement benefit under the Company’s pension plans.</w:t>
      </w:r>
    </w:p>
    <w:p>
      <w:pPr>
        <w:spacing w:after="0" w:line="150" w:lineRule="exact"/>
        <w:rPr>
          <w:sz w:val="20"/>
          <w:szCs w:val="20"/>
          <w:color w:val="auto"/>
        </w:rPr>
      </w:pPr>
    </w:p>
    <w:p>
      <w:pPr>
        <w:ind w:left="268" w:right="300" w:hanging="268"/>
        <w:spacing w:after="0" w:line="276" w:lineRule="auto"/>
        <w:tabs>
          <w:tab w:leader="none" w:pos="26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Death while Employed</w:t>
      </w:r>
      <w:r>
        <w:rPr>
          <w:rFonts w:ascii="Arial" w:cs="Arial" w:eastAsia="Arial" w:hAnsi="Arial"/>
          <w:sz w:val="18"/>
          <w:szCs w:val="18"/>
          <w:color w:val="auto"/>
        </w:rPr>
        <w:t>. In the event of death of a Named Executive Officer while actively employed, the executive’s estate would receive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base salary earned, but not yet paid. In addition, any vacation accrual not used would also be paid to the estate.</w:t>
      </w:r>
    </w:p>
    <w:p>
      <w:pPr>
        <w:spacing w:after="0" w:line="149" w:lineRule="exact"/>
        <w:rPr>
          <w:rFonts w:ascii="Arial" w:cs="Arial" w:eastAsia="Arial" w:hAnsi="Arial"/>
          <w:sz w:val="18"/>
          <w:szCs w:val="18"/>
          <w:color w:val="auto"/>
        </w:rPr>
      </w:pPr>
    </w:p>
    <w:p>
      <w:pPr>
        <w:ind w:left="268"/>
        <w:spacing w:after="0"/>
        <w:rPr>
          <w:rFonts w:ascii="Arial" w:cs="Arial" w:eastAsia="Arial" w:hAnsi="Arial"/>
          <w:sz w:val="18"/>
          <w:szCs w:val="18"/>
          <w:color w:val="auto"/>
        </w:rPr>
      </w:pPr>
      <w:r>
        <w:rPr>
          <w:rFonts w:ascii="Arial" w:cs="Arial" w:eastAsia="Arial" w:hAnsi="Arial"/>
          <w:sz w:val="18"/>
          <w:szCs w:val="18"/>
          <w:color w:val="auto"/>
        </w:rPr>
        <w:t>Restricted stock vests and becomes payable per the terms of the individual grant agreement. The estate would receive the payment.</w:t>
      </w:r>
    </w:p>
    <w:p>
      <w:pPr>
        <w:spacing w:after="0" w:line="207" w:lineRule="exact"/>
        <w:rPr>
          <w:rFonts w:ascii="Arial" w:cs="Arial" w:eastAsia="Arial" w:hAnsi="Arial"/>
          <w:sz w:val="18"/>
          <w:szCs w:val="18"/>
          <w:color w:val="auto"/>
        </w:rPr>
      </w:pPr>
    </w:p>
    <w:p>
      <w:pPr>
        <w:ind w:left="268" w:right="240"/>
        <w:spacing w:after="0" w:line="256" w:lineRule="auto"/>
        <w:rPr>
          <w:rFonts w:ascii="Arial" w:cs="Arial" w:eastAsia="Arial" w:hAnsi="Arial"/>
          <w:sz w:val="18"/>
          <w:szCs w:val="18"/>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166" w:lineRule="exact"/>
        <w:rPr>
          <w:rFonts w:ascii="Arial" w:cs="Arial" w:eastAsia="Arial" w:hAnsi="Arial"/>
          <w:sz w:val="18"/>
          <w:szCs w:val="18"/>
          <w:color w:val="auto"/>
        </w:rPr>
      </w:pPr>
    </w:p>
    <w:p>
      <w:pPr>
        <w:ind w:left="268"/>
        <w:spacing w:after="0"/>
        <w:rPr>
          <w:rFonts w:ascii="Arial" w:cs="Arial" w:eastAsia="Arial" w:hAnsi="Arial"/>
          <w:sz w:val="18"/>
          <w:szCs w:val="18"/>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03" w:lineRule="exact"/>
        <w:rPr>
          <w:rFonts w:ascii="Arial" w:cs="Arial" w:eastAsia="Arial" w:hAnsi="Arial"/>
          <w:sz w:val="18"/>
          <w:szCs w:val="18"/>
          <w:color w:val="auto"/>
        </w:rPr>
      </w:pPr>
    </w:p>
    <w:p>
      <w:pPr>
        <w:ind w:left="268" w:right="280" w:hanging="268"/>
        <w:spacing w:after="0" w:line="276" w:lineRule="auto"/>
        <w:tabs>
          <w:tab w:leader="none" w:pos="268"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a disability, the named executive officers would receive benefits under the Company’s short-term and long-term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plans, generally available to full-time salaried employees. Benefits are reduced for any social security or pension eligibility.</w:t>
      </w:r>
    </w:p>
    <w:p>
      <w:pPr>
        <w:spacing w:after="0" w:line="334" w:lineRule="exact"/>
        <w:rPr>
          <w:sz w:val="20"/>
          <w:szCs w:val="20"/>
          <w:color w:val="auto"/>
        </w:rPr>
      </w:pPr>
    </w:p>
    <w:p>
      <w:pPr>
        <w:ind w:left="8"/>
        <w:spacing w:after="0"/>
        <w:rPr>
          <w:sz w:val="20"/>
          <w:szCs w:val="20"/>
          <w:color w:val="auto"/>
        </w:rPr>
      </w:pPr>
      <w:r>
        <w:rPr>
          <w:rFonts w:ascii="Arial" w:cs="Arial" w:eastAsia="Arial" w:hAnsi="Arial"/>
          <w:sz w:val="18"/>
          <w:szCs w:val="18"/>
          <w:color w:val="auto"/>
        </w:rPr>
        <w:t>Restricted stock vests and becomes payable per the terms of the individual grant agreement.</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Performance stock and performance stock units will be paid after the end of the relevant</w:t>
      </w:r>
    </w:p>
    <w:p>
      <w:pPr>
        <w:spacing w:after="0" w:line="184"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0" w:lineRule="exact"/>
        <w:rPr>
          <w:sz w:val="20"/>
          <w:szCs w:val="20"/>
          <w:color w:val="auto"/>
        </w:rPr>
      </w:pPr>
    </w:p>
    <w:p>
      <w:pPr>
        <w:ind w:left="328" w:right="340"/>
        <w:spacing w:after="0" w:line="271" w:lineRule="auto"/>
        <w:rPr>
          <w:sz w:val="20"/>
          <w:szCs w:val="20"/>
          <w:color w:val="auto"/>
        </w:rPr>
      </w:pPr>
      <w:r>
        <w:rPr>
          <w:rFonts w:ascii="Arial" w:cs="Arial" w:eastAsia="Arial" w:hAnsi="Arial"/>
          <w:sz w:val="18"/>
          <w:szCs w:val="18"/>
          <w:color w:val="auto"/>
        </w:rPr>
        <w:t>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173" w:lineRule="exact"/>
        <w:rPr>
          <w:sz w:val="20"/>
          <w:szCs w:val="20"/>
          <w:color w:val="auto"/>
        </w:rPr>
      </w:pPr>
    </w:p>
    <w:p>
      <w:pPr>
        <w:ind w:left="328" w:right="140" w:hanging="328"/>
        <w:spacing w:after="0" w:line="27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Committee would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that severance payments are appropriate.</w:t>
      </w:r>
    </w:p>
    <w:p>
      <w:pPr>
        <w:spacing w:after="0" w:line="168" w:lineRule="exact"/>
        <w:rPr>
          <w:rFonts w:ascii="Arial" w:cs="Arial" w:eastAsia="Arial" w:hAnsi="Arial"/>
          <w:sz w:val="18"/>
          <w:szCs w:val="18"/>
          <w:color w:val="auto"/>
        </w:rPr>
      </w:pPr>
    </w:p>
    <w:p>
      <w:pPr>
        <w:ind w:left="328" w:right="180" w:hanging="328"/>
        <w:spacing w:after="0" w:line="27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8" w:lineRule="exact"/>
        <w:rPr>
          <w:rFonts w:ascii="Arial" w:cs="Arial" w:eastAsia="Arial" w:hAnsi="Arial"/>
          <w:sz w:val="18"/>
          <w:szCs w:val="18"/>
          <w:color w:val="auto"/>
        </w:rPr>
      </w:pPr>
    </w:p>
    <w:p>
      <w:pPr>
        <w:ind w:left="328" w:hanging="328"/>
        <w:spacing w:after="0" w:line="249"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In July 2007, the Company entered into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Severance Agreements with each of our named executive officers. The agreements provide that, in following a change in control of the corporation (as defined in the agreement) if employment of the executive officer is terminated by the Company for any reason other than "Good Cause," or terminated by the executive for "Good Reason" within 24-months after the change in control occurs, certain benefits would become payable. These include:</w:t>
      </w:r>
    </w:p>
    <w:p>
      <w:pPr>
        <w:spacing w:after="0" w:line="196" w:lineRule="exact"/>
        <w:rPr>
          <w:rFonts w:ascii="Arial" w:cs="Arial" w:eastAsia="Arial" w:hAnsi="Arial"/>
          <w:sz w:val="18"/>
          <w:szCs w:val="18"/>
          <w:color w:val="auto"/>
        </w:rPr>
      </w:pPr>
    </w:p>
    <w:p>
      <w:pPr>
        <w:ind w:left="508" w:hanging="186"/>
        <w:spacing w:after="0"/>
        <w:tabs>
          <w:tab w:leader="none" w:pos="5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severance as a multiple of base salary,</w:t>
      </w:r>
    </w:p>
    <w:p>
      <w:pPr>
        <w:spacing w:after="0" w:line="242" w:lineRule="exact"/>
        <w:rPr>
          <w:rFonts w:ascii="Arial" w:cs="Arial" w:eastAsia="Arial" w:hAnsi="Arial"/>
          <w:sz w:val="18"/>
          <w:szCs w:val="18"/>
          <w:color w:val="auto"/>
        </w:rPr>
      </w:pPr>
    </w:p>
    <w:p>
      <w:pPr>
        <w:ind w:left="508" w:hanging="186"/>
        <w:spacing w:after="0"/>
        <w:tabs>
          <w:tab w:leader="none" w:pos="5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twenty-four months of benefit continuation,</w:t>
      </w:r>
    </w:p>
    <w:p>
      <w:pPr>
        <w:spacing w:after="0" w:line="253" w:lineRule="exact"/>
        <w:rPr>
          <w:rFonts w:ascii="Arial" w:cs="Arial" w:eastAsia="Arial" w:hAnsi="Arial"/>
          <w:sz w:val="18"/>
          <w:szCs w:val="18"/>
          <w:color w:val="auto"/>
        </w:rPr>
      </w:pPr>
    </w:p>
    <w:p>
      <w:pPr>
        <w:ind w:left="508" w:hanging="186"/>
        <w:spacing w:after="0"/>
        <w:tabs>
          <w:tab w:leader="none" w:pos="5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current value of all outstanding stock options,</w:t>
      </w:r>
    </w:p>
    <w:p>
      <w:pPr>
        <w:spacing w:after="0" w:line="253" w:lineRule="exact"/>
        <w:rPr>
          <w:rFonts w:ascii="Arial" w:cs="Arial" w:eastAsia="Arial" w:hAnsi="Arial"/>
          <w:sz w:val="18"/>
          <w:szCs w:val="18"/>
          <w:color w:val="auto"/>
        </w:rPr>
      </w:pPr>
    </w:p>
    <w:p>
      <w:pPr>
        <w:ind w:left="508" w:hanging="186"/>
        <w:spacing w:after="0"/>
        <w:tabs>
          <w:tab w:leader="none" w:pos="5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restricted stock, and</w:t>
      </w:r>
    </w:p>
    <w:p>
      <w:pPr>
        <w:spacing w:after="0" w:line="253" w:lineRule="exact"/>
        <w:rPr>
          <w:rFonts w:ascii="Arial" w:cs="Arial" w:eastAsia="Arial" w:hAnsi="Arial"/>
          <w:sz w:val="18"/>
          <w:szCs w:val="18"/>
          <w:color w:val="auto"/>
        </w:rPr>
      </w:pPr>
    </w:p>
    <w:p>
      <w:pPr>
        <w:ind w:left="508" w:hanging="186"/>
        <w:spacing w:after="0" w:line="271" w:lineRule="auto"/>
        <w:tabs>
          <w:tab w:leader="none" w:pos="5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performance stock and performance units immediately vest, and stock or cash is paid under the agreements as if the maximum performance objective was achieved.</w:t>
      </w:r>
    </w:p>
    <w:p>
      <w:pPr>
        <w:spacing w:after="0" w:line="373" w:lineRule="exact"/>
        <w:rPr>
          <w:sz w:val="20"/>
          <w:szCs w:val="20"/>
          <w:color w:val="auto"/>
        </w:rPr>
      </w:pPr>
    </w:p>
    <w:p>
      <w:pPr>
        <w:ind w:left="8" w:right="180"/>
        <w:spacing w:after="0" w:line="248" w:lineRule="auto"/>
        <w:rPr>
          <w:sz w:val="20"/>
          <w:szCs w:val="20"/>
          <w:color w:val="auto"/>
        </w:rPr>
      </w:pPr>
      <w:r>
        <w:rPr>
          <w:rFonts w:ascii="Arial" w:cs="Arial" w:eastAsia="Arial" w:hAnsi="Arial"/>
          <w:sz w:val="18"/>
          <w:szCs w:val="18"/>
          <w:color w:val="auto"/>
        </w:rPr>
        <w:t>In addition, if an event constituting a Change in Control of the Company occurs and the Employee thereafter terminates employment for any reason, then the performance stock units granted hereunder shall immediately vest and a cash payment shall be made as if the maximum Performance Objective had been fully achieved, regardless of whether termination of employment is by the Employee, the Company or otherwise. Such cash payment shall be equal to the number of performance stock units granted to the Employee multiplied by the fair market value of the Company’s common stock as of the effective date of such Change in Control.</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following tables show the amounts payable under different termination scenarios for each named executive officer as if such scenario occurred on</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8"/>
          <w:szCs w:val="18"/>
          <w:color w:val="auto"/>
        </w:rPr>
        <w:t>June 30, 2008, the last day of the Company’s most recent fiscal year:</w:t>
      </w:r>
    </w:p>
    <w:p>
      <w:pPr>
        <w:spacing w:after="0" w:line="168"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Michael E. Batten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1840"/>
        <w:spacing w:after="0"/>
        <w:rPr>
          <w:sz w:val="20"/>
          <w:szCs w:val="20"/>
          <w:color w:val="auto"/>
        </w:rPr>
      </w:pPr>
      <w:r>
        <w:rPr>
          <w:rFonts w:ascii="Arial" w:cs="Arial" w:eastAsia="Arial" w:hAnsi="Arial"/>
          <w:sz w:val="15"/>
          <w:szCs w:val="15"/>
          <w:color w:val="auto"/>
        </w:rPr>
        <w:t>(4)</w:t>
      </w:r>
    </w:p>
    <w:p>
      <w:pPr>
        <w:spacing w:after="0" w:line="46" w:lineRule="exact"/>
        <w:rPr>
          <w:sz w:val="20"/>
          <w:szCs w:val="20"/>
          <w:color w:val="auto"/>
        </w:rPr>
      </w:pPr>
    </w:p>
    <w:p>
      <w:pPr>
        <w:jc w:val="center"/>
        <w:ind w:left="1840"/>
        <w:spacing w:after="0"/>
        <w:rPr>
          <w:sz w:val="20"/>
          <w:szCs w:val="20"/>
          <w:color w:val="auto"/>
        </w:rPr>
      </w:pPr>
      <w:r>
        <w:rPr>
          <w:rFonts w:ascii="Arial" w:cs="Arial" w:eastAsia="Arial" w:hAnsi="Arial"/>
          <w:sz w:val="15"/>
          <w:szCs w:val="15"/>
          <w:color w:val="auto"/>
        </w:rPr>
        <w:t>Value of Accelerated</w:t>
      </w:r>
    </w:p>
    <w:p>
      <w:pPr>
        <w:spacing w:after="0" w:line="46" w:lineRule="exact"/>
        <w:rPr>
          <w:sz w:val="20"/>
          <w:szCs w:val="20"/>
          <w:color w:val="auto"/>
        </w:rPr>
      </w:pPr>
    </w:p>
    <w:p>
      <w:pPr>
        <w:jc w:val="center"/>
        <w:ind w:left="1840"/>
        <w:spacing w:after="0"/>
        <w:rPr>
          <w:sz w:val="20"/>
          <w:szCs w:val="20"/>
          <w:color w:val="auto"/>
        </w:rPr>
      </w:pPr>
      <w:r>
        <w:rPr>
          <w:rFonts w:ascii="Arial" w:cs="Arial" w:eastAsia="Arial" w:hAnsi="Arial"/>
          <w:sz w:val="15"/>
          <w:szCs w:val="15"/>
          <w:color w:val="auto"/>
        </w:rPr>
        <w:t>Restricted Stock,</w:t>
      </w:r>
    </w:p>
    <w:p>
      <w:pPr>
        <w:spacing w:after="0" w:line="46" w:lineRule="exact"/>
        <w:rPr>
          <w:sz w:val="20"/>
          <w:szCs w:val="20"/>
          <w:color w:val="auto"/>
        </w:rPr>
      </w:pPr>
    </w:p>
    <w:p>
      <w:pPr>
        <w:ind w:left="6088" w:hanging="1179"/>
        <w:spacing w:after="0"/>
        <w:tabs>
          <w:tab w:leader="none" w:pos="6088" w:val="left"/>
        </w:tabs>
        <w:numPr>
          <w:ilvl w:val="0"/>
          <w:numId w:val="29"/>
        </w:numPr>
        <w:rPr>
          <w:rFonts w:ascii="Arial" w:cs="Arial" w:eastAsia="Arial" w:hAnsi="Arial"/>
          <w:sz w:val="15"/>
          <w:szCs w:val="15"/>
          <w:color w:val="auto"/>
        </w:rPr>
      </w:pPr>
      <w:r>
        <w:rPr>
          <w:rFonts w:ascii="Arial" w:cs="Arial" w:eastAsia="Arial" w:hAnsi="Arial"/>
          <w:sz w:val="15"/>
          <w:szCs w:val="15"/>
          <w:color w:val="auto"/>
        </w:rPr>
        <w:t>Performance Stock,</w:t>
      </w:r>
    </w:p>
    <w:p>
      <w:pPr>
        <w:sectPr>
          <w:pgSz w:w="11900" w:h="16838" w:orient="portrait"/>
          <w:cols w:equalWidth="0" w:num="1">
            <w:col w:w="11508"/>
          </w:cols>
          <w:pgMar w:left="232" w:top="328" w:right="159" w:bottom="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207"/>
        </w:trPr>
        <w:tc>
          <w:tcPr>
            <w:tcW w:w="1920" w:type="dxa"/>
            <w:vAlign w:val="bottom"/>
          </w:tcPr>
          <w:p>
            <w:pPr>
              <w:ind w:left="40"/>
              <w:spacing w:after="0"/>
              <w:rPr>
                <w:sz w:val="20"/>
                <w:szCs w:val="20"/>
                <w:color w:val="auto"/>
              </w:rPr>
            </w:pPr>
            <w:r>
              <w:rPr>
                <w:rFonts w:ascii="Arial" w:cs="Arial" w:eastAsia="Arial" w:hAnsi="Arial"/>
                <w:sz w:val="15"/>
                <w:szCs w:val="15"/>
                <w:color w:val="auto"/>
              </w:rPr>
              <w:t>Termination Event</w:t>
            </w:r>
          </w:p>
        </w:tc>
        <w:tc>
          <w:tcPr>
            <w:tcW w:w="2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5"/>
                <w:szCs w:val="15"/>
                <w:color w:val="auto"/>
              </w:rPr>
              <w:t>Base Salary</w:t>
            </w:r>
          </w:p>
        </w:tc>
        <w:tc>
          <w:tcPr>
            <w:tcW w:w="3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5"/>
                <w:szCs w:val="15"/>
                <w:color w:val="auto"/>
              </w:rPr>
              <w:t>Bonus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4"/>
              </w:rPr>
              <w:t>Non-Equity</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w w:val="89"/>
              </w:rPr>
              <w:t>Performance Stock</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Other Benefits</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89"/>
              </w:rPr>
              <w:t>Total</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5"/>
                <w:szCs w:val="15"/>
                <w:color w:val="auto"/>
              </w:rPr>
              <w:t>($)</w:t>
            </w:r>
          </w:p>
        </w:tc>
        <w:tc>
          <w:tcPr>
            <w:tcW w:w="10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U</w:t>
            </w:r>
            <w:r>
              <w:rPr>
                <w:rFonts w:ascii="Arial" w:cs="Arial" w:eastAsia="Arial" w:hAnsi="Arial"/>
                <w:sz w:val="14"/>
                <w:szCs w:val="14"/>
                <w:color w:val="auto"/>
                <w:w w:val="97"/>
              </w:rPr>
              <w:t>nits, and Stock</w:t>
            </w:r>
          </w:p>
        </w:tc>
        <w:tc>
          <w:tcPr>
            <w:tcW w:w="1540" w:type="dxa"/>
            <w:vAlign w:val="bottom"/>
            <w:gridSpan w:val="2"/>
          </w:tcPr>
          <w:p>
            <w:pPr>
              <w:jc w:val="right"/>
              <w:ind w:right="514"/>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1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2"/>
          </w:tcPr>
          <w:p>
            <w:pPr>
              <w:jc w:val="center"/>
              <w:ind w:left="160"/>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w w:val="88"/>
              </w:rPr>
              <w:t>Options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gridSpan w:val="2"/>
          </w:tcPr>
          <w:p>
            <w:pPr>
              <w:jc w:val="center"/>
              <w:ind w:left="160"/>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9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1920" w:type="dxa"/>
            <w:vAlign w:val="bottom"/>
          </w:tcPr>
          <w:p>
            <w:pPr>
              <w:spacing w:after="0"/>
              <w:rPr>
                <w:sz w:val="20"/>
                <w:szCs w:val="20"/>
                <w:color w:val="auto"/>
              </w:rPr>
            </w:pPr>
            <w:r>
              <w:rPr>
                <w:rFonts w:ascii="Arial" w:cs="Arial" w:eastAsia="Arial" w:hAnsi="Arial"/>
                <w:sz w:val="15"/>
                <w:szCs w:val="15"/>
                <w:color w:val="auto"/>
              </w:rPr>
              <w:t>Normal Retirement prior to a</w:t>
            </w: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$0</w:t>
            </w:r>
          </w:p>
        </w:tc>
        <w:tc>
          <w:tcPr>
            <w:tcW w:w="14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$554,925</w:t>
            </w:r>
          </w:p>
        </w:tc>
        <w:tc>
          <w:tcPr>
            <w:tcW w:w="18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$2,959,386 (4)</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$2,512,068 (6)</w:t>
            </w:r>
          </w:p>
        </w:tc>
        <w:tc>
          <w:tcPr>
            <w:tcW w:w="1160" w:type="dxa"/>
            <w:vAlign w:val="bottom"/>
            <w:gridSpan w:val="2"/>
          </w:tcPr>
          <w:p>
            <w:pPr>
              <w:jc w:val="center"/>
              <w:ind w:left="100"/>
              <w:spacing w:after="0"/>
              <w:rPr>
                <w:sz w:val="20"/>
                <w:szCs w:val="20"/>
                <w:color w:val="auto"/>
              </w:rPr>
            </w:pPr>
            <w:r>
              <w:rPr>
                <w:rFonts w:ascii="Arial" w:cs="Arial" w:eastAsia="Arial" w:hAnsi="Arial"/>
                <w:sz w:val="12"/>
                <w:szCs w:val="12"/>
                <w:color w:val="auto"/>
                <w:w w:val="86"/>
              </w:rPr>
              <w:t>$6,026,379</w:t>
            </w:r>
          </w:p>
        </w:tc>
        <w:tc>
          <w:tcPr>
            <w:tcW w:w="0" w:type="dxa"/>
            <w:vAlign w:val="bottom"/>
          </w:tcPr>
          <w:p>
            <w:pPr>
              <w:spacing w:after="0"/>
              <w:rPr>
                <w:sz w:val="1"/>
                <w:szCs w:val="1"/>
                <w:color w:val="auto"/>
              </w:rPr>
            </w:pPr>
          </w:p>
        </w:tc>
      </w:tr>
      <w:tr>
        <w:trPr>
          <w:trHeight w:val="121"/>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5"/>
                <w:szCs w:val="15"/>
                <w:color w:val="auto"/>
              </w:rPr>
              <w:t>Change in Control</w:t>
            </w: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5"/>
                <w:szCs w:val="15"/>
                <w:color w:val="auto"/>
              </w:rPr>
              <w:t>Death</w:t>
            </w: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$0</w:t>
            </w:r>
          </w:p>
        </w:tc>
        <w:tc>
          <w:tcPr>
            <w:tcW w:w="14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$554,925</w:t>
            </w:r>
          </w:p>
        </w:tc>
        <w:tc>
          <w:tcPr>
            <w:tcW w:w="18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$2,959,386 (4)</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$2,512,068 (6)</w:t>
            </w:r>
          </w:p>
        </w:tc>
        <w:tc>
          <w:tcPr>
            <w:tcW w:w="1160" w:type="dxa"/>
            <w:vAlign w:val="bottom"/>
            <w:gridSpan w:val="2"/>
          </w:tcPr>
          <w:p>
            <w:pPr>
              <w:jc w:val="center"/>
              <w:ind w:left="100"/>
              <w:spacing w:after="0"/>
              <w:rPr>
                <w:sz w:val="20"/>
                <w:szCs w:val="20"/>
                <w:color w:val="auto"/>
              </w:rPr>
            </w:pPr>
            <w:r>
              <w:rPr>
                <w:rFonts w:ascii="Arial" w:cs="Arial" w:eastAsia="Arial" w:hAnsi="Arial"/>
                <w:sz w:val="12"/>
                <w:szCs w:val="12"/>
                <w:color w:val="auto"/>
                <w:w w:val="86"/>
              </w:rPr>
              <w:t>$6,026,379</w:t>
            </w: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5"/>
                <w:szCs w:val="15"/>
                <w:color w:val="auto"/>
              </w:rPr>
              <w:t>Disability</w:t>
            </w: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$0</w:t>
            </w:r>
          </w:p>
        </w:tc>
        <w:tc>
          <w:tcPr>
            <w:tcW w:w="14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$554,925</w:t>
            </w:r>
          </w:p>
        </w:tc>
        <w:tc>
          <w:tcPr>
            <w:tcW w:w="18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$2,959,386 (4)</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$2,774,568 (5)</w:t>
            </w:r>
          </w:p>
        </w:tc>
        <w:tc>
          <w:tcPr>
            <w:tcW w:w="1160" w:type="dxa"/>
            <w:vAlign w:val="bottom"/>
            <w:gridSpan w:val="2"/>
          </w:tcPr>
          <w:p>
            <w:pPr>
              <w:jc w:val="center"/>
              <w:ind w:left="100"/>
              <w:spacing w:after="0"/>
              <w:rPr>
                <w:sz w:val="20"/>
                <w:szCs w:val="20"/>
                <w:color w:val="auto"/>
              </w:rPr>
            </w:pPr>
            <w:r>
              <w:rPr>
                <w:rFonts w:ascii="Arial" w:cs="Arial" w:eastAsia="Arial" w:hAnsi="Arial"/>
                <w:sz w:val="12"/>
                <w:szCs w:val="12"/>
                <w:color w:val="auto"/>
                <w:w w:val="86"/>
              </w:rPr>
              <w:t>$6,288,879</w:t>
            </w: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920" w:type="dxa"/>
            <w:vAlign w:val="bottom"/>
            <w:vMerge w:val="restart"/>
          </w:tcPr>
          <w:p>
            <w:pPr>
              <w:spacing w:after="0"/>
              <w:rPr>
                <w:sz w:val="20"/>
                <w:szCs w:val="20"/>
                <w:color w:val="auto"/>
              </w:rPr>
            </w:pPr>
            <w:r>
              <w:rPr>
                <w:rFonts w:ascii="Arial" w:cs="Arial" w:eastAsia="Arial" w:hAnsi="Arial"/>
                <w:sz w:val="15"/>
                <w:szCs w:val="15"/>
                <w:color w:val="auto"/>
              </w:rPr>
              <w:t>Termination for Cause</w:t>
            </w: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20" w:type="dxa"/>
            <w:vAlign w:val="bottom"/>
            <w:gridSpan w:val="2"/>
          </w:tcPr>
          <w:p>
            <w:pPr>
              <w:spacing w:after="0"/>
              <w:rPr>
                <w:sz w:val="10"/>
                <w:szCs w:val="10"/>
                <w:color w:val="auto"/>
              </w:rPr>
            </w:pPr>
          </w:p>
        </w:tc>
        <w:tc>
          <w:tcPr>
            <w:tcW w:w="1440" w:type="dxa"/>
            <w:vAlign w:val="bottom"/>
            <w:gridSpan w:val="2"/>
          </w:tcPr>
          <w:p>
            <w:pPr>
              <w:spacing w:after="0"/>
              <w:rPr>
                <w:sz w:val="10"/>
                <w:szCs w:val="10"/>
                <w:color w:val="auto"/>
              </w:rPr>
            </w:pPr>
          </w:p>
        </w:tc>
        <w:tc>
          <w:tcPr>
            <w:tcW w:w="1840" w:type="dxa"/>
            <w:vAlign w:val="bottom"/>
            <w:gridSpan w:val="2"/>
          </w:tcPr>
          <w:p>
            <w:pPr>
              <w:spacing w:after="0"/>
              <w:rPr>
                <w:sz w:val="10"/>
                <w:szCs w:val="10"/>
                <w:color w:val="auto"/>
              </w:rPr>
            </w:pPr>
          </w:p>
        </w:tc>
        <w:tc>
          <w:tcPr>
            <w:tcW w:w="1540" w:type="dxa"/>
            <w:vAlign w:val="bottom"/>
            <w:gridSpan w:val="2"/>
          </w:tcPr>
          <w:p>
            <w:pPr>
              <w:spacing w:after="0"/>
              <w:rPr>
                <w:sz w:val="10"/>
                <w:szCs w:val="10"/>
                <w:color w:val="auto"/>
              </w:rPr>
            </w:pPr>
          </w:p>
        </w:tc>
        <w:tc>
          <w:tcPr>
            <w:tcW w:w="1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$0</w:t>
            </w:r>
          </w:p>
        </w:tc>
        <w:tc>
          <w:tcPr>
            <w:tcW w:w="14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$554,925</w:t>
            </w:r>
          </w:p>
        </w:tc>
        <w:tc>
          <w:tcPr>
            <w:tcW w:w="18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$2,774,568 (3)</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$2,512,068 (6)</w:t>
            </w:r>
          </w:p>
        </w:tc>
        <w:tc>
          <w:tcPr>
            <w:tcW w:w="1160" w:type="dxa"/>
            <w:vAlign w:val="bottom"/>
            <w:gridSpan w:val="2"/>
          </w:tcPr>
          <w:p>
            <w:pPr>
              <w:jc w:val="center"/>
              <w:ind w:left="100"/>
              <w:spacing w:after="0"/>
              <w:rPr>
                <w:sz w:val="20"/>
                <w:szCs w:val="20"/>
                <w:color w:val="auto"/>
              </w:rPr>
            </w:pPr>
            <w:r>
              <w:rPr>
                <w:rFonts w:ascii="Arial" w:cs="Arial" w:eastAsia="Arial" w:hAnsi="Arial"/>
                <w:sz w:val="12"/>
                <w:szCs w:val="12"/>
                <w:color w:val="auto"/>
                <w:w w:val="86"/>
              </w:rPr>
              <w:t>$5,242,722</w:t>
            </w: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w w:val="95"/>
              </w:rPr>
              <w:t>Voluntary Termination Prior to</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24"/>
                <w:szCs w:val="24"/>
                <w:color w:val="auto"/>
              </w:rPr>
            </w:pPr>
          </w:p>
        </w:tc>
        <w:tc>
          <w:tcPr>
            <w:tcW w:w="940" w:type="dxa"/>
            <w:vAlign w:val="bottom"/>
          </w:tcPr>
          <w:p>
            <w:pPr>
              <w:ind w:left="3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Retirement</w:t>
            </w: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920" w:type="dxa"/>
            <w:vAlign w:val="bottom"/>
            <w:vMerge w:val="restart"/>
          </w:tcPr>
          <w:p>
            <w:pPr>
              <w:spacing w:after="0"/>
              <w:rPr>
                <w:sz w:val="20"/>
                <w:szCs w:val="20"/>
                <w:color w:val="auto"/>
              </w:rPr>
            </w:pPr>
            <w:r>
              <w:rPr>
                <w:rFonts w:ascii="Arial" w:cs="Arial" w:eastAsia="Arial" w:hAnsi="Arial"/>
                <w:sz w:val="15"/>
                <w:szCs w:val="15"/>
                <w:color w:val="auto"/>
              </w:rPr>
              <w:t>Involuntary Termination or</w:t>
            </w: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20" w:type="dxa"/>
            <w:vAlign w:val="bottom"/>
            <w:gridSpan w:val="2"/>
          </w:tcPr>
          <w:p>
            <w:pPr>
              <w:spacing w:after="0"/>
              <w:rPr>
                <w:sz w:val="9"/>
                <w:szCs w:val="9"/>
                <w:color w:val="auto"/>
              </w:rPr>
            </w:pPr>
          </w:p>
        </w:tc>
        <w:tc>
          <w:tcPr>
            <w:tcW w:w="1440" w:type="dxa"/>
            <w:vAlign w:val="bottom"/>
            <w:gridSpan w:val="2"/>
          </w:tcPr>
          <w:p>
            <w:pPr>
              <w:spacing w:after="0"/>
              <w:rPr>
                <w:sz w:val="9"/>
                <w:szCs w:val="9"/>
                <w:color w:val="auto"/>
              </w:rPr>
            </w:pPr>
          </w:p>
        </w:tc>
        <w:tc>
          <w:tcPr>
            <w:tcW w:w="1840" w:type="dxa"/>
            <w:vAlign w:val="bottom"/>
            <w:gridSpan w:val="2"/>
          </w:tcPr>
          <w:p>
            <w:pPr>
              <w:spacing w:after="0"/>
              <w:rPr>
                <w:sz w:val="9"/>
                <w:szCs w:val="9"/>
                <w:color w:val="auto"/>
              </w:rPr>
            </w:pPr>
          </w:p>
        </w:tc>
        <w:tc>
          <w:tcPr>
            <w:tcW w:w="1540" w:type="dxa"/>
            <w:vAlign w:val="bottom"/>
            <w:gridSpan w:val="2"/>
          </w:tcPr>
          <w:p>
            <w:pPr>
              <w:spacing w:after="0"/>
              <w:rPr>
                <w:sz w:val="9"/>
                <w:szCs w:val="9"/>
                <w:color w:val="auto"/>
              </w:rPr>
            </w:pPr>
          </w:p>
        </w:tc>
        <w:tc>
          <w:tcPr>
            <w:tcW w:w="1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80"/>
              <w:spacing w:after="0"/>
              <w:rPr>
                <w:sz w:val="20"/>
                <w:szCs w:val="20"/>
                <w:color w:val="auto"/>
              </w:rPr>
            </w:pPr>
            <w:r>
              <w:rPr>
                <w:rFonts w:ascii="Arial" w:cs="Arial" w:eastAsia="Arial" w:hAnsi="Arial"/>
                <w:sz w:val="12"/>
                <w:szCs w:val="12"/>
                <w:color w:val="auto"/>
              </w:rPr>
              <w:t>$0</w:t>
            </w:r>
          </w:p>
        </w:tc>
        <w:tc>
          <w:tcPr>
            <w:tcW w:w="14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$554,925</w:t>
            </w:r>
          </w:p>
        </w:tc>
        <w:tc>
          <w:tcPr>
            <w:tcW w:w="1840" w:type="dxa"/>
            <w:vAlign w:val="bottom"/>
            <w:gridSpan w:val="2"/>
          </w:tcPr>
          <w:p>
            <w:pPr>
              <w:jc w:val="center"/>
              <w:ind w:left="100"/>
              <w:spacing w:after="0"/>
              <w:rPr>
                <w:sz w:val="20"/>
                <w:szCs w:val="20"/>
                <w:color w:val="auto"/>
              </w:rPr>
            </w:pPr>
            <w:r>
              <w:rPr>
                <w:rFonts w:ascii="Arial" w:cs="Arial" w:eastAsia="Arial" w:hAnsi="Arial"/>
                <w:sz w:val="12"/>
                <w:szCs w:val="12"/>
                <w:color w:val="auto"/>
                <w:w w:val="87"/>
              </w:rPr>
              <w:t>$5,175,207 (7)</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$5,240,895 (2)</w:t>
            </w:r>
          </w:p>
        </w:tc>
        <w:tc>
          <w:tcPr>
            <w:tcW w:w="1160" w:type="dxa"/>
            <w:vAlign w:val="bottom"/>
            <w:gridSpan w:val="2"/>
          </w:tcPr>
          <w:p>
            <w:pPr>
              <w:jc w:val="center"/>
              <w:ind w:left="120"/>
              <w:spacing w:after="0"/>
              <w:rPr>
                <w:sz w:val="20"/>
                <w:szCs w:val="20"/>
                <w:color w:val="auto"/>
              </w:rPr>
            </w:pPr>
            <w:r>
              <w:rPr>
                <w:rFonts w:ascii="Arial" w:cs="Arial" w:eastAsia="Arial" w:hAnsi="Arial"/>
                <w:sz w:val="12"/>
                <w:szCs w:val="12"/>
                <w:color w:val="auto"/>
                <w:w w:val="86"/>
              </w:rPr>
              <w:t>$10,971,027</w:t>
            </w:r>
          </w:p>
        </w:tc>
        <w:tc>
          <w:tcPr>
            <w:tcW w:w="0" w:type="dxa"/>
            <w:vAlign w:val="bottom"/>
          </w:tcPr>
          <w:p>
            <w:pPr>
              <w:spacing w:after="0"/>
              <w:rPr>
                <w:sz w:val="1"/>
                <w:szCs w:val="1"/>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Resignation for Good Cause</w:t>
            </w:r>
          </w:p>
        </w:tc>
        <w:tc>
          <w:tcPr>
            <w:tcW w:w="220" w:type="dxa"/>
            <w:vAlign w:val="bottom"/>
          </w:tcPr>
          <w:p>
            <w:pPr>
              <w:spacing w:after="0"/>
              <w:rPr>
                <w:sz w:val="19"/>
                <w:szCs w:val="19"/>
                <w:color w:val="auto"/>
              </w:rPr>
            </w:pPr>
          </w:p>
        </w:tc>
        <w:tc>
          <w:tcPr>
            <w:tcW w:w="100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Following Change in Control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-3218180</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-3218180</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-3218180</wp:posOffset>
            </wp:positionV>
            <wp:extent cx="127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-3218180</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-3218180</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-3218180</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-3218180</wp:posOffset>
            </wp:positionV>
            <wp:extent cx="127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-3218180</wp:posOffset>
            </wp:positionV>
            <wp:extent cx="127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-3218180</wp:posOffset>
            </wp:positionV>
            <wp:extent cx="1270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-3218180</wp:posOffset>
            </wp:positionV>
            <wp:extent cx="1270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-3218180</wp:posOffset>
            </wp:positionV>
            <wp:extent cx="1270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-3218180</wp:posOffset>
            </wp:positionV>
            <wp:extent cx="127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-3218180</wp:posOffset>
            </wp:positionV>
            <wp:extent cx="1270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5845810</wp:posOffset>
            </wp:positionH>
            <wp:positionV relativeFrom="paragraph">
              <wp:posOffset>-3218180</wp:posOffset>
            </wp:positionV>
            <wp:extent cx="1270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-2801620</wp:posOffset>
            </wp:positionV>
            <wp:extent cx="127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-2801620</wp:posOffset>
            </wp:positionV>
            <wp:extent cx="127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-2524125</wp:posOffset>
            </wp:positionV>
            <wp:extent cx="1270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-2524125</wp:posOffset>
            </wp:positionV>
            <wp:extent cx="1270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-1975485</wp:posOffset>
            </wp:positionV>
            <wp:extent cx="127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-1975485</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-1975485</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-1975485</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17" w:lineRule="exact"/>
        <w:rPr>
          <w:sz w:val="20"/>
          <w:szCs w:val="20"/>
          <w:color w:val="auto"/>
        </w:rPr>
      </w:pPr>
    </w:p>
    <w:p>
      <w:pPr>
        <w:ind w:left="408" w:hanging="408"/>
        <w:spacing w:after="0"/>
        <w:tabs>
          <w:tab w:leader="none" w:pos="408"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Assumes Mr. Batten was employed the entire fiscal year, therefore is entitled to full bonus. This also assumes no discretionary component is paid.</w:t>
      </w:r>
    </w:p>
    <w:p>
      <w:pPr>
        <w:spacing w:after="0" w:line="299" w:lineRule="exact"/>
        <w:rPr>
          <w:rFonts w:ascii="Arial" w:cs="Arial" w:eastAsia="Arial" w:hAnsi="Arial"/>
          <w:sz w:val="15"/>
          <w:szCs w:val="15"/>
          <w:color w:val="auto"/>
        </w:rPr>
      </w:pPr>
    </w:p>
    <w:p>
      <w:pPr>
        <w:jc w:val="both"/>
        <w:ind w:left="408" w:right="799" w:hanging="408"/>
        <w:spacing w:after="0" w:line="268" w:lineRule="auto"/>
        <w:tabs>
          <w:tab w:leader="none" w:pos="408" w:val="left"/>
        </w:tabs>
        <w:numPr>
          <w:ilvl w:val="0"/>
          <w:numId w:val="30"/>
        </w:numPr>
        <w:rPr>
          <w:rFonts w:ascii="Arial" w:cs="Arial" w:eastAsia="Arial" w:hAnsi="Arial"/>
          <w:sz w:val="15"/>
          <w:szCs w:val="15"/>
          <w:color w:val="auto"/>
        </w:rPr>
      </w:pPr>
      <w:r>
        <w:rPr>
          <w:rFonts w:ascii="Arial" w:cs="Arial" w:eastAsia="Arial" w:hAnsi="Arial"/>
          <w:sz w:val="15"/>
          <w:szCs w:val="15"/>
          <w:color w:val="auto"/>
        </w:rPr>
        <w:t>Under the change in control severance agreement, Mr. Batten is entitled to 2.5 times his base salary plus his most recent bonus as a severance payment ($2,699,813), benefit continuation for 24 months ($29,014), and his benefits under his Supplemental Executive Retirement Plan, ($2,512,068) as he is retirement eligible.</w:t>
      </w:r>
    </w:p>
    <w:p>
      <w:pPr>
        <w:spacing w:after="0" w:line="251" w:lineRule="exact"/>
        <w:rPr>
          <w:rFonts w:ascii="Arial" w:cs="Arial" w:eastAsia="Arial" w:hAnsi="Arial"/>
          <w:sz w:val="15"/>
          <w:szCs w:val="15"/>
          <w:color w:val="auto"/>
        </w:rPr>
      </w:pPr>
    </w:p>
    <w:p>
      <w:pPr>
        <w:ind w:left="408" w:right="559" w:hanging="408"/>
        <w:spacing w:after="0" w:line="279" w:lineRule="auto"/>
        <w:tabs>
          <w:tab w:leader="none" w:pos="408"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reflects performance awards payable for the performance period ending June 30, 2008, valued at $20.93 per share or unit, the closing price of Twin Disc shares on June 30, 2008.</w:t>
      </w:r>
    </w:p>
    <w:p>
      <w:pPr>
        <w:spacing w:after="0" w:line="255" w:lineRule="exact"/>
        <w:rPr>
          <w:rFonts w:ascii="Arial" w:cs="Arial" w:eastAsia="Arial" w:hAnsi="Arial"/>
          <w:sz w:val="15"/>
          <w:szCs w:val="15"/>
          <w:color w:val="auto"/>
        </w:rPr>
      </w:pPr>
    </w:p>
    <w:p>
      <w:pPr>
        <w:ind w:left="408"/>
        <w:spacing w:after="0"/>
        <w:rPr>
          <w:rFonts w:ascii="Arial" w:cs="Arial" w:eastAsia="Arial" w:hAnsi="Arial"/>
          <w:sz w:val="15"/>
          <w:szCs w:val="15"/>
          <w:color w:val="auto"/>
        </w:rPr>
      </w:pPr>
      <w:r>
        <w:rPr>
          <w:rFonts w:ascii="Arial" w:cs="Arial" w:eastAsia="Arial" w:hAnsi="Arial"/>
          <w:sz w:val="15"/>
          <w:szCs w:val="15"/>
          <w:color w:val="auto"/>
        </w:rPr>
        <w:t>This assumes Mr. Batten was employed through June 30, 2008.</w:t>
      </w:r>
    </w:p>
    <w:p>
      <w:pPr>
        <w:spacing w:after="0" w:line="299" w:lineRule="exact"/>
        <w:rPr>
          <w:rFonts w:ascii="Arial" w:cs="Arial" w:eastAsia="Arial" w:hAnsi="Arial"/>
          <w:sz w:val="15"/>
          <w:szCs w:val="15"/>
          <w:color w:val="auto"/>
        </w:rPr>
      </w:pPr>
    </w:p>
    <w:p>
      <w:pPr>
        <w:ind w:left="408" w:right="299" w:hanging="408"/>
        <w:spacing w:after="0" w:line="228" w:lineRule="auto"/>
        <w:tabs>
          <w:tab w:leader="none" w:pos="408"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value was calculated by adding 100% of the performance awards payable for the performance period ending on June 30, 2008 (104,096) plus 2/3rds of the performance awards payable for the performance period ending June 30, 2009 (40,500) plus 1/3</w:t>
      </w:r>
      <w:r>
        <w:rPr>
          <w:rFonts w:ascii="Arial" w:cs="Arial" w:eastAsia="Arial" w:hAnsi="Arial"/>
          <w:sz w:val="29"/>
          <w:szCs w:val="29"/>
          <w:color w:val="auto"/>
          <w:vertAlign w:val="superscript"/>
        </w:rPr>
        <w:t>rd</w:t>
      </w:r>
      <w:r>
        <w:rPr>
          <w:rFonts w:ascii="Arial" w:cs="Arial" w:eastAsia="Arial" w:hAnsi="Arial"/>
          <w:sz w:val="15"/>
          <w:szCs w:val="15"/>
          <w:color w:val="auto"/>
        </w:rPr>
        <w:t xml:space="preserve"> of the awards payable for the performance period ending June 30, 2010 (30,314), assuming achievement of target performance levels. The total was multiplied by $20.93, the closing price of Twin Disc shares on June 30, 2008.</w:t>
      </w:r>
    </w:p>
    <w:p>
      <w:pPr>
        <w:spacing w:after="0" w:line="273" w:lineRule="exact"/>
        <w:rPr>
          <w:rFonts w:ascii="Arial" w:cs="Arial" w:eastAsia="Arial" w:hAnsi="Arial"/>
          <w:sz w:val="15"/>
          <w:szCs w:val="15"/>
          <w:color w:val="auto"/>
        </w:rPr>
      </w:pPr>
    </w:p>
    <w:p>
      <w:pPr>
        <w:ind w:left="408" w:right="319" w:hanging="408"/>
        <w:spacing w:after="0" w:line="279" w:lineRule="auto"/>
        <w:tabs>
          <w:tab w:leader="none" w:pos="408"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amount is the value of six months of benefits under the Company’s short-term disability program for salaried employees ($262,500) plus the value of Mr. Batten’s Supplemental Executive Retirement Plan benefits ($2,512,068), as he is currently retirement-eligible.</w:t>
      </w:r>
    </w:p>
    <w:p>
      <w:pPr>
        <w:spacing w:after="0" w:line="266" w:lineRule="exact"/>
        <w:rPr>
          <w:rFonts w:ascii="Arial" w:cs="Arial" w:eastAsia="Arial" w:hAnsi="Arial"/>
          <w:sz w:val="15"/>
          <w:szCs w:val="15"/>
          <w:color w:val="auto"/>
        </w:rPr>
      </w:pPr>
    </w:p>
    <w:p>
      <w:pPr>
        <w:ind w:left="408" w:hanging="408"/>
        <w:spacing w:after="0"/>
        <w:tabs>
          <w:tab w:leader="none" w:pos="40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amount consists of the present value of Mr. Batten’s Supplemental Executive Retirement Benefit Plan benefits. Mr. Batten is currently retirement eligible.</w:t>
      </w:r>
    </w:p>
    <w:p>
      <w:pPr>
        <w:spacing w:after="0" w:line="334" w:lineRule="exact"/>
        <w:rPr>
          <w:rFonts w:ascii="Arial" w:cs="Arial" w:eastAsia="Arial" w:hAnsi="Arial"/>
          <w:sz w:val="14"/>
          <w:szCs w:val="14"/>
          <w:color w:val="auto"/>
        </w:rPr>
      </w:pPr>
    </w:p>
    <w:p>
      <w:pPr>
        <w:ind w:left="408" w:right="299" w:hanging="408"/>
        <w:spacing w:after="0" w:line="262" w:lineRule="auto"/>
        <w:tabs>
          <w:tab w:leader="none" w:pos="408" w:val="left"/>
        </w:tabs>
        <w:numPr>
          <w:ilvl w:val="0"/>
          <w:numId w:val="30"/>
        </w:numPr>
        <w:rPr>
          <w:rFonts w:ascii="Arial" w:cs="Arial" w:eastAsia="Arial" w:hAnsi="Arial"/>
          <w:sz w:val="15"/>
          <w:szCs w:val="15"/>
          <w:color w:val="auto"/>
        </w:rPr>
      </w:pPr>
      <w:r>
        <w:rPr>
          <w:rFonts w:ascii="Arial" w:cs="Arial" w:eastAsia="Arial" w:hAnsi="Arial"/>
          <w:sz w:val="15"/>
          <w:szCs w:val="15"/>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The value of unexercised options is payable in cash. This amount represents the total of 189,073 outstanding performance stock and performance stock unit awards valued at $20.93, the closing price of Twin Disc shares on June 30, 2008. In addition, this figure includes 72,000 outstanding options, measured as if they were valued at the difference of $20.93 and their exercise price.</w:t>
      </w:r>
    </w:p>
    <w:p>
      <w:pPr>
        <w:spacing w:after="0" w:line="200" w:lineRule="exact"/>
        <w:rPr>
          <w:sz w:val="20"/>
          <w:szCs w:val="20"/>
          <w:color w:val="auto"/>
        </w:rPr>
      </w:pPr>
    </w:p>
    <w:p>
      <w:pPr>
        <w:spacing w:after="0" w:line="228"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Christopher J. Eperjesy</w:t>
      </w:r>
    </w:p>
    <w:p>
      <w:pPr>
        <w:spacing w:after="0" w:line="200" w:lineRule="exact"/>
        <w:rPr>
          <w:sz w:val="20"/>
          <w:szCs w:val="20"/>
          <w:color w:val="auto"/>
        </w:rPr>
      </w:pPr>
    </w:p>
    <w:p>
      <w:pPr>
        <w:spacing w:after="0" w:line="300"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1"/>
              </w:rPr>
              <w:t>Value of Accelerated</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Restricted Stock,</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gridSpan w:val="2"/>
          </w:tcPr>
          <w:p>
            <w:pPr>
              <w:jc w:val="right"/>
              <w:ind w:right="511"/>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Performance Stock,</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Termination Event</w:t>
            </w:r>
          </w:p>
        </w:tc>
        <w:tc>
          <w:tcPr>
            <w:tcW w:w="22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5"/>
                <w:szCs w:val="15"/>
                <w:color w:val="auto"/>
                <w:w w:val="91"/>
              </w:rPr>
              <w:t>Base Salary</w:t>
            </w:r>
          </w:p>
        </w:tc>
        <w:tc>
          <w:tcPr>
            <w:tcW w:w="22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Arial" w:cs="Arial" w:eastAsia="Arial" w:hAnsi="Arial"/>
                <w:sz w:val="15"/>
                <w:szCs w:val="15"/>
                <w:color w:val="auto"/>
              </w:rPr>
              <w:t>Bonus</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4"/>
              </w:rPr>
              <w:t>Non-Equity</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Performance Stock</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91"/>
              </w:rPr>
              <w:t>Other Benefits</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89"/>
              </w:rPr>
              <w:t>Total</w:t>
            </w:r>
          </w:p>
        </w:tc>
      </w:tr>
      <w:tr>
        <w:trPr>
          <w:trHeight w:val="219"/>
        </w:trPr>
        <w:tc>
          <w:tcPr>
            <w:tcW w:w="1920" w:type="dxa"/>
            <w:vAlign w:val="bottom"/>
          </w:tcPr>
          <w:p>
            <w:pPr>
              <w:spacing w:after="0"/>
              <w:rPr>
                <w:sz w:val="19"/>
                <w:szCs w:val="19"/>
                <w:color w:val="auto"/>
              </w:rPr>
            </w:pPr>
          </w:p>
        </w:tc>
        <w:tc>
          <w:tcPr>
            <w:tcW w:w="1120" w:type="dxa"/>
            <w:vAlign w:val="bottom"/>
            <w:gridSpan w:val="2"/>
          </w:tcPr>
          <w:p>
            <w:pPr>
              <w:jc w:val="right"/>
              <w:ind w:right="294"/>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1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1"/>
              </w:rPr>
              <w:t>Units, and Stock</w:t>
            </w:r>
          </w:p>
        </w:tc>
        <w:tc>
          <w:tcPr>
            <w:tcW w:w="1440" w:type="dxa"/>
            <w:vAlign w:val="bottom"/>
            <w:gridSpan w:val="2"/>
          </w:tcPr>
          <w:p>
            <w:pPr>
              <w:jc w:val="right"/>
              <w:ind w:right="474"/>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474"/>
              <w:spacing w:after="0"/>
              <w:rPr>
                <w:sz w:val="20"/>
                <w:szCs w:val="20"/>
                <w:color w:val="auto"/>
              </w:rPr>
            </w:pPr>
            <w:r>
              <w:rPr>
                <w:rFonts w:ascii="Arial" w:cs="Arial" w:eastAsia="Arial" w:hAnsi="Arial"/>
                <w:sz w:val="15"/>
                <w:szCs w:val="15"/>
                <w:color w:val="auto"/>
              </w:rPr>
              <w:t>($)</w:t>
            </w: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gridSpan w:val="2"/>
          </w:tcPr>
          <w:p>
            <w:pPr>
              <w:jc w:val="center"/>
              <w:ind w:left="85"/>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2"/>
              </w:rPr>
              <w:t>Options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40" w:type="dxa"/>
            <w:vAlign w:val="bottom"/>
            <w:gridSpan w:val="2"/>
          </w:tcPr>
          <w:p>
            <w:pPr>
              <w:jc w:val="center"/>
              <w:ind w:left="145"/>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24"/>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523"/>
        </w:trPr>
        <w:tc>
          <w:tcPr>
            <w:tcW w:w="1920" w:type="dxa"/>
            <w:vAlign w:val="bottom"/>
          </w:tcPr>
          <w:p>
            <w:pPr>
              <w:spacing w:after="0"/>
              <w:rPr>
                <w:sz w:val="20"/>
                <w:szCs w:val="20"/>
                <w:color w:val="auto"/>
              </w:rPr>
            </w:pPr>
            <w:r>
              <w:rPr>
                <w:rFonts w:ascii="Arial" w:cs="Arial" w:eastAsia="Arial" w:hAnsi="Arial"/>
                <w:sz w:val="15"/>
                <w:szCs w:val="15"/>
                <w:color w:val="auto"/>
              </w:rPr>
              <w:t>Normal Retirement prior to a</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90"/>
              </w:rPr>
              <w:t>Not Eligible on</w:t>
            </w:r>
          </w:p>
        </w:tc>
        <w:tc>
          <w:tcPr>
            <w:tcW w:w="2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2"/>
                <w:szCs w:val="12"/>
                <w:color w:val="auto"/>
              </w:rPr>
              <w:t>Not Eligible on</w:t>
            </w:r>
          </w:p>
        </w:tc>
        <w:tc>
          <w:tcPr>
            <w:tcW w:w="2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w w:val="91"/>
              </w:rPr>
              <w:t>Not Eligible on 6/30/08</w:t>
            </w:r>
          </w:p>
        </w:tc>
        <w:tc>
          <w:tcPr>
            <w:tcW w:w="22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Arial" w:cs="Arial" w:eastAsia="Arial" w:hAnsi="Arial"/>
                <w:sz w:val="12"/>
                <w:szCs w:val="12"/>
                <w:color w:val="auto"/>
              </w:rPr>
              <w:t>Not Eligible on 6/30/08</w:t>
            </w:r>
          </w:p>
        </w:tc>
        <w:tc>
          <w:tcPr>
            <w:tcW w:w="2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2"/>
                <w:szCs w:val="12"/>
                <w:color w:val="auto"/>
                <w:w w:val="96"/>
              </w:rPr>
              <w:t>Not Eligible on 6/30/08</w:t>
            </w:r>
          </w:p>
        </w:tc>
        <w:tc>
          <w:tcPr>
            <w:tcW w:w="2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2"/>
                <w:szCs w:val="12"/>
                <w:color w:val="auto"/>
                <w:w w:val="97"/>
              </w:rPr>
              <w:t>Not Eligible on 6/30/08</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Change in Control</w:t>
            </w:r>
          </w:p>
        </w:tc>
        <w:tc>
          <w:tcPr>
            <w:tcW w:w="1120" w:type="dxa"/>
            <w:vAlign w:val="bottom"/>
            <w:gridSpan w:val="2"/>
          </w:tcPr>
          <w:p>
            <w:pPr>
              <w:jc w:val="right"/>
              <w:ind w:right="234"/>
              <w:spacing w:after="0"/>
              <w:rPr>
                <w:sz w:val="20"/>
                <w:szCs w:val="20"/>
                <w:color w:val="auto"/>
              </w:rPr>
            </w:pPr>
            <w:r>
              <w:rPr>
                <w:rFonts w:ascii="Arial" w:cs="Arial" w:eastAsia="Arial" w:hAnsi="Arial"/>
                <w:sz w:val="12"/>
                <w:szCs w:val="12"/>
                <w:color w:val="auto"/>
              </w:rPr>
              <w:t>6/30/08</w:t>
            </w:r>
          </w:p>
        </w:tc>
        <w:tc>
          <w:tcPr>
            <w:tcW w:w="1140" w:type="dxa"/>
            <w:vAlign w:val="bottom"/>
            <w:gridSpan w:val="2"/>
          </w:tcPr>
          <w:p>
            <w:pPr>
              <w:ind w:left="480"/>
              <w:spacing w:after="0"/>
              <w:rPr>
                <w:sz w:val="20"/>
                <w:szCs w:val="20"/>
                <w:color w:val="auto"/>
              </w:rPr>
            </w:pPr>
            <w:r>
              <w:rPr>
                <w:rFonts w:ascii="Arial" w:cs="Arial" w:eastAsia="Arial" w:hAnsi="Arial"/>
                <w:sz w:val="12"/>
                <w:szCs w:val="12"/>
                <w:color w:val="auto"/>
              </w:rPr>
              <w:t>6/30/08</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3"/>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-700405</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-700405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-700405</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-700405</wp:posOffset>
            </wp:positionV>
            <wp:extent cx="127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-700405</wp:posOffset>
            </wp:positionV>
            <wp:extent cx="127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-700405</wp:posOffset>
            </wp:positionV>
            <wp:extent cx="1270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-700405</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-700405</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-700405</wp:posOffset>
            </wp:positionV>
            <wp:extent cx="127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-700405</wp:posOffset>
            </wp:positionV>
            <wp:extent cx="127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-700405</wp:posOffset>
            </wp:positionV>
            <wp:extent cx="127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-700405</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-700405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-700405</wp:posOffset>
            </wp:positionV>
            <wp:extent cx="127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-13335</wp:posOffset>
            </wp:positionV>
            <wp:extent cx="127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-13335</wp:posOffset>
            </wp:positionV>
            <wp:extent cx="1270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27"/>
          </w:cols>
          <w:pgMar w:left="232" w:top="132" w:right="1440" w:bottom="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5"/>
                <w:szCs w:val="15"/>
                <w:color w:val="auto"/>
              </w:rPr>
              <w:t>Death</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$207,625</w:t>
            </w:r>
          </w:p>
        </w:tc>
        <w:tc>
          <w:tcPr>
            <w:tcW w:w="1640" w:type="dxa"/>
            <w:vAlign w:val="bottom"/>
            <w:gridSpan w:val="2"/>
          </w:tcPr>
          <w:p>
            <w:pPr>
              <w:jc w:val="center"/>
              <w:ind w:left="102"/>
              <w:spacing w:after="0"/>
              <w:rPr>
                <w:sz w:val="20"/>
                <w:szCs w:val="20"/>
                <w:color w:val="auto"/>
              </w:rPr>
            </w:pPr>
            <w:r>
              <w:rPr>
                <w:rFonts w:ascii="Arial" w:cs="Arial" w:eastAsia="Arial" w:hAnsi="Arial"/>
                <w:sz w:val="12"/>
                <w:szCs w:val="12"/>
                <w:color w:val="auto"/>
                <w:w w:val="88"/>
              </w:rPr>
              <w:t>$803,461 (3)</w:t>
            </w:r>
          </w:p>
        </w:tc>
        <w:tc>
          <w:tcPr>
            <w:tcW w:w="1440" w:type="dxa"/>
            <w:vAlign w:val="bottom"/>
            <w:gridSpan w:val="2"/>
          </w:tcPr>
          <w:p>
            <w:pPr>
              <w:jc w:val="center"/>
              <w:ind w:left="102"/>
              <w:spacing w:after="0"/>
              <w:rPr>
                <w:sz w:val="20"/>
                <w:szCs w:val="20"/>
                <w:color w:val="auto"/>
              </w:rPr>
            </w:pPr>
            <w:r>
              <w:rPr>
                <w:rFonts w:ascii="Arial" w:cs="Arial" w:eastAsia="Arial" w:hAnsi="Arial"/>
                <w:sz w:val="12"/>
                <w:szCs w:val="12"/>
                <w:color w:val="auto"/>
                <w:w w:val="89"/>
              </w:rPr>
              <w:t>$0</w:t>
            </w:r>
          </w:p>
        </w:tc>
        <w:tc>
          <w:tcPr>
            <w:tcW w:w="1460" w:type="dxa"/>
            <w:vAlign w:val="bottom"/>
            <w:gridSpan w:val="2"/>
          </w:tcPr>
          <w:p>
            <w:pPr>
              <w:jc w:val="center"/>
              <w:ind w:left="102"/>
              <w:spacing w:after="0"/>
              <w:rPr>
                <w:sz w:val="20"/>
                <w:szCs w:val="20"/>
                <w:color w:val="auto"/>
              </w:rPr>
            </w:pPr>
            <w:r>
              <w:rPr>
                <w:rFonts w:ascii="Arial" w:cs="Arial" w:eastAsia="Arial" w:hAnsi="Arial"/>
                <w:sz w:val="12"/>
                <w:szCs w:val="12"/>
                <w:color w:val="auto"/>
                <w:w w:val="83"/>
              </w:rPr>
              <w:t>$1,011,086</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Disability</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$207,625</w:t>
            </w:r>
          </w:p>
        </w:tc>
        <w:tc>
          <w:tcPr>
            <w:tcW w:w="1640" w:type="dxa"/>
            <w:vAlign w:val="bottom"/>
            <w:gridSpan w:val="2"/>
          </w:tcPr>
          <w:p>
            <w:pPr>
              <w:jc w:val="center"/>
              <w:ind w:left="102"/>
              <w:spacing w:after="0"/>
              <w:rPr>
                <w:sz w:val="20"/>
                <w:szCs w:val="20"/>
                <w:color w:val="auto"/>
              </w:rPr>
            </w:pPr>
            <w:r>
              <w:rPr>
                <w:rFonts w:ascii="Arial" w:cs="Arial" w:eastAsia="Arial" w:hAnsi="Arial"/>
                <w:sz w:val="12"/>
                <w:szCs w:val="12"/>
                <w:color w:val="auto"/>
                <w:w w:val="88"/>
              </w:rPr>
              <w:t>$803,461 (3)</w:t>
            </w:r>
          </w:p>
        </w:tc>
        <w:tc>
          <w:tcPr>
            <w:tcW w:w="1440" w:type="dxa"/>
            <w:vAlign w:val="bottom"/>
            <w:gridSpan w:val="2"/>
          </w:tcPr>
          <w:p>
            <w:pPr>
              <w:jc w:val="center"/>
              <w:ind w:left="102"/>
              <w:spacing w:after="0"/>
              <w:rPr>
                <w:sz w:val="20"/>
                <w:szCs w:val="20"/>
                <w:color w:val="auto"/>
              </w:rPr>
            </w:pPr>
            <w:r>
              <w:rPr>
                <w:rFonts w:ascii="Arial" w:cs="Arial" w:eastAsia="Arial" w:hAnsi="Arial"/>
                <w:sz w:val="12"/>
                <w:szCs w:val="12"/>
                <w:color w:val="auto"/>
                <w:w w:val="88"/>
              </w:rPr>
              <w:t>$111,084 (4)</w:t>
            </w:r>
          </w:p>
        </w:tc>
        <w:tc>
          <w:tcPr>
            <w:tcW w:w="1460" w:type="dxa"/>
            <w:vAlign w:val="bottom"/>
            <w:gridSpan w:val="2"/>
          </w:tcPr>
          <w:p>
            <w:pPr>
              <w:jc w:val="center"/>
              <w:ind w:left="102"/>
              <w:spacing w:after="0"/>
              <w:rPr>
                <w:sz w:val="20"/>
                <w:szCs w:val="20"/>
                <w:color w:val="auto"/>
              </w:rPr>
            </w:pPr>
            <w:r>
              <w:rPr>
                <w:rFonts w:ascii="Arial" w:cs="Arial" w:eastAsia="Arial" w:hAnsi="Arial"/>
                <w:sz w:val="12"/>
                <w:szCs w:val="12"/>
                <w:color w:val="auto"/>
                <w:w w:val="83"/>
              </w:rPr>
              <w:t>$1,122,170</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5"/>
                <w:szCs w:val="15"/>
                <w:color w:val="auto"/>
              </w:rPr>
              <w:t>Termination for Cause</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$207,625</w:t>
            </w:r>
          </w:p>
        </w:tc>
        <w:tc>
          <w:tcPr>
            <w:tcW w:w="1640" w:type="dxa"/>
            <w:vAlign w:val="bottom"/>
            <w:gridSpan w:val="2"/>
          </w:tcPr>
          <w:p>
            <w:pPr>
              <w:jc w:val="center"/>
              <w:ind w:left="102"/>
              <w:spacing w:after="0"/>
              <w:rPr>
                <w:sz w:val="20"/>
                <w:szCs w:val="20"/>
                <w:color w:val="auto"/>
              </w:rPr>
            </w:pPr>
            <w:r>
              <w:rPr>
                <w:rFonts w:ascii="Arial" w:cs="Arial" w:eastAsia="Arial" w:hAnsi="Arial"/>
                <w:sz w:val="12"/>
                <w:szCs w:val="12"/>
                <w:color w:val="auto"/>
                <w:w w:val="88"/>
              </w:rPr>
              <w:t>$334,880 (2)</w:t>
            </w:r>
          </w:p>
        </w:tc>
        <w:tc>
          <w:tcPr>
            <w:tcW w:w="1440" w:type="dxa"/>
            <w:vAlign w:val="bottom"/>
            <w:gridSpan w:val="2"/>
          </w:tcPr>
          <w:p>
            <w:pPr>
              <w:jc w:val="center"/>
              <w:ind w:left="102"/>
              <w:spacing w:after="0"/>
              <w:rPr>
                <w:sz w:val="20"/>
                <w:szCs w:val="20"/>
                <w:color w:val="auto"/>
              </w:rPr>
            </w:pPr>
            <w:r>
              <w:rPr>
                <w:rFonts w:ascii="Arial" w:cs="Arial" w:eastAsia="Arial" w:hAnsi="Arial"/>
                <w:sz w:val="12"/>
                <w:szCs w:val="12"/>
                <w:color w:val="auto"/>
                <w:w w:val="89"/>
              </w:rPr>
              <w:t>$0</w:t>
            </w:r>
          </w:p>
        </w:tc>
        <w:tc>
          <w:tcPr>
            <w:tcW w:w="1460" w:type="dxa"/>
            <w:vAlign w:val="bottom"/>
            <w:gridSpan w:val="2"/>
          </w:tcPr>
          <w:p>
            <w:pPr>
              <w:jc w:val="center"/>
              <w:ind w:left="102"/>
              <w:spacing w:after="0"/>
              <w:rPr>
                <w:sz w:val="20"/>
                <w:szCs w:val="20"/>
                <w:color w:val="auto"/>
              </w:rPr>
            </w:pPr>
            <w:r>
              <w:rPr>
                <w:rFonts w:ascii="Arial" w:cs="Arial" w:eastAsia="Arial" w:hAnsi="Arial"/>
                <w:sz w:val="12"/>
                <w:szCs w:val="12"/>
                <w:color w:val="auto"/>
                <w:w w:val="83"/>
              </w:rPr>
              <w:t>$542,505</w:t>
            </w:r>
          </w:p>
        </w:tc>
      </w:tr>
      <w:tr>
        <w:trPr>
          <w:trHeight w:val="209"/>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w w:val="95"/>
              </w:rPr>
              <w:t>Voluntary Termination Prior to</w:t>
            </w:r>
          </w:p>
        </w:tc>
        <w:tc>
          <w:tcPr>
            <w:tcW w:w="2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2"/>
                <w:szCs w:val="12"/>
                <w:color w:val="auto"/>
                <w:w w:val="95"/>
              </w:rPr>
              <w:t>Paid through last</w:t>
            </w: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$207,625</w:t>
            </w:r>
          </w:p>
        </w:tc>
        <w:tc>
          <w:tcPr>
            <w:tcW w:w="1640" w:type="dxa"/>
            <w:vAlign w:val="bottom"/>
            <w:gridSpan w:val="2"/>
          </w:tcPr>
          <w:p>
            <w:pPr>
              <w:jc w:val="center"/>
              <w:ind w:left="102"/>
              <w:spacing w:after="0"/>
              <w:rPr>
                <w:sz w:val="20"/>
                <w:szCs w:val="20"/>
                <w:color w:val="auto"/>
              </w:rPr>
            </w:pPr>
            <w:r>
              <w:rPr>
                <w:rFonts w:ascii="Arial" w:cs="Arial" w:eastAsia="Arial" w:hAnsi="Arial"/>
                <w:sz w:val="12"/>
                <w:szCs w:val="12"/>
                <w:color w:val="auto"/>
                <w:w w:val="88"/>
              </w:rPr>
              <w:t>$334,880 (2)</w:t>
            </w:r>
          </w:p>
        </w:tc>
        <w:tc>
          <w:tcPr>
            <w:tcW w:w="1440" w:type="dxa"/>
            <w:vAlign w:val="bottom"/>
            <w:gridSpan w:val="2"/>
          </w:tcPr>
          <w:p>
            <w:pPr>
              <w:jc w:val="center"/>
              <w:ind w:left="102"/>
              <w:spacing w:after="0"/>
              <w:rPr>
                <w:sz w:val="20"/>
                <w:szCs w:val="20"/>
                <w:color w:val="auto"/>
              </w:rPr>
            </w:pPr>
            <w:r>
              <w:rPr>
                <w:rFonts w:ascii="Arial" w:cs="Arial" w:eastAsia="Arial" w:hAnsi="Arial"/>
                <w:sz w:val="12"/>
                <w:szCs w:val="12"/>
                <w:color w:val="auto"/>
                <w:w w:val="89"/>
              </w:rPr>
              <w:t>$0</w:t>
            </w:r>
          </w:p>
        </w:tc>
        <w:tc>
          <w:tcPr>
            <w:tcW w:w="1460" w:type="dxa"/>
            <w:vAlign w:val="bottom"/>
            <w:gridSpan w:val="2"/>
          </w:tcPr>
          <w:p>
            <w:pPr>
              <w:jc w:val="center"/>
              <w:ind w:left="102"/>
              <w:spacing w:after="0"/>
              <w:rPr>
                <w:sz w:val="20"/>
                <w:szCs w:val="20"/>
                <w:color w:val="auto"/>
              </w:rPr>
            </w:pPr>
            <w:r>
              <w:rPr>
                <w:rFonts w:ascii="Arial" w:cs="Arial" w:eastAsia="Arial" w:hAnsi="Arial"/>
                <w:sz w:val="12"/>
                <w:szCs w:val="12"/>
                <w:color w:val="auto"/>
                <w:w w:val="83"/>
              </w:rPr>
              <w:t>$542,505</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Retirement</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Involuntary Termination or</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140" w:type="dxa"/>
            <w:vAlign w:val="bottom"/>
            <w:gridSpan w:val="2"/>
          </w:tcPr>
          <w:p>
            <w:pPr>
              <w:jc w:val="right"/>
              <w:ind w:right="420"/>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$207,625</w:t>
            </w:r>
          </w:p>
        </w:tc>
        <w:tc>
          <w:tcPr>
            <w:tcW w:w="1640" w:type="dxa"/>
            <w:vAlign w:val="bottom"/>
            <w:gridSpan w:val="2"/>
          </w:tcPr>
          <w:p>
            <w:pPr>
              <w:jc w:val="center"/>
              <w:ind w:left="102"/>
              <w:spacing w:after="0"/>
              <w:rPr>
                <w:sz w:val="20"/>
                <w:szCs w:val="20"/>
                <w:color w:val="auto"/>
              </w:rPr>
            </w:pPr>
            <w:r>
              <w:rPr>
                <w:rFonts w:ascii="Arial" w:cs="Arial" w:eastAsia="Arial" w:hAnsi="Arial"/>
                <w:sz w:val="12"/>
                <w:szCs w:val="12"/>
                <w:color w:val="auto"/>
                <w:w w:val="87"/>
              </w:rPr>
              <w:t>$1,297,660 (6)</w:t>
            </w:r>
          </w:p>
        </w:tc>
        <w:tc>
          <w:tcPr>
            <w:tcW w:w="1440" w:type="dxa"/>
            <w:vAlign w:val="bottom"/>
            <w:gridSpan w:val="2"/>
          </w:tcPr>
          <w:p>
            <w:pPr>
              <w:jc w:val="center"/>
              <w:ind w:left="102"/>
              <w:spacing w:after="0"/>
              <w:rPr>
                <w:sz w:val="20"/>
                <w:szCs w:val="20"/>
                <w:color w:val="auto"/>
              </w:rPr>
            </w:pPr>
            <w:r>
              <w:rPr>
                <w:rFonts w:ascii="Arial" w:cs="Arial" w:eastAsia="Arial" w:hAnsi="Arial"/>
                <w:sz w:val="12"/>
                <w:szCs w:val="12"/>
                <w:color w:val="auto"/>
                <w:w w:val="88"/>
              </w:rPr>
              <w:t>$978,950 (5)</w:t>
            </w:r>
          </w:p>
        </w:tc>
        <w:tc>
          <w:tcPr>
            <w:tcW w:w="1460" w:type="dxa"/>
            <w:vAlign w:val="bottom"/>
            <w:gridSpan w:val="2"/>
          </w:tcPr>
          <w:p>
            <w:pPr>
              <w:jc w:val="center"/>
              <w:ind w:left="102"/>
              <w:spacing w:after="0"/>
              <w:rPr>
                <w:sz w:val="20"/>
                <w:szCs w:val="20"/>
                <w:color w:val="auto"/>
              </w:rPr>
            </w:pPr>
            <w:r>
              <w:rPr>
                <w:rFonts w:ascii="Arial" w:cs="Arial" w:eastAsia="Arial" w:hAnsi="Arial"/>
                <w:sz w:val="12"/>
                <w:szCs w:val="12"/>
                <w:color w:val="auto"/>
                <w:w w:val="83"/>
              </w:rPr>
              <w:t>$2,484,235</w:t>
            </w: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Resignation for Good Cause</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Following Change in Control</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25" w:lineRule="exact"/>
        <w:rPr>
          <w:sz w:val="20"/>
          <w:szCs w:val="20"/>
          <w:color w:val="auto"/>
        </w:rPr>
      </w:pPr>
    </w:p>
    <w:p>
      <w:pPr>
        <w:ind w:left="408" w:hanging="408"/>
        <w:spacing w:after="0"/>
        <w:tabs>
          <w:tab w:leader="none" w:pos="4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Assumes Mr. Eperjesy was employed the entire fiscal year, therefore is entitled to full bonus. This also assumes no discretionary component is paid.</w:t>
      </w:r>
    </w:p>
    <w:p>
      <w:pPr>
        <w:spacing w:after="0" w:line="253" w:lineRule="exact"/>
        <w:rPr>
          <w:rFonts w:ascii="Arial" w:cs="Arial" w:eastAsia="Arial" w:hAnsi="Arial"/>
          <w:sz w:val="15"/>
          <w:szCs w:val="15"/>
          <w:color w:val="auto"/>
        </w:rPr>
      </w:pPr>
    </w:p>
    <w:p>
      <w:pPr>
        <w:ind w:left="408" w:hanging="408"/>
        <w:spacing w:after="0" w:line="279" w:lineRule="auto"/>
        <w:tabs>
          <w:tab w:leader="none" w:pos="4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amount reflects performance awards payable for the performance period ending June 30, 2008, valued at $20.93 per share or unit, the closing price of Twin Disc shares on June 30, 2008.</w:t>
      </w:r>
    </w:p>
    <w:p>
      <w:pPr>
        <w:spacing w:after="0" w:line="209" w:lineRule="exact"/>
        <w:rPr>
          <w:rFonts w:ascii="Arial" w:cs="Arial" w:eastAsia="Arial" w:hAnsi="Arial"/>
          <w:sz w:val="15"/>
          <w:szCs w:val="15"/>
          <w:color w:val="auto"/>
        </w:rPr>
      </w:pPr>
    </w:p>
    <w:p>
      <w:pPr>
        <w:ind w:left="408"/>
        <w:spacing w:after="0"/>
        <w:rPr>
          <w:rFonts w:ascii="Arial" w:cs="Arial" w:eastAsia="Arial" w:hAnsi="Arial"/>
          <w:sz w:val="15"/>
          <w:szCs w:val="15"/>
          <w:color w:val="auto"/>
        </w:rPr>
      </w:pPr>
      <w:r>
        <w:rPr>
          <w:rFonts w:ascii="Arial" w:cs="Arial" w:eastAsia="Arial" w:hAnsi="Arial"/>
          <w:sz w:val="15"/>
          <w:szCs w:val="15"/>
          <w:color w:val="auto"/>
        </w:rPr>
        <w:t>This assumes Mr. Eperjesy was employed through June 30, 2008.</w:t>
      </w:r>
    </w:p>
    <w:p>
      <w:pPr>
        <w:spacing w:after="0" w:line="253" w:lineRule="exact"/>
        <w:rPr>
          <w:rFonts w:ascii="Arial" w:cs="Arial" w:eastAsia="Arial" w:hAnsi="Arial"/>
          <w:sz w:val="15"/>
          <w:szCs w:val="15"/>
          <w:color w:val="auto"/>
        </w:rPr>
      </w:pPr>
    </w:p>
    <w:p>
      <w:pPr>
        <w:ind w:left="408" w:right="100" w:hanging="408"/>
        <w:spacing w:after="0" w:line="246" w:lineRule="auto"/>
        <w:tabs>
          <w:tab w:leader="none" w:pos="408"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amount was calculated by adding 100% of the performance stock and performance stock unit awards payable for the performance period ending June 30, 2008 (16,000) plus 2/3rds of the awards payable for the performance period ending June 30, 2009 (12,563) plus 1/3</w:t>
      </w:r>
      <w:r>
        <w:rPr>
          <w:rFonts w:ascii="Arial" w:cs="Arial" w:eastAsia="Arial" w:hAnsi="Arial"/>
          <w:sz w:val="27"/>
          <w:szCs w:val="27"/>
          <w:color w:val="auto"/>
          <w:vertAlign w:val="superscript"/>
        </w:rPr>
        <w:t>rd</w:t>
      </w:r>
      <w:r>
        <w:rPr>
          <w:rFonts w:ascii="Arial" w:cs="Arial" w:eastAsia="Arial" w:hAnsi="Arial"/>
          <w:sz w:val="14"/>
          <w:szCs w:val="14"/>
          <w:color w:val="auto"/>
        </w:rPr>
        <w:t xml:space="preserve"> of the awards payable for the performance period ending June 30, 2010 (3,825), assuming achievement of target performance levels. In addition, Mr. Eperjesy has 6,000 shares of restricted stock that vest at death or disability. The total number of shares was multiplied by $20.93, the closing price of Twin Disc shares on June 30, 2008.</w:t>
      </w:r>
    </w:p>
    <w:p>
      <w:pPr>
        <w:spacing w:after="0" w:line="234" w:lineRule="exact"/>
        <w:rPr>
          <w:rFonts w:ascii="Arial" w:cs="Arial" w:eastAsia="Arial" w:hAnsi="Arial"/>
          <w:sz w:val="14"/>
          <w:szCs w:val="14"/>
          <w:color w:val="auto"/>
        </w:rPr>
      </w:pPr>
    </w:p>
    <w:p>
      <w:pPr>
        <w:ind w:left="408" w:hanging="408"/>
        <w:spacing w:after="0"/>
        <w:tabs>
          <w:tab w:leader="none" w:pos="4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This amount is the value of six months of benefits under the Company’s short-term disability program for Salaried employees.</w:t>
      </w:r>
    </w:p>
    <w:p>
      <w:pPr>
        <w:spacing w:after="0" w:line="253" w:lineRule="exact"/>
        <w:rPr>
          <w:rFonts w:ascii="Arial" w:cs="Arial" w:eastAsia="Arial" w:hAnsi="Arial"/>
          <w:sz w:val="15"/>
          <w:szCs w:val="15"/>
          <w:color w:val="auto"/>
        </w:rPr>
      </w:pPr>
    </w:p>
    <w:p>
      <w:pPr>
        <w:ind w:left="408" w:right="20" w:hanging="408"/>
        <w:spacing w:after="0" w:line="279" w:lineRule="auto"/>
        <w:tabs>
          <w:tab w:leader="none" w:pos="4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Under the change in control severance agreement, Mr. Eperjesy is entitled to 2.0 times his base salary plus his most recent bonus as a severance payment ($965,250), plus benefit continuation ($13,700) for 24 months.</w:t>
      </w:r>
    </w:p>
    <w:p>
      <w:pPr>
        <w:spacing w:after="0" w:line="197" w:lineRule="exact"/>
        <w:rPr>
          <w:rFonts w:ascii="Arial" w:cs="Arial" w:eastAsia="Arial" w:hAnsi="Arial"/>
          <w:sz w:val="15"/>
          <w:szCs w:val="15"/>
          <w:color w:val="auto"/>
        </w:rPr>
      </w:pPr>
    </w:p>
    <w:p>
      <w:pPr>
        <w:ind w:left="408" w:hanging="408"/>
        <w:spacing w:after="0" w:line="264" w:lineRule="auto"/>
        <w:tabs>
          <w:tab w:leader="none" w:pos="408" w:val="left"/>
        </w:tabs>
        <w:numPr>
          <w:ilvl w:val="0"/>
          <w:numId w:val="31"/>
        </w:numPr>
        <w:rPr>
          <w:rFonts w:ascii="Arial" w:cs="Arial" w:eastAsia="Arial" w:hAnsi="Arial"/>
          <w:sz w:val="15"/>
          <w:szCs w:val="15"/>
          <w:color w:val="auto"/>
        </w:rPr>
      </w:pPr>
      <w:r>
        <w:rPr>
          <w:rFonts w:ascii="Arial" w:cs="Arial" w:eastAsia="Arial" w:hAnsi="Arial"/>
          <w:sz w:val="15"/>
          <w:szCs w:val="15"/>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This amount represents the total of 62,000 outstanding shares and units, which consists of restricted shares (6,000) and performance stock and performance stock unit awards (56,000) valued at $20.93, the closing price of Twin Disc shares on June 30, 2008.</w:t>
      </w:r>
    </w:p>
    <w:p>
      <w:pPr>
        <w:spacing w:after="0" w:line="392"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James E. Feiertag</w:t>
      </w:r>
    </w:p>
    <w:p>
      <w:pPr>
        <w:spacing w:after="0" w:line="200" w:lineRule="exact"/>
        <w:rPr>
          <w:sz w:val="20"/>
          <w:szCs w:val="20"/>
          <w:color w:val="auto"/>
        </w:rPr>
      </w:pPr>
    </w:p>
    <w:p>
      <w:pPr>
        <w:spacing w:after="0" w:line="300"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20" w:type="dxa"/>
            <w:vAlign w:val="bottom"/>
            <w:gridSpan w:val="2"/>
          </w:tcPr>
          <w:p>
            <w:pPr>
              <w:jc w:val="center"/>
              <w:ind w:left="158"/>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89"/>
              </w:rPr>
              <w:t>Value of Accelerated</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(1)</w:t>
            </w: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89"/>
              </w:rPr>
              <w:t>Restricted Stock,</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Termination Event</w:t>
            </w: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88"/>
              </w:rPr>
              <w:t>Base Salary</w:t>
            </w:r>
          </w:p>
        </w:tc>
        <w:tc>
          <w:tcPr>
            <w:tcW w:w="22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5"/>
                <w:szCs w:val="15"/>
                <w:color w:val="auto"/>
              </w:rPr>
              <w:t>Bonus</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4"/>
              </w:rPr>
              <w:t>Non-Equity</w:t>
            </w: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89"/>
              </w:rPr>
              <w:t>Performance Stock</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Other Benefits</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89"/>
              </w:rPr>
              <w:t>Total</w:t>
            </w: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1140" w:type="dxa"/>
            <w:vAlign w:val="bottom"/>
            <w:gridSpan w:val="2"/>
          </w:tcPr>
          <w:p>
            <w:pPr>
              <w:jc w:val="center"/>
              <w:ind w:left="154"/>
              <w:spacing w:after="0"/>
              <w:rPr>
                <w:sz w:val="20"/>
                <w:szCs w:val="20"/>
                <w:color w:val="auto"/>
              </w:rPr>
            </w:pPr>
            <w:r>
              <w:rPr>
                <w:rFonts w:ascii="Arial" w:cs="Arial" w:eastAsia="Arial" w:hAnsi="Arial"/>
                <w:sz w:val="15"/>
                <w:szCs w:val="15"/>
                <w:color w:val="auto"/>
                <w:w w:val="87"/>
              </w:rPr>
              <w:t>($)</w:t>
            </w:r>
          </w:p>
        </w:tc>
        <w:tc>
          <w:tcPr>
            <w:tcW w:w="1020" w:type="dxa"/>
            <w:vAlign w:val="bottom"/>
            <w:gridSpan w:val="2"/>
          </w:tcPr>
          <w:p>
            <w:pPr>
              <w:jc w:val="center"/>
              <w:ind w:left="100"/>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88"/>
              </w:rPr>
              <w:t>and Performance</w:t>
            </w:r>
          </w:p>
        </w:tc>
        <w:tc>
          <w:tcPr>
            <w:tcW w:w="1540" w:type="dxa"/>
            <w:vAlign w:val="bottom"/>
            <w:gridSpan w:val="2"/>
          </w:tcPr>
          <w:p>
            <w:pPr>
              <w:jc w:val="right"/>
              <w:ind w:right="514"/>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45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w:t>
            </w: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Stock Units, and</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Stock Options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20" w:type="dxa"/>
            <w:vAlign w:val="bottom"/>
            <w:gridSpan w:val="2"/>
          </w:tcPr>
          <w:p>
            <w:pPr>
              <w:jc w:val="center"/>
              <w:ind w:left="158"/>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1920" w:type="dxa"/>
            <w:vAlign w:val="bottom"/>
          </w:tcPr>
          <w:p>
            <w:pPr>
              <w:spacing w:after="0"/>
              <w:rPr>
                <w:sz w:val="20"/>
                <w:szCs w:val="20"/>
                <w:color w:val="auto"/>
              </w:rPr>
            </w:pPr>
            <w:r>
              <w:rPr>
                <w:rFonts w:ascii="Arial" w:cs="Arial" w:eastAsia="Arial" w:hAnsi="Arial"/>
                <w:sz w:val="15"/>
                <w:szCs w:val="15"/>
                <w:color w:val="auto"/>
              </w:rPr>
              <w:t>Normal Retirement prior to a</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Not Eligible on</w:t>
            </w:r>
          </w:p>
        </w:tc>
        <w:tc>
          <w:tcPr>
            <w:tcW w:w="22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auto"/>
                <w:w w:val="98"/>
              </w:rPr>
              <w:t>Not Eligible on</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2"/>
                <w:szCs w:val="12"/>
                <w:color w:val="auto"/>
                <w:w w:val="91"/>
              </w:rPr>
              <w:t>Not Eligible on 6/30/08</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2"/>
                <w:szCs w:val="12"/>
                <w:color w:val="auto"/>
                <w:w w:val="89"/>
              </w:rPr>
              <w:t>Not Eligible on 6/30/08</w:t>
            </w:r>
          </w:p>
        </w:tc>
        <w:tc>
          <w:tcPr>
            <w:tcW w:w="22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Arial" w:cs="Arial" w:eastAsia="Arial" w:hAnsi="Arial"/>
                <w:sz w:val="12"/>
                <w:szCs w:val="12"/>
                <w:color w:val="auto"/>
                <w:w w:val="99"/>
              </w:rPr>
              <w:t>Not Eligible on 6/30/08</w:t>
            </w:r>
          </w:p>
        </w:tc>
        <w:tc>
          <w:tcPr>
            <w:tcW w:w="22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w w:val="96"/>
              </w:rPr>
              <w:t>Not Eligible on 6/30/08</w:t>
            </w:r>
          </w:p>
        </w:tc>
        <w:tc>
          <w:tcPr>
            <w:tcW w:w="0" w:type="dxa"/>
            <w:vAlign w:val="bottom"/>
          </w:tcPr>
          <w:p>
            <w:pPr>
              <w:spacing w:after="0"/>
              <w:rPr>
                <w:sz w:val="1"/>
                <w:szCs w:val="1"/>
                <w:color w:val="auto"/>
              </w:rPr>
            </w:pP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Change in Control</w:t>
            </w:r>
          </w:p>
        </w:tc>
        <w:tc>
          <w:tcPr>
            <w:tcW w:w="1140" w:type="dxa"/>
            <w:vAlign w:val="bottom"/>
            <w:gridSpan w:val="2"/>
          </w:tcPr>
          <w:p>
            <w:pPr>
              <w:jc w:val="center"/>
              <w:ind w:left="114"/>
              <w:spacing w:after="0"/>
              <w:rPr>
                <w:sz w:val="20"/>
                <w:szCs w:val="20"/>
                <w:color w:val="auto"/>
              </w:rPr>
            </w:pPr>
            <w:r>
              <w:rPr>
                <w:rFonts w:ascii="Arial" w:cs="Arial" w:eastAsia="Arial" w:hAnsi="Arial"/>
                <w:sz w:val="12"/>
                <w:szCs w:val="12"/>
                <w:color w:val="auto"/>
                <w:w w:val="89"/>
              </w:rPr>
              <w:t>6/30/08</w:t>
            </w:r>
          </w:p>
        </w:tc>
        <w:tc>
          <w:tcPr>
            <w:tcW w:w="1020" w:type="dxa"/>
            <w:vAlign w:val="bottom"/>
            <w:gridSpan w:val="2"/>
          </w:tcPr>
          <w:p>
            <w:pPr>
              <w:jc w:val="center"/>
              <w:ind w:left="100"/>
              <w:spacing w:after="0"/>
              <w:rPr>
                <w:sz w:val="20"/>
                <w:szCs w:val="20"/>
                <w:color w:val="auto"/>
              </w:rPr>
            </w:pPr>
            <w:r>
              <w:rPr>
                <w:rFonts w:ascii="Arial" w:cs="Arial" w:eastAsia="Arial" w:hAnsi="Arial"/>
                <w:sz w:val="12"/>
                <w:szCs w:val="12"/>
                <w:color w:val="auto"/>
                <w:w w:val="84"/>
              </w:rPr>
              <w:t>6/30/08</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5"/>
                <w:szCs w:val="15"/>
                <w:color w:val="auto"/>
              </w:rPr>
              <w:t>Death</w:t>
            </w:r>
          </w:p>
        </w:tc>
        <w:tc>
          <w:tcPr>
            <w:tcW w:w="220" w:type="dxa"/>
            <w:vAlign w:val="bottom"/>
          </w:tcPr>
          <w:p>
            <w:pPr>
              <w:spacing w:after="0"/>
              <w:rPr>
                <w:sz w:val="24"/>
                <w:szCs w:val="24"/>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3"/>
              </w:rPr>
              <w:t>$207,625</w:t>
            </w:r>
          </w:p>
        </w:tc>
        <w:tc>
          <w:tcPr>
            <w:tcW w:w="1520" w:type="dxa"/>
            <w:vAlign w:val="bottom"/>
            <w:gridSpan w:val="2"/>
          </w:tcPr>
          <w:p>
            <w:pPr>
              <w:jc w:val="center"/>
              <w:ind w:left="98"/>
              <w:spacing w:after="0"/>
              <w:rPr>
                <w:sz w:val="20"/>
                <w:szCs w:val="20"/>
                <w:color w:val="auto"/>
              </w:rPr>
            </w:pPr>
            <w:r>
              <w:rPr>
                <w:rFonts w:ascii="Arial" w:cs="Arial" w:eastAsia="Arial" w:hAnsi="Arial"/>
                <w:sz w:val="12"/>
                <w:szCs w:val="12"/>
                <w:color w:val="auto"/>
                <w:w w:val="88"/>
              </w:rPr>
              <w:t>$677,881 (4)</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4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$885,506</w:t>
            </w: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Disability</w:t>
            </w:r>
          </w:p>
        </w:tc>
        <w:tc>
          <w:tcPr>
            <w:tcW w:w="220" w:type="dxa"/>
            <w:vAlign w:val="bottom"/>
          </w:tcPr>
          <w:p>
            <w:pPr>
              <w:spacing w:after="0"/>
              <w:rPr>
                <w:sz w:val="24"/>
                <w:szCs w:val="24"/>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3"/>
              </w:rPr>
              <w:t>$207,625</w:t>
            </w:r>
          </w:p>
        </w:tc>
        <w:tc>
          <w:tcPr>
            <w:tcW w:w="1520" w:type="dxa"/>
            <w:vAlign w:val="bottom"/>
            <w:gridSpan w:val="2"/>
          </w:tcPr>
          <w:p>
            <w:pPr>
              <w:jc w:val="center"/>
              <w:ind w:left="98"/>
              <w:spacing w:after="0"/>
              <w:rPr>
                <w:sz w:val="20"/>
                <w:szCs w:val="20"/>
                <w:color w:val="auto"/>
              </w:rPr>
            </w:pPr>
            <w:r>
              <w:rPr>
                <w:rFonts w:ascii="Arial" w:cs="Arial" w:eastAsia="Arial" w:hAnsi="Arial"/>
                <w:sz w:val="12"/>
                <w:szCs w:val="12"/>
                <w:color w:val="auto"/>
                <w:w w:val="88"/>
              </w:rPr>
              <w:t>$667,881 (4)</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8"/>
              </w:rPr>
              <w:t>$118,128 (5)</w:t>
            </w:r>
          </w:p>
        </w:tc>
        <w:tc>
          <w:tcPr>
            <w:tcW w:w="1460" w:type="dxa"/>
            <w:vAlign w:val="bottom"/>
            <w:gridSpan w:val="2"/>
          </w:tcPr>
          <w:p>
            <w:pPr>
              <w:jc w:val="center"/>
              <w:ind w:left="120"/>
              <w:spacing w:after="0"/>
              <w:rPr>
                <w:sz w:val="20"/>
                <w:szCs w:val="20"/>
                <w:color w:val="auto"/>
              </w:rPr>
            </w:pPr>
            <w:r>
              <w:rPr>
                <w:rFonts w:ascii="Arial" w:cs="Arial" w:eastAsia="Arial" w:hAnsi="Arial"/>
                <w:sz w:val="12"/>
                <w:szCs w:val="12"/>
                <w:color w:val="auto"/>
                <w:w w:val="86"/>
              </w:rPr>
              <w:t>$1,003,634</w:t>
            </w: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5"/>
                <w:szCs w:val="15"/>
                <w:color w:val="auto"/>
              </w:rPr>
              <w:t>Termination for Cause</w:t>
            </w:r>
          </w:p>
        </w:tc>
        <w:tc>
          <w:tcPr>
            <w:tcW w:w="220" w:type="dxa"/>
            <w:vAlign w:val="bottom"/>
          </w:tcPr>
          <w:p>
            <w:pPr>
              <w:spacing w:after="0"/>
              <w:rPr>
                <w:sz w:val="19"/>
                <w:szCs w:val="19"/>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3"/>
              </w:rPr>
              <w:t>$207,625</w:t>
            </w:r>
          </w:p>
        </w:tc>
        <w:tc>
          <w:tcPr>
            <w:tcW w:w="1520" w:type="dxa"/>
            <w:vAlign w:val="bottom"/>
            <w:gridSpan w:val="2"/>
          </w:tcPr>
          <w:p>
            <w:pPr>
              <w:jc w:val="center"/>
              <w:ind w:left="98"/>
              <w:spacing w:after="0"/>
              <w:rPr>
                <w:sz w:val="20"/>
                <w:szCs w:val="20"/>
                <w:color w:val="auto"/>
              </w:rPr>
            </w:pPr>
            <w:r>
              <w:rPr>
                <w:rFonts w:ascii="Arial" w:cs="Arial" w:eastAsia="Arial" w:hAnsi="Arial"/>
                <w:sz w:val="12"/>
                <w:szCs w:val="12"/>
                <w:color w:val="auto"/>
                <w:w w:val="88"/>
              </w:rPr>
              <w:t>$334,880 (2)</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4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$542,505</w:t>
            </w: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w w:val="95"/>
              </w:rPr>
              <w:t>Voluntary Termination Prior to</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8"/>
              </w:rPr>
              <w:t>Paid through last</w:t>
            </w:r>
          </w:p>
        </w:tc>
        <w:tc>
          <w:tcPr>
            <w:tcW w:w="102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3"/>
              </w:rPr>
              <w:t>$207,625</w:t>
            </w:r>
          </w:p>
        </w:tc>
        <w:tc>
          <w:tcPr>
            <w:tcW w:w="1520" w:type="dxa"/>
            <w:vAlign w:val="bottom"/>
            <w:gridSpan w:val="2"/>
          </w:tcPr>
          <w:p>
            <w:pPr>
              <w:jc w:val="center"/>
              <w:ind w:left="98"/>
              <w:spacing w:after="0"/>
              <w:rPr>
                <w:sz w:val="20"/>
                <w:szCs w:val="20"/>
                <w:color w:val="auto"/>
              </w:rPr>
            </w:pPr>
            <w:r>
              <w:rPr>
                <w:rFonts w:ascii="Arial" w:cs="Arial" w:eastAsia="Arial" w:hAnsi="Arial"/>
                <w:sz w:val="12"/>
                <w:szCs w:val="12"/>
                <w:color w:val="auto"/>
                <w:w w:val="88"/>
              </w:rPr>
              <w:t>$334,880 (2)</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4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$542,505</w:t>
            </w:r>
          </w:p>
        </w:tc>
        <w:tc>
          <w:tcPr>
            <w:tcW w:w="0" w:type="dxa"/>
            <w:vAlign w:val="bottom"/>
          </w:tcPr>
          <w:p>
            <w:pPr>
              <w:spacing w:after="0"/>
              <w:rPr>
                <w:sz w:val="1"/>
                <w:szCs w:val="1"/>
                <w:color w:val="auto"/>
              </w:rPr>
            </w:pP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Retirement</w:t>
            </w:r>
          </w:p>
        </w:tc>
        <w:tc>
          <w:tcPr>
            <w:tcW w:w="220" w:type="dxa"/>
            <w:vAlign w:val="bottom"/>
          </w:tcPr>
          <w:p>
            <w:pPr>
              <w:spacing w:after="0"/>
              <w:rPr>
                <w:sz w:val="24"/>
                <w:szCs w:val="24"/>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920" w:type="dxa"/>
            <w:vAlign w:val="bottom"/>
            <w:vMerge w:val="restart"/>
          </w:tcPr>
          <w:p>
            <w:pPr>
              <w:spacing w:after="0"/>
              <w:rPr>
                <w:sz w:val="20"/>
                <w:szCs w:val="20"/>
                <w:color w:val="auto"/>
              </w:rPr>
            </w:pPr>
            <w:r>
              <w:rPr>
                <w:rFonts w:ascii="Arial" w:cs="Arial" w:eastAsia="Arial" w:hAnsi="Arial"/>
                <w:sz w:val="15"/>
                <w:szCs w:val="15"/>
                <w:color w:val="auto"/>
              </w:rPr>
              <w:t>Involuntary Termination or</w:t>
            </w: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20" w:type="dxa"/>
            <w:vAlign w:val="bottom"/>
            <w:gridSpan w:val="2"/>
          </w:tcPr>
          <w:p>
            <w:pPr>
              <w:spacing w:after="0"/>
              <w:rPr>
                <w:sz w:val="9"/>
                <w:szCs w:val="9"/>
                <w:color w:val="auto"/>
              </w:rPr>
            </w:pPr>
          </w:p>
        </w:tc>
        <w:tc>
          <w:tcPr>
            <w:tcW w:w="1540" w:type="dxa"/>
            <w:vAlign w:val="bottom"/>
            <w:gridSpan w:val="2"/>
          </w:tcPr>
          <w:p>
            <w:pPr>
              <w:spacing w:after="0"/>
              <w:rPr>
                <w:sz w:val="9"/>
                <w:szCs w:val="9"/>
                <w:color w:val="auto"/>
              </w:rPr>
            </w:pPr>
          </w:p>
        </w:tc>
        <w:tc>
          <w:tcPr>
            <w:tcW w:w="1520" w:type="dxa"/>
            <w:vAlign w:val="bottom"/>
            <w:gridSpan w:val="2"/>
          </w:tcPr>
          <w:p>
            <w:pPr>
              <w:spacing w:after="0"/>
              <w:rPr>
                <w:sz w:val="9"/>
                <w:szCs w:val="9"/>
                <w:color w:val="auto"/>
              </w:rPr>
            </w:pPr>
          </w:p>
        </w:tc>
        <w:tc>
          <w:tcPr>
            <w:tcW w:w="1540" w:type="dxa"/>
            <w:vAlign w:val="bottom"/>
            <w:gridSpan w:val="2"/>
          </w:tcPr>
          <w:p>
            <w:pPr>
              <w:spacing w:after="0"/>
              <w:rPr>
                <w:sz w:val="9"/>
                <w:szCs w:val="9"/>
                <w:color w:val="auto"/>
              </w:rPr>
            </w:pPr>
          </w:p>
        </w:tc>
        <w:tc>
          <w:tcPr>
            <w:tcW w:w="14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jc w:val="center"/>
              <w:ind w:left="120"/>
              <w:spacing w:after="0"/>
              <w:rPr>
                <w:sz w:val="20"/>
                <w:szCs w:val="20"/>
                <w:color w:val="auto"/>
              </w:rPr>
            </w:pPr>
            <w:r>
              <w:rPr>
                <w:rFonts w:ascii="Arial" w:cs="Arial" w:eastAsia="Arial" w:hAnsi="Arial"/>
                <w:sz w:val="12"/>
                <w:szCs w:val="12"/>
                <w:color w:val="auto"/>
                <w:w w:val="89"/>
              </w:rPr>
              <w:t>$0</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3"/>
              </w:rPr>
              <w:t>$207,625</w:t>
            </w:r>
          </w:p>
        </w:tc>
        <w:tc>
          <w:tcPr>
            <w:tcW w:w="1520" w:type="dxa"/>
            <w:vAlign w:val="bottom"/>
            <w:gridSpan w:val="2"/>
          </w:tcPr>
          <w:p>
            <w:pPr>
              <w:jc w:val="center"/>
              <w:ind w:left="98"/>
              <w:spacing w:after="0"/>
              <w:rPr>
                <w:sz w:val="20"/>
                <w:szCs w:val="20"/>
                <w:color w:val="auto"/>
              </w:rPr>
            </w:pPr>
            <w:r>
              <w:rPr>
                <w:rFonts w:ascii="Arial" w:cs="Arial" w:eastAsia="Arial" w:hAnsi="Arial"/>
                <w:sz w:val="12"/>
                <w:szCs w:val="12"/>
                <w:color w:val="auto"/>
                <w:w w:val="87"/>
              </w:rPr>
              <w:t>$1,088,360 (7)</w:t>
            </w:r>
          </w:p>
        </w:tc>
        <w:tc>
          <w:tcPr>
            <w:tcW w:w="1540" w:type="dxa"/>
            <w:vAlign w:val="bottom"/>
            <w:gridSpan w:val="2"/>
          </w:tcPr>
          <w:p>
            <w:pPr>
              <w:jc w:val="center"/>
              <w:ind w:left="120"/>
              <w:spacing w:after="0"/>
              <w:rPr>
                <w:sz w:val="20"/>
                <w:szCs w:val="20"/>
                <w:color w:val="auto"/>
              </w:rPr>
            </w:pPr>
            <w:r>
              <w:rPr>
                <w:rFonts w:ascii="Arial" w:cs="Arial" w:eastAsia="Arial" w:hAnsi="Arial"/>
                <w:sz w:val="12"/>
                <w:szCs w:val="12"/>
                <w:color w:val="auto"/>
                <w:w w:val="88"/>
              </w:rPr>
              <w:t>$994,264 (6)</w:t>
            </w:r>
          </w:p>
        </w:tc>
        <w:tc>
          <w:tcPr>
            <w:tcW w:w="1460" w:type="dxa"/>
            <w:vAlign w:val="bottom"/>
            <w:gridSpan w:val="2"/>
          </w:tcPr>
          <w:p>
            <w:pPr>
              <w:jc w:val="center"/>
              <w:ind w:left="120"/>
              <w:spacing w:after="0"/>
              <w:rPr>
                <w:sz w:val="20"/>
                <w:szCs w:val="20"/>
                <w:color w:val="auto"/>
              </w:rPr>
            </w:pPr>
            <w:r>
              <w:rPr>
                <w:rFonts w:ascii="Arial" w:cs="Arial" w:eastAsia="Arial" w:hAnsi="Arial"/>
                <w:sz w:val="12"/>
                <w:szCs w:val="12"/>
                <w:color w:val="auto"/>
                <w:w w:val="86"/>
              </w:rPr>
              <w:t>$2,290,249</w:t>
            </w:r>
          </w:p>
        </w:tc>
        <w:tc>
          <w:tcPr>
            <w:tcW w:w="0" w:type="dxa"/>
            <w:vAlign w:val="bottom"/>
          </w:tcPr>
          <w:p>
            <w:pPr>
              <w:spacing w:after="0"/>
              <w:rPr>
                <w:sz w:val="1"/>
                <w:szCs w:val="1"/>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Resignation for Good Cause</w:t>
            </w:r>
          </w:p>
        </w:tc>
        <w:tc>
          <w:tcPr>
            <w:tcW w:w="220" w:type="dxa"/>
            <w:vAlign w:val="bottom"/>
          </w:tcPr>
          <w:p>
            <w:pPr>
              <w:spacing w:after="0"/>
              <w:rPr>
                <w:sz w:val="19"/>
                <w:szCs w:val="19"/>
                <w:color w:val="auto"/>
              </w:rPr>
            </w:pPr>
          </w:p>
        </w:tc>
        <w:tc>
          <w:tcPr>
            <w:tcW w:w="920" w:type="dxa"/>
            <w:vAlign w:val="bottom"/>
          </w:tcPr>
          <w:p>
            <w:pPr>
              <w:jc w:val="center"/>
              <w:ind w:right="1"/>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Following Change in Control</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-3072130</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-3072130</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-3072130</wp:posOffset>
            </wp:positionV>
            <wp:extent cx="1270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-3072130</wp:posOffset>
            </wp:positionV>
            <wp:extent cx="1270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-3072130</wp:posOffset>
            </wp:positionV>
            <wp:extent cx="12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-3072130</wp:posOffset>
            </wp:positionV>
            <wp:extent cx="1270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-3072130</wp:posOffset>
            </wp:positionV>
            <wp:extent cx="1270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-3072130</wp:posOffset>
            </wp:positionV>
            <wp:extent cx="1270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-3072130</wp:posOffset>
            </wp:positionV>
            <wp:extent cx="1270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-3072130</wp:posOffset>
            </wp:positionV>
            <wp:extent cx="1270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-3072130</wp:posOffset>
            </wp:positionV>
            <wp:extent cx="1270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-3072130</wp:posOffset>
            </wp:positionV>
            <wp:extent cx="1270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-3072130</wp:posOffset>
            </wp:positionV>
            <wp:extent cx="127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-3072130</wp:posOffset>
            </wp:positionV>
            <wp:extent cx="1270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-2385060</wp:posOffset>
            </wp:positionV>
            <wp:extent cx="1270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-2385060</wp:posOffset>
            </wp:positionV>
            <wp:extent cx="127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-2385060</wp:posOffset>
            </wp:positionV>
            <wp:extent cx="127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-2385060</wp:posOffset>
            </wp:positionV>
            <wp:extent cx="127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328"/>
          </w:cols>
          <w:pgMar w:left="232" w:top="178" w:right="1339" w:bottom="0" w:gutter="0" w:footer="0" w:header="0"/>
        </w:sectPr>
      </w:pPr>
    </w:p>
    <w:bookmarkStart w:id="21" w:name="page22"/>
    <w:bookmarkEnd w:id="21"/>
    <w:p>
      <w:pPr>
        <w:ind w:left="408" w:hanging="408"/>
        <w:spacing w:after="0"/>
        <w:tabs>
          <w:tab w:leader="none" w:pos="4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Assumes Mr. Feiertag was employed the entire fiscal year, and therefore is entitled to full bonus. This also assumes no discretionary component is paid.</w:t>
      </w:r>
    </w:p>
    <w:p>
      <w:pPr>
        <w:spacing w:after="0" w:line="253" w:lineRule="exact"/>
        <w:rPr>
          <w:rFonts w:ascii="Arial" w:cs="Arial" w:eastAsia="Arial" w:hAnsi="Arial"/>
          <w:sz w:val="15"/>
          <w:szCs w:val="15"/>
          <w:color w:val="auto"/>
        </w:rPr>
      </w:pPr>
    </w:p>
    <w:p>
      <w:pPr>
        <w:ind w:left="408" w:hanging="408"/>
        <w:spacing w:after="0"/>
        <w:tabs>
          <w:tab w:leader="none" w:pos="4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amount reflects performance awards payable for the performance period ending June 30, 2008. This assumes Mr. Feiertag was employed through June 30, 2008.</w:t>
      </w:r>
    </w:p>
    <w:p>
      <w:pPr>
        <w:spacing w:after="0" w:line="253" w:lineRule="exact"/>
        <w:rPr>
          <w:rFonts w:ascii="Arial" w:cs="Arial" w:eastAsia="Arial" w:hAnsi="Arial"/>
          <w:sz w:val="14"/>
          <w:szCs w:val="14"/>
          <w:color w:val="auto"/>
        </w:rPr>
      </w:pPr>
    </w:p>
    <w:p>
      <w:pPr>
        <w:ind w:left="408" w:hanging="408"/>
        <w:spacing w:after="0"/>
        <w:tabs>
          <w:tab w:leader="none" w:pos="4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All values in this column assume a share or unit value of $20.93, the closing price on June 30, 2008.</w:t>
      </w:r>
    </w:p>
    <w:p>
      <w:pPr>
        <w:spacing w:after="0" w:line="230" w:lineRule="exact"/>
        <w:rPr>
          <w:rFonts w:ascii="Arial" w:cs="Arial" w:eastAsia="Arial" w:hAnsi="Arial"/>
          <w:sz w:val="15"/>
          <w:szCs w:val="15"/>
          <w:color w:val="auto"/>
        </w:rPr>
      </w:pPr>
    </w:p>
    <w:p>
      <w:pPr>
        <w:ind w:left="408" w:right="340" w:hanging="408"/>
        <w:spacing w:after="0" w:line="281" w:lineRule="auto"/>
        <w:tabs>
          <w:tab w:leader="none" w:pos="408"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value was calculated by adding 100% of the performance stock and performance stock unit awards payable for the performance period ending June 30, 2008 (16,000) plus 2/3rds of the awards payable for the performance period ending June 30, 2009 (12,563) plus 1/3</w:t>
      </w:r>
      <w:r>
        <w:rPr>
          <w:rFonts w:ascii="Arial" w:cs="Arial" w:eastAsia="Arial" w:hAnsi="Arial"/>
          <w:sz w:val="24"/>
          <w:szCs w:val="24"/>
          <w:color w:val="auto"/>
          <w:vertAlign w:val="superscript"/>
        </w:rPr>
        <w:t>rd</w:t>
      </w:r>
      <w:r>
        <w:rPr>
          <w:rFonts w:ascii="Arial" w:cs="Arial" w:eastAsia="Arial" w:hAnsi="Arial"/>
          <w:sz w:val="13"/>
          <w:szCs w:val="13"/>
          <w:color w:val="auto"/>
        </w:rPr>
        <w:t xml:space="preserve"> of the awards payable for the performance period ending June 30, 2010 (3,825), assuming achievement of target performance levels. The total number of shares was multiplied by $20.93, the closing price of Twin Disc shares on June 30, 2008.</w:t>
      </w:r>
    </w:p>
    <w:p>
      <w:pPr>
        <w:spacing w:after="0" w:line="167" w:lineRule="exact"/>
        <w:rPr>
          <w:rFonts w:ascii="Arial" w:cs="Arial" w:eastAsia="Arial" w:hAnsi="Arial"/>
          <w:sz w:val="13"/>
          <w:szCs w:val="13"/>
          <w:color w:val="auto"/>
        </w:rPr>
      </w:pPr>
    </w:p>
    <w:p>
      <w:pPr>
        <w:ind w:left="408" w:hanging="408"/>
        <w:spacing w:after="0"/>
        <w:tabs>
          <w:tab w:leader="none" w:pos="4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This amount is the value of six months of benefits under the Company’s short-term disability program for salaried employees.</w:t>
      </w:r>
    </w:p>
    <w:p>
      <w:pPr>
        <w:spacing w:after="0" w:line="230" w:lineRule="exact"/>
        <w:rPr>
          <w:rFonts w:ascii="Arial" w:cs="Arial" w:eastAsia="Arial" w:hAnsi="Arial"/>
          <w:sz w:val="15"/>
          <w:szCs w:val="15"/>
          <w:color w:val="auto"/>
        </w:rPr>
      </w:pPr>
    </w:p>
    <w:p>
      <w:pPr>
        <w:ind w:left="408" w:right="520" w:hanging="408"/>
        <w:spacing w:after="0" w:line="279" w:lineRule="auto"/>
        <w:tabs>
          <w:tab w:leader="none" w:pos="4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Under the change in control severance agreement, Mr. Feiertag is entitled to 2.0 times his base salary plus most recent bonus as severance payments ($965,250), plus benefit continuation for 24 months ($29,014).</w:t>
      </w:r>
    </w:p>
    <w:p>
      <w:pPr>
        <w:spacing w:after="0" w:line="174" w:lineRule="exact"/>
        <w:rPr>
          <w:rFonts w:ascii="Arial" w:cs="Arial" w:eastAsia="Arial" w:hAnsi="Arial"/>
          <w:sz w:val="15"/>
          <w:szCs w:val="15"/>
          <w:color w:val="auto"/>
        </w:rPr>
      </w:pPr>
    </w:p>
    <w:p>
      <w:pPr>
        <w:ind w:left="408" w:right="380" w:hanging="408"/>
        <w:spacing w:after="0" w:line="268" w:lineRule="auto"/>
        <w:tabs>
          <w:tab w:leader="none" w:pos="4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Upon termination in the event of a change in control, performance stock and performance units immediately vest, and stock or cash is paid under the agreements as if the maximum performance objective was achieved. This amount represents the total of 52,000 performance stock and performance stock unit awards valued at $20.93, the closing price of Twin Disc shares on June 30, 2008.</w:t>
      </w:r>
    </w:p>
    <w:p>
      <w:pPr>
        <w:spacing w:after="0" w:line="354" w:lineRule="exact"/>
        <w:rPr>
          <w:sz w:val="20"/>
          <w:szCs w:val="20"/>
          <w:color w:val="auto"/>
        </w:rPr>
      </w:pPr>
    </w:p>
    <w:p>
      <w:pPr>
        <w:jc w:val="center"/>
        <w:ind w:right="-167"/>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John H. Batten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(3)</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gridSpan w:val="2"/>
          </w:tcPr>
          <w:p>
            <w:pPr>
              <w:jc w:val="center"/>
              <w:ind w:left="178"/>
              <w:spacing w:after="0"/>
              <w:rPr>
                <w:sz w:val="20"/>
                <w:szCs w:val="20"/>
                <w:color w:val="auto"/>
              </w:rPr>
            </w:pPr>
            <w:r>
              <w:rPr>
                <w:rFonts w:ascii="Arial" w:cs="Arial" w:eastAsia="Arial" w:hAnsi="Arial"/>
                <w:sz w:val="15"/>
                <w:szCs w:val="15"/>
                <w:color w:val="auto"/>
                <w:w w:val="97"/>
              </w:rPr>
              <w:t>(1)</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Value of Accelerated</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Termination Event</w:t>
            </w:r>
          </w:p>
        </w:tc>
        <w:tc>
          <w:tcPr>
            <w:tcW w:w="22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Arial" w:cs="Arial" w:eastAsia="Arial" w:hAnsi="Arial"/>
                <w:sz w:val="15"/>
                <w:szCs w:val="15"/>
                <w:color w:val="auto"/>
                <w:w w:val="96"/>
              </w:rPr>
              <w:t>Base Salary</w:t>
            </w:r>
          </w:p>
        </w:tc>
        <w:tc>
          <w:tcPr>
            <w:tcW w:w="22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Arial" w:cs="Arial" w:eastAsia="Arial" w:hAnsi="Arial"/>
                <w:sz w:val="15"/>
                <w:szCs w:val="15"/>
                <w:color w:val="auto"/>
              </w:rPr>
              <w:t>Bonus</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6"/>
              </w:rPr>
              <w:t>Non-Equity</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89"/>
              </w:rPr>
              <w:t>Restricted Stock,</w:t>
            </w:r>
          </w:p>
        </w:tc>
        <w:tc>
          <w:tcPr>
            <w:tcW w:w="2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89"/>
              </w:rPr>
              <w:t>Other Benefits</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5"/>
                <w:szCs w:val="15"/>
                <w:color w:val="auto"/>
                <w:w w:val="89"/>
              </w:rPr>
              <w:t>Total</w:t>
            </w:r>
          </w:p>
        </w:tc>
      </w:tr>
      <w:tr>
        <w:trPr>
          <w:trHeight w:val="219"/>
        </w:trPr>
        <w:tc>
          <w:tcPr>
            <w:tcW w:w="1920" w:type="dxa"/>
            <w:vAlign w:val="bottom"/>
          </w:tcPr>
          <w:p>
            <w:pPr>
              <w:spacing w:after="0"/>
              <w:rPr>
                <w:sz w:val="19"/>
                <w:szCs w:val="19"/>
                <w:color w:val="auto"/>
              </w:rPr>
            </w:pPr>
          </w:p>
        </w:tc>
        <w:tc>
          <w:tcPr>
            <w:tcW w:w="1120" w:type="dxa"/>
            <w:vAlign w:val="bottom"/>
            <w:gridSpan w:val="2"/>
          </w:tcPr>
          <w:p>
            <w:pPr>
              <w:jc w:val="right"/>
              <w:ind w:right="301"/>
              <w:spacing w:after="0"/>
              <w:rPr>
                <w:sz w:val="20"/>
                <w:szCs w:val="20"/>
                <w:color w:val="auto"/>
              </w:rPr>
            </w:pPr>
            <w:r>
              <w:rPr>
                <w:rFonts w:ascii="Arial" w:cs="Arial" w:eastAsia="Arial" w:hAnsi="Arial"/>
                <w:sz w:val="15"/>
                <w:szCs w:val="15"/>
                <w:color w:val="auto"/>
              </w:rPr>
              <w:t>($)</w:t>
            </w:r>
          </w:p>
        </w:tc>
        <w:tc>
          <w:tcPr>
            <w:tcW w:w="10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2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5"/>
                <w:szCs w:val="15"/>
                <w:color w:val="auto"/>
                <w:w w:val="94"/>
              </w:rPr>
              <w:t>Performance Stock</w:t>
            </w:r>
          </w:p>
        </w:tc>
        <w:tc>
          <w:tcPr>
            <w:tcW w:w="1540" w:type="dxa"/>
            <w:vAlign w:val="bottom"/>
            <w:gridSpan w:val="2"/>
          </w:tcPr>
          <w:p>
            <w:pPr>
              <w:jc w:val="right"/>
              <w:ind w:right="514"/>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474"/>
              <w:spacing w:after="0"/>
              <w:rPr>
                <w:sz w:val="20"/>
                <w:szCs w:val="20"/>
                <w:color w:val="auto"/>
              </w:rPr>
            </w:pPr>
            <w:r>
              <w:rPr>
                <w:rFonts w:ascii="Arial" w:cs="Arial" w:eastAsia="Arial" w:hAnsi="Arial"/>
                <w:sz w:val="15"/>
                <w:szCs w:val="15"/>
                <w:color w:val="auto"/>
              </w:rPr>
              <w:t>($)</w:t>
            </w: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gridSpan w:val="2"/>
          </w:tcPr>
          <w:p>
            <w:pPr>
              <w:jc w:val="center"/>
              <w:ind w:left="178"/>
              <w:spacing w:after="0"/>
              <w:rPr>
                <w:sz w:val="20"/>
                <w:szCs w:val="20"/>
                <w:color w:val="auto"/>
              </w:rPr>
            </w:pPr>
            <w:r>
              <w:rPr>
                <w:rFonts w:ascii="Arial" w:cs="Arial" w:eastAsia="Arial" w:hAnsi="Arial"/>
                <w:sz w:val="15"/>
                <w:szCs w:val="15"/>
                <w:color w:val="auto"/>
                <w:w w:val="97"/>
              </w:rPr>
              <w:t>($)</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88"/>
              </w:rPr>
              <w:t>and Performance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Stock Units, and</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Stock Options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24"/>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523"/>
        </w:trPr>
        <w:tc>
          <w:tcPr>
            <w:tcW w:w="1920" w:type="dxa"/>
            <w:vAlign w:val="bottom"/>
          </w:tcPr>
          <w:p>
            <w:pPr>
              <w:spacing w:after="0"/>
              <w:rPr>
                <w:sz w:val="20"/>
                <w:szCs w:val="20"/>
                <w:color w:val="auto"/>
              </w:rPr>
            </w:pPr>
            <w:r>
              <w:rPr>
                <w:rFonts w:ascii="Arial" w:cs="Arial" w:eastAsia="Arial" w:hAnsi="Arial"/>
                <w:sz w:val="15"/>
                <w:szCs w:val="15"/>
                <w:color w:val="auto"/>
              </w:rPr>
              <w:t>Normal Retirement prior to a</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90"/>
              </w:rPr>
              <w:t>Not Eligible on</w:t>
            </w:r>
          </w:p>
        </w:tc>
        <w:tc>
          <w:tcPr>
            <w:tcW w:w="22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auto"/>
                <w:w w:val="98"/>
              </w:rPr>
              <w:t>Not Eligible on</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2"/>
                <w:szCs w:val="12"/>
                <w:color w:val="auto"/>
                <w:w w:val="89"/>
              </w:rPr>
              <w:t>Not Eligible on 6/30/08</w:t>
            </w:r>
          </w:p>
        </w:tc>
        <w:tc>
          <w:tcPr>
            <w:tcW w:w="22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2"/>
                <w:szCs w:val="12"/>
                <w:color w:val="auto"/>
              </w:rPr>
              <w:t>Not Eligible on 6/30/08</w:t>
            </w:r>
          </w:p>
        </w:tc>
        <w:tc>
          <w:tcPr>
            <w:tcW w:w="2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Not Eligible on 6/30/08</w:t>
            </w:r>
          </w:p>
        </w:tc>
        <w:tc>
          <w:tcPr>
            <w:tcW w:w="2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2"/>
                <w:szCs w:val="12"/>
                <w:color w:val="auto"/>
                <w:w w:val="97"/>
              </w:rPr>
              <w:t>Not Eligible on 6/30/08</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Change in Control</w:t>
            </w:r>
          </w:p>
        </w:tc>
        <w:tc>
          <w:tcPr>
            <w:tcW w:w="1120" w:type="dxa"/>
            <w:vAlign w:val="bottom"/>
            <w:gridSpan w:val="2"/>
          </w:tcPr>
          <w:p>
            <w:pPr>
              <w:jc w:val="center"/>
              <w:ind w:left="94"/>
              <w:spacing w:after="0"/>
              <w:rPr>
                <w:sz w:val="20"/>
                <w:szCs w:val="20"/>
                <w:color w:val="auto"/>
              </w:rPr>
            </w:pPr>
            <w:r>
              <w:rPr>
                <w:rFonts w:ascii="Arial" w:cs="Arial" w:eastAsia="Arial" w:hAnsi="Arial"/>
                <w:sz w:val="12"/>
                <w:szCs w:val="12"/>
                <w:color w:val="auto"/>
                <w:w w:val="89"/>
              </w:rPr>
              <w:t>6/30/08</w:t>
            </w:r>
          </w:p>
        </w:tc>
        <w:tc>
          <w:tcPr>
            <w:tcW w:w="1020" w:type="dxa"/>
            <w:vAlign w:val="bottom"/>
            <w:gridSpan w:val="2"/>
          </w:tcPr>
          <w:p>
            <w:pPr>
              <w:ind w:left="420"/>
              <w:spacing w:after="0"/>
              <w:rPr>
                <w:sz w:val="20"/>
                <w:szCs w:val="20"/>
                <w:color w:val="auto"/>
              </w:rPr>
            </w:pPr>
            <w:r>
              <w:rPr>
                <w:rFonts w:ascii="Arial" w:cs="Arial" w:eastAsia="Arial" w:hAnsi="Arial"/>
                <w:sz w:val="12"/>
                <w:szCs w:val="12"/>
                <w:color w:val="auto"/>
              </w:rPr>
              <w:t>6/30/08</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3"/>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05"/>
        </w:trPr>
        <w:tc>
          <w:tcPr>
            <w:tcW w:w="1920" w:type="dxa"/>
            <w:vAlign w:val="bottom"/>
          </w:tcPr>
          <w:p>
            <w:pPr>
              <w:spacing w:after="0"/>
              <w:rPr>
                <w:sz w:val="20"/>
                <w:szCs w:val="20"/>
                <w:color w:val="auto"/>
              </w:rPr>
            </w:pPr>
            <w:r>
              <w:rPr>
                <w:rFonts w:ascii="Arial" w:cs="Arial" w:eastAsia="Arial" w:hAnsi="Arial"/>
                <w:sz w:val="15"/>
                <w:szCs w:val="15"/>
                <w:color w:val="auto"/>
              </w:rPr>
              <w:t>Death</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4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center"/>
              <w:ind w:left="118"/>
              <w:spacing w:after="0"/>
              <w:rPr>
                <w:sz w:val="20"/>
                <w:szCs w:val="20"/>
                <w:color w:val="auto"/>
              </w:rPr>
            </w:pPr>
            <w:r>
              <w:rPr>
                <w:rFonts w:ascii="Arial" w:cs="Arial" w:eastAsia="Arial" w:hAnsi="Arial"/>
                <w:sz w:val="12"/>
                <w:szCs w:val="12"/>
                <w:color w:val="auto"/>
                <w:w w:val="87"/>
              </w:rPr>
              <w:t>$192,525</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$677,881 (4)</w:t>
            </w:r>
          </w:p>
        </w:tc>
        <w:tc>
          <w:tcPr>
            <w:tcW w:w="1540" w:type="dxa"/>
            <w:vAlign w:val="bottom"/>
            <w:gridSpan w:val="2"/>
          </w:tcPr>
          <w:p>
            <w:pPr>
              <w:jc w:val="center"/>
              <w:ind w:left="100"/>
              <w:spacing w:after="0"/>
              <w:rPr>
                <w:sz w:val="20"/>
                <w:szCs w:val="20"/>
                <w:color w:val="auto"/>
              </w:rPr>
            </w:pPr>
            <w:r>
              <w:rPr>
                <w:rFonts w:ascii="Arial" w:cs="Arial" w:eastAsia="Arial" w:hAnsi="Arial"/>
                <w:sz w:val="12"/>
                <w:szCs w:val="12"/>
                <w:color w:val="auto"/>
                <w:w w:val="74"/>
              </w:rPr>
              <w:t>$0</w:t>
            </w:r>
          </w:p>
        </w:tc>
        <w:tc>
          <w:tcPr>
            <w:tcW w:w="1460" w:type="dxa"/>
            <w:vAlign w:val="bottom"/>
            <w:gridSpan w:val="2"/>
          </w:tcPr>
          <w:p>
            <w:pPr>
              <w:jc w:val="center"/>
              <w:ind w:left="100"/>
              <w:spacing w:after="0"/>
              <w:rPr>
                <w:sz w:val="20"/>
                <w:szCs w:val="20"/>
                <w:color w:val="auto"/>
              </w:rPr>
            </w:pPr>
            <w:r>
              <w:rPr>
                <w:rFonts w:ascii="Arial" w:cs="Arial" w:eastAsia="Arial" w:hAnsi="Arial"/>
                <w:sz w:val="12"/>
                <w:szCs w:val="12"/>
                <w:color w:val="auto"/>
                <w:w w:val="83"/>
              </w:rPr>
              <w:t>$870,406</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Disability</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4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center"/>
              <w:ind w:left="118"/>
              <w:spacing w:after="0"/>
              <w:rPr>
                <w:sz w:val="20"/>
                <w:szCs w:val="20"/>
                <w:color w:val="auto"/>
              </w:rPr>
            </w:pPr>
            <w:r>
              <w:rPr>
                <w:rFonts w:ascii="Arial" w:cs="Arial" w:eastAsia="Arial" w:hAnsi="Arial"/>
                <w:sz w:val="12"/>
                <w:szCs w:val="12"/>
                <w:color w:val="auto"/>
                <w:w w:val="87"/>
              </w:rPr>
              <w:t>$192,525</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$677,881 (4)</w:t>
            </w:r>
          </w:p>
        </w:tc>
        <w:tc>
          <w:tcPr>
            <w:tcW w:w="1540" w:type="dxa"/>
            <w:vAlign w:val="bottom"/>
            <w:gridSpan w:val="2"/>
          </w:tcPr>
          <w:p>
            <w:pPr>
              <w:jc w:val="center"/>
              <w:ind w:left="100"/>
              <w:spacing w:after="0"/>
              <w:rPr>
                <w:sz w:val="20"/>
                <w:szCs w:val="20"/>
                <w:color w:val="auto"/>
              </w:rPr>
            </w:pPr>
            <w:r>
              <w:rPr>
                <w:rFonts w:ascii="Arial" w:cs="Arial" w:eastAsia="Arial" w:hAnsi="Arial"/>
                <w:sz w:val="12"/>
                <w:szCs w:val="12"/>
                <w:color w:val="auto"/>
                <w:w w:val="85"/>
              </w:rPr>
              <w:t>$122,602 (5)</w:t>
            </w:r>
          </w:p>
        </w:tc>
        <w:tc>
          <w:tcPr>
            <w:tcW w:w="1460" w:type="dxa"/>
            <w:vAlign w:val="bottom"/>
            <w:gridSpan w:val="2"/>
          </w:tcPr>
          <w:p>
            <w:pPr>
              <w:jc w:val="center"/>
              <w:ind w:left="100"/>
              <w:spacing w:after="0"/>
              <w:rPr>
                <w:sz w:val="20"/>
                <w:szCs w:val="20"/>
                <w:color w:val="auto"/>
              </w:rPr>
            </w:pPr>
            <w:r>
              <w:rPr>
                <w:rFonts w:ascii="Arial" w:cs="Arial" w:eastAsia="Arial" w:hAnsi="Arial"/>
                <w:sz w:val="12"/>
                <w:szCs w:val="12"/>
                <w:color w:val="auto"/>
                <w:w w:val="83"/>
              </w:rPr>
              <w:t>$993,008</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5"/>
                <w:szCs w:val="15"/>
                <w:color w:val="auto"/>
              </w:rPr>
              <w:t>Termination for Cause</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4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center"/>
              <w:ind w:left="118"/>
              <w:spacing w:after="0"/>
              <w:rPr>
                <w:sz w:val="20"/>
                <w:szCs w:val="20"/>
                <w:color w:val="auto"/>
              </w:rPr>
            </w:pPr>
            <w:r>
              <w:rPr>
                <w:rFonts w:ascii="Arial" w:cs="Arial" w:eastAsia="Arial" w:hAnsi="Arial"/>
                <w:sz w:val="12"/>
                <w:szCs w:val="12"/>
                <w:color w:val="auto"/>
                <w:w w:val="87"/>
              </w:rPr>
              <w:t>$192,525</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$334,880 (2)</w:t>
            </w:r>
          </w:p>
        </w:tc>
        <w:tc>
          <w:tcPr>
            <w:tcW w:w="1540" w:type="dxa"/>
            <w:vAlign w:val="bottom"/>
            <w:gridSpan w:val="2"/>
          </w:tcPr>
          <w:p>
            <w:pPr>
              <w:jc w:val="center"/>
              <w:ind w:left="100"/>
              <w:spacing w:after="0"/>
              <w:rPr>
                <w:sz w:val="20"/>
                <w:szCs w:val="20"/>
                <w:color w:val="auto"/>
              </w:rPr>
            </w:pPr>
            <w:r>
              <w:rPr>
                <w:rFonts w:ascii="Arial" w:cs="Arial" w:eastAsia="Arial" w:hAnsi="Arial"/>
                <w:sz w:val="12"/>
                <w:szCs w:val="12"/>
                <w:color w:val="auto"/>
                <w:w w:val="74"/>
              </w:rPr>
              <w:t>$0</w:t>
            </w:r>
          </w:p>
        </w:tc>
        <w:tc>
          <w:tcPr>
            <w:tcW w:w="1460" w:type="dxa"/>
            <w:vAlign w:val="bottom"/>
            <w:gridSpan w:val="2"/>
          </w:tcPr>
          <w:p>
            <w:pPr>
              <w:jc w:val="center"/>
              <w:ind w:left="100"/>
              <w:spacing w:after="0"/>
              <w:rPr>
                <w:sz w:val="20"/>
                <w:szCs w:val="20"/>
                <w:color w:val="auto"/>
              </w:rPr>
            </w:pPr>
            <w:r>
              <w:rPr>
                <w:rFonts w:ascii="Arial" w:cs="Arial" w:eastAsia="Arial" w:hAnsi="Arial"/>
                <w:sz w:val="12"/>
                <w:szCs w:val="12"/>
                <w:color w:val="auto"/>
                <w:w w:val="83"/>
              </w:rPr>
              <w:t>$527,405</w:t>
            </w:r>
          </w:p>
        </w:tc>
      </w:tr>
      <w:tr>
        <w:trPr>
          <w:trHeight w:val="209"/>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w w:val="95"/>
              </w:rPr>
              <w:t>Voluntary Termination Prior to</w:t>
            </w:r>
          </w:p>
        </w:tc>
        <w:tc>
          <w:tcPr>
            <w:tcW w:w="2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2"/>
                <w:szCs w:val="12"/>
                <w:color w:val="auto"/>
                <w:w w:val="88"/>
              </w:rPr>
              <w:t>Paid through last</w:t>
            </w:r>
          </w:p>
        </w:tc>
        <w:tc>
          <w:tcPr>
            <w:tcW w:w="1020" w:type="dxa"/>
            <w:vAlign w:val="bottom"/>
            <w:gridSpan w:val="2"/>
          </w:tcPr>
          <w:p>
            <w:pPr>
              <w:ind w:left="54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center"/>
              <w:ind w:left="118"/>
              <w:spacing w:after="0"/>
              <w:rPr>
                <w:sz w:val="20"/>
                <w:szCs w:val="20"/>
                <w:color w:val="auto"/>
              </w:rPr>
            </w:pPr>
            <w:r>
              <w:rPr>
                <w:rFonts w:ascii="Arial" w:cs="Arial" w:eastAsia="Arial" w:hAnsi="Arial"/>
                <w:sz w:val="12"/>
                <w:szCs w:val="12"/>
                <w:color w:val="auto"/>
                <w:w w:val="87"/>
              </w:rPr>
              <w:t>$192,525</w:t>
            </w:r>
          </w:p>
        </w:tc>
        <w:tc>
          <w:tcPr>
            <w:tcW w:w="15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$334,880 (2)</w:t>
            </w:r>
          </w:p>
        </w:tc>
        <w:tc>
          <w:tcPr>
            <w:tcW w:w="1540" w:type="dxa"/>
            <w:vAlign w:val="bottom"/>
            <w:gridSpan w:val="2"/>
          </w:tcPr>
          <w:p>
            <w:pPr>
              <w:jc w:val="center"/>
              <w:ind w:left="100"/>
              <w:spacing w:after="0"/>
              <w:rPr>
                <w:sz w:val="20"/>
                <w:szCs w:val="20"/>
                <w:color w:val="auto"/>
              </w:rPr>
            </w:pPr>
            <w:r>
              <w:rPr>
                <w:rFonts w:ascii="Arial" w:cs="Arial" w:eastAsia="Arial" w:hAnsi="Arial"/>
                <w:sz w:val="12"/>
                <w:szCs w:val="12"/>
                <w:color w:val="auto"/>
                <w:w w:val="74"/>
              </w:rPr>
              <w:t>$0</w:t>
            </w:r>
          </w:p>
        </w:tc>
        <w:tc>
          <w:tcPr>
            <w:tcW w:w="1460" w:type="dxa"/>
            <w:vAlign w:val="bottom"/>
            <w:gridSpan w:val="2"/>
          </w:tcPr>
          <w:p>
            <w:pPr>
              <w:jc w:val="center"/>
              <w:ind w:left="100"/>
              <w:spacing w:after="0"/>
              <w:rPr>
                <w:sz w:val="20"/>
                <w:szCs w:val="20"/>
                <w:color w:val="auto"/>
              </w:rPr>
            </w:pPr>
            <w:r>
              <w:rPr>
                <w:rFonts w:ascii="Arial" w:cs="Arial" w:eastAsia="Arial" w:hAnsi="Arial"/>
                <w:sz w:val="12"/>
                <w:szCs w:val="12"/>
                <w:color w:val="auto"/>
                <w:w w:val="83"/>
              </w:rPr>
              <w:t>$527,405</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Retirement</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Involuntary Termination or</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1020" w:type="dxa"/>
            <w:vAlign w:val="bottom"/>
            <w:gridSpan w:val="2"/>
          </w:tcPr>
          <w:p>
            <w:pPr>
              <w:ind w:left="54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center"/>
              <w:ind w:left="118"/>
              <w:spacing w:after="0"/>
              <w:rPr>
                <w:sz w:val="20"/>
                <w:szCs w:val="20"/>
                <w:color w:val="auto"/>
              </w:rPr>
            </w:pPr>
            <w:r>
              <w:rPr>
                <w:rFonts w:ascii="Arial" w:cs="Arial" w:eastAsia="Arial" w:hAnsi="Arial"/>
                <w:sz w:val="12"/>
                <w:szCs w:val="12"/>
                <w:color w:val="auto"/>
                <w:w w:val="87"/>
              </w:rPr>
              <w:t>$192,525</w:t>
            </w:r>
          </w:p>
        </w:tc>
        <w:tc>
          <w:tcPr>
            <w:tcW w:w="1540" w:type="dxa"/>
            <w:vAlign w:val="bottom"/>
            <w:gridSpan w:val="2"/>
          </w:tcPr>
          <w:p>
            <w:pPr>
              <w:jc w:val="center"/>
              <w:ind w:left="118"/>
              <w:spacing w:after="0"/>
              <w:rPr>
                <w:sz w:val="20"/>
                <w:szCs w:val="20"/>
                <w:color w:val="auto"/>
              </w:rPr>
            </w:pPr>
            <w:r>
              <w:rPr>
                <w:rFonts w:ascii="Arial" w:cs="Arial" w:eastAsia="Arial" w:hAnsi="Arial"/>
                <w:sz w:val="12"/>
                <w:szCs w:val="12"/>
                <w:color w:val="auto"/>
                <w:w w:val="87"/>
              </w:rPr>
              <w:t>$1,088,360 (7)</w:t>
            </w:r>
          </w:p>
        </w:tc>
        <w:tc>
          <w:tcPr>
            <w:tcW w:w="1540" w:type="dxa"/>
            <w:vAlign w:val="bottom"/>
            <w:gridSpan w:val="2"/>
          </w:tcPr>
          <w:p>
            <w:pPr>
              <w:jc w:val="center"/>
              <w:ind w:left="100"/>
              <w:spacing w:after="0"/>
              <w:rPr>
                <w:sz w:val="20"/>
                <w:szCs w:val="20"/>
                <w:color w:val="auto"/>
              </w:rPr>
            </w:pPr>
            <w:r>
              <w:rPr>
                <w:rFonts w:ascii="Arial" w:cs="Arial" w:eastAsia="Arial" w:hAnsi="Arial"/>
                <w:sz w:val="12"/>
                <w:szCs w:val="12"/>
                <w:color w:val="auto"/>
                <w:w w:val="85"/>
              </w:rPr>
              <w:t>$937,800 (6)</w:t>
            </w:r>
          </w:p>
        </w:tc>
        <w:tc>
          <w:tcPr>
            <w:tcW w:w="1460" w:type="dxa"/>
            <w:vAlign w:val="bottom"/>
            <w:gridSpan w:val="2"/>
          </w:tcPr>
          <w:p>
            <w:pPr>
              <w:jc w:val="center"/>
              <w:ind w:left="100"/>
              <w:spacing w:after="0"/>
              <w:rPr>
                <w:sz w:val="20"/>
                <w:szCs w:val="20"/>
                <w:color w:val="auto"/>
              </w:rPr>
            </w:pPr>
            <w:r>
              <w:rPr>
                <w:rFonts w:ascii="Arial" w:cs="Arial" w:eastAsia="Arial" w:hAnsi="Arial"/>
                <w:sz w:val="12"/>
                <w:szCs w:val="12"/>
                <w:color w:val="auto"/>
                <w:w w:val="83"/>
              </w:rPr>
              <w:t>$2,218,685</w:t>
            </w: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Resignation for Good Cause</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Following Change in Control</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-2940685</wp:posOffset>
            </wp:positionV>
            <wp:extent cx="1270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-2940685</wp:posOffset>
            </wp:positionV>
            <wp:extent cx="1270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-2940685</wp:posOffset>
            </wp:positionV>
            <wp:extent cx="127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-2940685</wp:posOffset>
            </wp:positionV>
            <wp:extent cx="1270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-2940685</wp:posOffset>
            </wp:positionV>
            <wp:extent cx="1270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-2940685</wp:posOffset>
            </wp:positionV>
            <wp:extent cx="1270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-2940685</wp:posOffset>
            </wp:positionV>
            <wp:extent cx="12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-2940685</wp:posOffset>
            </wp:positionV>
            <wp:extent cx="1270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-2940685</wp:posOffset>
            </wp:positionV>
            <wp:extent cx="1270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-2940685</wp:posOffset>
            </wp:positionV>
            <wp:extent cx="127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-2940685</wp:posOffset>
            </wp:positionV>
            <wp:extent cx="1270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-2940685</wp:posOffset>
            </wp:positionV>
            <wp:extent cx="1270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-2940685</wp:posOffset>
            </wp:positionV>
            <wp:extent cx="1270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-2940685</wp:posOffset>
            </wp:positionV>
            <wp:extent cx="127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-2253615</wp:posOffset>
            </wp:positionV>
            <wp:extent cx="1270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-2253615</wp:posOffset>
            </wp:positionV>
            <wp:extent cx="127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-2253615</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-2253615</wp:posOffset>
            </wp:positionV>
            <wp:extent cx="1270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17" w:lineRule="exact"/>
        <w:rPr>
          <w:sz w:val="20"/>
          <w:szCs w:val="20"/>
          <w:color w:val="auto"/>
        </w:rPr>
      </w:pPr>
    </w:p>
    <w:p>
      <w:pPr>
        <w:ind w:left="408" w:hanging="408"/>
        <w:spacing w:after="0"/>
        <w:tabs>
          <w:tab w:leader="none" w:pos="408" w:val="left"/>
        </w:tabs>
        <w:numPr>
          <w:ilvl w:val="0"/>
          <w:numId w:val="33"/>
        </w:numPr>
        <w:rPr>
          <w:rFonts w:ascii="Arial" w:cs="Arial" w:eastAsia="Arial" w:hAnsi="Arial"/>
          <w:sz w:val="15"/>
          <w:szCs w:val="15"/>
          <w:color w:val="auto"/>
        </w:rPr>
      </w:pPr>
      <w:r>
        <w:rPr>
          <w:rFonts w:ascii="Arial" w:cs="Arial" w:eastAsia="Arial" w:hAnsi="Arial"/>
          <w:sz w:val="15"/>
          <w:szCs w:val="15"/>
          <w:color w:val="auto"/>
        </w:rPr>
        <w:t>Assumes Mr. Batten was employed the entire fiscal year, and therefore is entitled to full bonus. This also assumes no discretionary component is paid.</w:t>
      </w:r>
    </w:p>
    <w:p>
      <w:pPr>
        <w:spacing w:after="0" w:line="288" w:lineRule="exact"/>
        <w:rPr>
          <w:rFonts w:ascii="Arial" w:cs="Arial" w:eastAsia="Arial" w:hAnsi="Arial"/>
          <w:sz w:val="15"/>
          <w:szCs w:val="15"/>
          <w:color w:val="auto"/>
        </w:rPr>
      </w:pPr>
    </w:p>
    <w:p>
      <w:pPr>
        <w:ind w:left="408" w:hanging="408"/>
        <w:spacing w:after="0"/>
        <w:tabs>
          <w:tab w:leader="none" w:pos="40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amount reflects performance awards payable for the performance period ending June 30, 2008. This assumes Mr. Batten was employed through June 30, 2008.</w:t>
      </w:r>
    </w:p>
    <w:p>
      <w:pPr>
        <w:spacing w:after="0" w:line="299" w:lineRule="exact"/>
        <w:rPr>
          <w:rFonts w:ascii="Arial" w:cs="Arial" w:eastAsia="Arial" w:hAnsi="Arial"/>
          <w:sz w:val="14"/>
          <w:szCs w:val="14"/>
          <w:color w:val="auto"/>
        </w:rPr>
      </w:pPr>
    </w:p>
    <w:p>
      <w:pPr>
        <w:ind w:left="408" w:hanging="408"/>
        <w:spacing w:after="0"/>
        <w:tabs>
          <w:tab w:leader="none" w:pos="408"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 values in this column assume a share or unit value of $20.93, the closing price on June 30, 2008.</w:t>
      </w:r>
    </w:p>
    <w:p>
      <w:pPr>
        <w:spacing w:after="0" w:line="276" w:lineRule="exact"/>
        <w:rPr>
          <w:rFonts w:ascii="Arial" w:cs="Arial" w:eastAsia="Arial" w:hAnsi="Arial"/>
          <w:sz w:val="15"/>
          <w:szCs w:val="15"/>
          <w:color w:val="auto"/>
        </w:rPr>
      </w:pPr>
    </w:p>
    <w:p>
      <w:pPr>
        <w:ind w:left="408" w:right="160" w:hanging="408"/>
        <w:spacing w:after="0" w:line="281" w:lineRule="auto"/>
        <w:tabs>
          <w:tab w:leader="none" w:pos="408"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value was calculated by adding 100% of the performance stock and performance stock unit awards payable for the performance period ending June 30, 2008 (16,000) plus 2/3rds of the awards payable for the performance period ending June 30, 2009 (12,563) plus 1/3</w:t>
      </w:r>
      <w:r>
        <w:rPr>
          <w:rFonts w:ascii="Arial" w:cs="Arial" w:eastAsia="Arial" w:hAnsi="Arial"/>
          <w:sz w:val="24"/>
          <w:szCs w:val="24"/>
          <w:color w:val="auto"/>
          <w:vertAlign w:val="superscript"/>
        </w:rPr>
        <w:t>rd</w:t>
      </w:r>
      <w:r>
        <w:rPr>
          <w:rFonts w:ascii="Arial" w:cs="Arial" w:eastAsia="Arial" w:hAnsi="Arial"/>
          <w:sz w:val="13"/>
          <w:szCs w:val="13"/>
          <w:color w:val="auto"/>
        </w:rPr>
        <w:t xml:space="preserve"> of the awards payable for the performance period ending June 30, 2010 (3,825), assuming achievement of target performance levels. The total number of shares was multiplied by $20.93, the closing price of Twin Disc shares on June 30, 2008.</w:t>
      </w:r>
    </w:p>
    <w:p>
      <w:pPr>
        <w:spacing w:after="0" w:line="201" w:lineRule="exact"/>
        <w:rPr>
          <w:rFonts w:ascii="Arial" w:cs="Arial" w:eastAsia="Arial" w:hAnsi="Arial"/>
          <w:sz w:val="13"/>
          <w:szCs w:val="13"/>
          <w:color w:val="auto"/>
        </w:rPr>
      </w:pPr>
    </w:p>
    <w:p>
      <w:pPr>
        <w:ind w:left="408" w:hanging="408"/>
        <w:spacing w:after="0" w:line="279" w:lineRule="auto"/>
        <w:tabs>
          <w:tab w:leader="none" w:pos="40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amount is the value of six months of benefits under the Company’s short-term disability program for Salaried employees. Any benefits payable after six months are provided by a fully- insured disability carrier.</w:t>
      </w:r>
    </w:p>
    <w:p>
      <w:pPr>
        <w:spacing w:after="0" w:line="220" w:lineRule="exact"/>
        <w:rPr>
          <w:rFonts w:ascii="Arial" w:cs="Arial" w:eastAsia="Arial" w:hAnsi="Arial"/>
          <w:sz w:val="15"/>
          <w:szCs w:val="15"/>
          <w:color w:val="auto"/>
        </w:rPr>
      </w:pPr>
    </w:p>
    <w:p>
      <w:pPr>
        <w:ind w:left="408" w:right="660" w:hanging="408"/>
        <w:spacing w:after="0" w:line="279" w:lineRule="auto"/>
        <w:tabs>
          <w:tab w:leader="none" w:pos="408" w:val="left"/>
        </w:tabs>
        <w:numPr>
          <w:ilvl w:val="0"/>
          <w:numId w:val="33"/>
        </w:numPr>
        <w:rPr>
          <w:rFonts w:ascii="Arial" w:cs="Arial" w:eastAsia="Arial" w:hAnsi="Arial"/>
          <w:sz w:val="15"/>
          <w:szCs w:val="15"/>
          <w:color w:val="auto"/>
        </w:rPr>
      </w:pPr>
      <w:r>
        <w:rPr>
          <w:rFonts w:ascii="Arial" w:cs="Arial" w:eastAsia="Arial" w:hAnsi="Arial"/>
          <w:sz w:val="15"/>
          <w:szCs w:val="15"/>
          <w:color w:val="auto"/>
        </w:rPr>
        <w:t>Under the change in control severance agreement, Mr. Batten is entitled to 2.0 times his base salary plus most recent bonus as severance payments ($895,050) plus benefit continuation for 24 months ($42,750).</w:t>
      </w:r>
    </w:p>
    <w:p>
      <w:pPr>
        <w:spacing w:after="0" w:line="243" w:lineRule="exact"/>
        <w:rPr>
          <w:rFonts w:ascii="Arial" w:cs="Arial" w:eastAsia="Arial" w:hAnsi="Arial"/>
          <w:sz w:val="15"/>
          <w:szCs w:val="15"/>
          <w:color w:val="auto"/>
        </w:rPr>
      </w:pPr>
    </w:p>
    <w:p>
      <w:pPr>
        <w:ind w:left="408" w:right="80" w:hanging="408"/>
        <w:spacing w:after="0" w:line="268" w:lineRule="auto"/>
        <w:tabs>
          <w:tab w:leader="none" w:pos="408" w:val="left"/>
        </w:tabs>
        <w:numPr>
          <w:ilvl w:val="0"/>
          <w:numId w:val="33"/>
        </w:numPr>
        <w:rPr>
          <w:rFonts w:ascii="Arial" w:cs="Arial" w:eastAsia="Arial" w:hAnsi="Arial"/>
          <w:sz w:val="15"/>
          <w:szCs w:val="15"/>
          <w:color w:val="auto"/>
        </w:rPr>
      </w:pPr>
      <w:r>
        <w:rPr>
          <w:rFonts w:ascii="Arial" w:cs="Arial" w:eastAsia="Arial" w:hAnsi="Arial"/>
          <w:sz w:val="15"/>
          <w:szCs w:val="15"/>
          <w:color w:val="auto"/>
        </w:rPr>
        <w:t>Upon termination in the event of a change in control, performance stock and performance units immediately vest, and stock or cash is paid under the agreements as if the maximum performance objective was achieved. This amount represents the total of 52,000 performance stock and performance stock unit awards valued at $20.93, the closing price of Twin Disc shares on June 30, 2009.</w:t>
      </w:r>
    </w:p>
    <w:p>
      <w:pPr>
        <w:sectPr>
          <w:pgSz w:w="11900" w:h="16838" w:orient="portrait"/>
          <w:cols w:equalWidth="0" w:num="1">
            <w:col w:w="11268"/>
          </w:cols>
          <w:pgMar w:left="232" w:top="132" w:right="399" w:bottom="0" w:gutter="0" w:footer="0" w:header="0"/>
        </w:sectPr>
      </w:pPr>
    </w:p>
    <w:bookmarkStart w:id="22" w:name="page23"/>
    <w:bookmarkEnd w:id="22"/>
    <w:p>
      <w:pPr>
        <w:spacing w:after="0" w:line="23"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286625"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86"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H. Claude Fabry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(3)</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91"/>
              </w:rPr>
              <w:t>Value of Accelerated</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(1)</w:t>
            </w: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89"/>
              </w:rPr>
              <w:t>Restricted Stock,</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Termination Event</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86"/>
              </w:rPr>
              <w:t>Base Salary</w:t>
            </w:r>
          </w:p>
        </w:tc>
        <w:tc>
          <w:tcPr>
            <w:tcW w:w="2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5"/>
                <w:szCs w:val="15"/>
                <w:color w:val="auto"/>
              </w:rPr>
              <w:t>Bonus</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4"/>
              </w:rPr>
              <w:t>Non-Equity</w:t>
            </w: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89"/>
              </w:rPr>
              <w:t>Performance Stock</w:t>
            </w:r>
          </w:p>
        </w:tc>
        <w:tc>
          <w:tcPr>
            <w:tcW w:w="3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Other Benefits</w:t>
            </w:r>
          </w:p>
        </w:tc>
        <w:tc>
          <w:tcPr>
            <w:tcW w:w="2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w w:val="95"/>
              </w:rPr>
              <w:t>Total</w:t>
            </w:r>
          </w:p>
        </w:tc>
      </w:tr>
      <w:tr>
        <w:trPr>
          <w:trHeight w:val="219"/>
        </w:trPr>
        <w:tc>
          <w:tcPr>
            <w:tcW w:w="1920" w:type="dxa"/>
            <w:vAlign w:val="bottom"/>
          </w:tcPr>
          <w:p>
            <w:pPr>
              <w:ind w:left="840"/>
              <w:spacing w:after="0"/>
              <w:rPr>
                <w:sz w:val="20"/>
                <w:szCs w:val="20"/>
                <w:color w:val="auto"/>
              </w:rPr>
            </w:pPr>
            <w:r>
              <w:rPr>
                <w:rFonts w:ascii="Arial" w:cs="Arial" w:eastAsia="Arial" w:hAnsi="Arial"/>
                <w:sz w:val="15"/>
                <w:szCs w:val="15"/>
                <w:color w:val="auto"/>
              </w:rPr>
              <w:t>(9)</w:t>
            </w:r>
          </w:p>
        </w:tc>
        <w:tc>
          <w:tcPr>
            <w:tcW w:w="1320" w:type="dxa"/>
            <w:vAlign w:val="bottom"/>
            <w:gridSpan w:val="2"/>
          </w:tcPr>
          <w:p>
            <w:pPr>
              <w:jc w:val="center"/>
              <w:ind w:left="145"/>
              <w:spacing w:after="0"/>
              <w:rPr>
                <w:sz w:val="20"/>
                <w:szCs w:val="20"/>
                <w:color w:val="auto"/>
              </w:rPr>
            </w:pPr>
            <w:r>
              <w:rPr>
                <w:rFonts w:ascii="Arial" w:cs="Arial" w:eastAsia="Arial" w:hAnsi="Arial"/>
                <w:sz w:val="15"/>
                <w:szCs w:val="15"/>
                <w:color w:val="auto"/>
                <w:w w:val="97"/>
              </w:rPr>
              <w:t>($)</w:t>
            </w:r>
          </w:p>
        </w:tc>
        <w:tc>
          <w:tcPr>
            <w:tcW w:w="92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88"/>
              </w:rPr>
              <w:t>and Performance</w:t>
            </w:r>
          </w:p>
        </w:tc>
        <w:tc>
          <w:tcPr>
            <w:tcW w:w="1640" w:type="dxa"/>
            <w:vAlign w:val="bottom"/>
            <w:gridSpan w:val="2"/>
          </w:tcPr>
          <w:p>
            <w:pPr>
              <w:jc w:val="right"/>
              <w:ind w:right="485"/>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65"/>
              <w:spacing w:after="0"/>
              <w:rPr>
                <w:sz w:val="20"/>
                <w:szCs w:val="20"/>
                <w:color w:val="auto"/>
              </w:rPr>
            </w:pPr>
            <w:r>
              <w:rPr>
                <w:rFonts w:ascii="Arial" w:cs="Arial" w:eastAsia="Arial" w:hAnsi="Arial"/>
                <w:sz w:val="15"/>
                <w:szCs w:val="15"/>
                <w:color w:val="auto"/>
              </w:rPr>
              <w:t>($)</w:t>
            </w: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w:t>
            </w: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91"/>
              </w:rPr>
              <w:t>Stock Units, and</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5"/>
                <w:szCs w:val="15"/>
                <w:color w:val="auto"/>
                <w:w w:val="92"/>
              </w:rPr>
              <w:t>Stock Options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40" w:type="dxa"/>
            <w:vAlign w:val="bottom"/>
            <w:gridSpan w:val="2"/>
          </w:tcPr>
          <w:p>
            <w:pPr>
              <w:jc w:val="center"/>
              <w:ind w:left="138"/>
              <w:spacing w:after="0"/>
              <w:rPr>
                <w:sz w:val="20"/>
                <w:szCs w:val="20"/>
                <w:color w:val="auto"/>
              </w:rPr>
            </w:pPr>
            <w:r>
              <w:rPr>
                <w:rFonts w:ascii="Arial" w:cs="Arial" w:eastAsia="Arial" w:hAnsi="Arial"/>
                <w:sz w:val="15"/>
                <w:szCs w:val="15"/>
                <w:color w:val="auto"/>
                <w:w w:val="97"/>
              </w:rPr>
              <w:t>($)</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24"/>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523"/>
        </w:trPr>
        <w:tc>
          <w:tcPr>
            <w:tcW w:w="1920" w:type="dxa"/>
            <w:vAlign w:val="bottom"/>
          </w:tcPr>
          <w:p>
            <w:pPr>
              <w:spacing w:after="0"/>
              <w:rPr>
                <w:sz w:val="20"/>
                <w:szCs w:val="20"/>
                <w:color w:val="auto"/>
              </w:rPr>
            </w:pPr>
            <w:r>
              <w:rPr>
                <w:rFonts w:ascii="Arial" w:cs="Arial" w:eastAsia="Arial" w:hAnsi="Arial"/>
                <w:sz w:val="15"/>
                <w:szCs w:val="15"/>
                <w:color w:val="auto"/>
              </w:rPr>
              <w:t>Normal Retirement prior to a</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right"/>
              <w:ind w:right="405"/>
              <w:spacing w:after="0"/>
              <w:rPr>
                <w:sz w:val="20"/>
                <w:szCs w:val="20"/>
                <w:color w:val="auto"/>
              </w:rPr>
            </w:pPr>
            <w:r>
              <w:rPr>
                <w:rFonts w:ascii="Arial" w:cs="Arial" w:eastAsia="Arial" w:hAnsi="Arial"/>
                <w:sz w:val="12"/>
                <w:szCs w:val="12"/>
                <w:color w:val="auto"/>
              </w:rPr>
              <w:t>$143,212</w:t>
            </w:r>
          </w:p>
        </w:tc>
        <w:tc>
          <w:tcPr>
            <w:tcW w:w="17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$277,155 (4)</w:t>
            </w:r>
          </w:p>
        </w:tc>
        <w:tc>
          <w:tcPr>
            <w:tcW w:w="1640" w:type="dxa"/>
            <w:vAlign w:val="bottom"/>
            <w:gridSpan w:val="2"/>
          </w:tcPr>
          <w:p>
            <w:pPr>
              <w:jc w:val="center"/>
              <w:ind w:left="220"/>
              <w:spacing w:after="0"/>
              <w:rPr>
                <w:sz w:val="20"/>
                <w:szCs w:val="20"/>
                <w:color w:val="auto"/>
              </w:rPr>
            </w:pPr>
            <w:r>
              <w:rPr>
                <w:rFonts w:ascii="Arial" w:cs="Arial" w:eastAsia="Arial" w:hAnsi="Arial"/>
                <w:sz w:val="12"/>
                <w:szCs w:val="12"/>
                <w:color w:val="auto"/>
                <w:w w:val="89"/>
              </w:rPr>
              <w:t>$0</w:t>
            </w:r>
          </w:p>
        </w:tc>
        <w:tc>
          <w:tcPr>
            <w:tcW w:w="10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$420,367</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Change in Control</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Death</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right"/>
              <w:ind w:right="405"/>
              <w:spacing w:after="0"/>
              <w:rPr>
                <w:sz w:val="20"/>
                <w:szCs w:val="20"/>
                <w:color w:val="auto"/>
              </w:rPr>
            </w:pPr>
            <w:r>
              <w:rPr>
                <w:rFonts w:ascii="Arial" w:cs="Arial" w:eastAsia="Arial" w:hAnsi="Arial"/>
                <w:sz w:val="12"/>
                <w:szCs w:val="12"/>
                <w:color w:val="auto"/>
              </w:rPr>
              <w:t>$143,212</w:t>
            </w:r>
          </w:p>
        </w:tc>
        <w:tc>
          <w:tcPr>
            <w:tcW w:w="1740" w:type="dxa"/>
            <w:vAlign w:val="bottom"/>
            <w:gridSpan w:val="2"/>
          </w:tcPr>
          <w:p>
            <w:pPr>
              <w:jc w:val="center"/>
              <w:ind w:left="98"/>
              <w:spacing w:after="0"/>
              <w:rPr>
                <w:sz w:val="20"/>
                <w:szCs w:val="20"/>
                <w:color w:val="auto"/>
              </w:rPr>
            </w:pPr>
            <w:r>
              <w:rPr>
                <w:rFonts w:ascii="Arial" w:cs="Arial" w:eastAsia="Arial" w:hAnsi="Arial"/>
                <w:sz w:val="12"/>
                <w:szCs w:val="12"/>
                <w:color w:val="auto"/>
                <w:w w:val="89"/>
              </w:rPr>
              <w:t>$277,155(4)</w:t>
            </w:r>
          </w:p>
        </w:tc>
        <w:tc>
          <w:tcPr>
            <w:tcW w:w="1640" w:type="dxa"/>
            <w:vAlign w:val="bottom"/>
            <w:gridSpan w:val="2"/>
          </w:tcPr>
          <w:p>
            <w:pPr>
              <w:jc w:val="center"/>
              <w:ind w:left="220"/>
              <w:spacing w:after="0"/>
              <w:rPr>
                <w:sz w:val="20"/>
                <w:szCs w:val="20"/>
                <w:color w:val="auto"/>
              </w:rPr>
            </w:pPr>
            <w:r>
              <w:rPr>
                <w:rFonts w:ascii="Arial" w:cs="Arial" w:eastAsia="Arial" w:hAnsi="Arial"/>
                <w:sz w:val="12"/>
                <w:szCs w:val="12"/>
                <w:color w:val="auto"/>
                <w:w w:val="89"/>
              </w:rPr>
              <w:t>$0</w:t>
            </w:r>
          </w:p>
        </w:tc>
        <w:tc>
          <w:tcPr>
            <w:tcW w:w="10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$420,367</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Disability</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right"/>
              <w:ind w:right="405"/>
              <w:spacing w:after="0"/>
              <w:rPr>
                <w:sz w:val="20"/>
                <w:szCs w:val="20"/>
                <w:color w:val="auto"/>
              </w:rPr>
            </w:pPr>
            <w:r>
              <w:rPr>
                <w:rFonts w:ascii="Arial" w:cs="Arial" w:eastAsia="Arial" w:hAnsi="Arial"/>
                <w:sz w:val="12"/>
                <w:szCs w:val="12"/>
                <w:color w:val="auto"/>
              </w:rPr>
              <w:t>$143,212</w:t>
            </w:r>
          </w:p>
        </w:tc>
        <w:tc>
          <w:tcPr>
            <w:tcW w:w="17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$277,155 (4)</w:t>
            </w:r>
          </w:p>
        </w:tc>
        <w:tc>
          <w:tcPr>
            <w:tcW w:w="1640" w:type="dxa"/>
            <w:vAlign w:val="bottom"/>
            <w:gridSpan w:val="2"/>
          </w:tcPr>
          <w:p>
            <w:pPr>
              <w:jc w:val="center"/>
              <w:ind w:left="240"/>
              <w:spacing w:after="0"/>
              <w:rPr>
                <w:sz w:val="20"/>
                <w:szCs w:val="20"/>
                <w:color w:val="auto"/>
              </w:rPr>
            </w:pPr>
            <w:r>
              <w:rPr>
                <w:rFonts w:ascii="Arial" w:cs="Arial" w:eastAsia="Arial" w:hAnsi="Arial"/>
                <w:sz w:val="12"/>
                <w:szCs w:val="12"/>
                <w:color w:val="auto"/>
                <w:w w:val="87"/>
              </w:rPr>
              <w:t>$17,034 (5)</w:t>
            </w:r>
          </w:p>
        </w:tc>
        <w:tc>
          <w:tcPr>
            <w:tcW w:w="10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$437,401</w:t>
            </w:r>
          </w:p>
        </w:tc>
      </w:tr>
      <w:tr>
        <w:trPr>
          <w:trHeight w:val="106"/>
        </w:trPr>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90"/>
        </w:trPr>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9"/>
        </w:trPr>
        <w:tc>
          <w:tcPr>
            <w:tcW w:w="1920" w:type="dxa"/>
            <w:vAlign w:val="bottom"/>
          </w:tcPr>
          <w:p>
            <w:pPr>
              <w:spacing w:after="0"/>
              <w:rPr>
                <w:sz w:val="20"/>
                <w:szCs w:val="20"/>
                <w:color w:val="auto"/>
              </w:rPr>
            </w:pPr>
            <w:r>
              <w:rPr>
                <w:rFonts w:ascii="Arial" w:cs="Arial" w:eastAsia="Arial" w:hAnsi="Arial"/>
                <w:sz w:val="15"/>
                <w:szCs w:val="15"/>
                <w:color w:val="auto"/>
              </w:rPr>
              <w:t>Termination for Cause</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right"/>
              <w:ind w:right="405"/>
              <w:spacing w:after="0"/>
              <w:rPr>
                <w:sz w:val="20"/>
                <w:szCs w:val="20"/>
                <w:color w:val="auto"/>
              </w:rPr>
            </w:pPr>
            <w:r>
              <w:rPr>
                <w:rFonts w:ascii="Arial" w:cs="Arial" w:eastAsia="Arial" w:hAnsi="Arial"/>
                <w:sz w:val="12"/>
                <w:szCs w:val="12"/>
                <w:color w:val="auto"/>
              </w:rPr>
              <w:t>$143,212</w:t>
            </w:r>
          </w:p>
        </w:tc>
        <w:tc>
          <w:tcPr>
            <w:tcW w:w="17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$150,696 (2)</w:t>
            </w:r>
          </w:p>
        </w:tc>
        <w:tc>
          <w:tcPr>
            <w:tcW w:w="1640" w:type="dxa"/>
            <w:vAlign w:val="bottom"/>
            <w:gridSpan w:val="2"/>
          </w:tcPr>
          <w:p>
            <w:pPr>
              <w:jc w:val="center"/>
              <w:ind w:left="220"/>
              <w:spacing w:after="0"/>
              <w:rPr>
                <w:sz w:val="20"/>
                <w:szCs w:val="20"/>
                <w:color w:val="auto"/>
              </w:rPr>
            </w:pPr>
            <w:r>
              <w:rPr>
                <w:rFonts w:ascii="Arial" w:cs="Arial" w:eastAsia="Arial" w:hAnsi="Arial"/>
                <w:sz w:val="12"/>
                <w:szCs w:val="12"/>
                <w:color w:val="auto"/>
                <w:w w:val="88"/>
              </w:rPr>
              <w:t>$334,555 (6)</w:t>
            </w:r>
          </w:p>
        </w:tc>
        <w:tc>
          <w:tcPr>
            <w:tcW w:w="10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$628,463</w:t>
            </w:r>
          </w:p>
        </w:tc>
      </w:tr>
      <w:tr>
        <w:trPr>
          <w:trHeight w:val="209"/>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16"/>
        </w:trPr>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1920" w:type="dxa"/>
            <w:vAlign w:val="bottom"/>
          </w:tcPr>
          <w:p>
            <w:pPr>
              <w:spacing w:after="0"/>
              <w:rPr>
                <w:sz w:val="20"/>
                <w:szCs w:val="20"/>
                <w:color w:val="auto"/>
              </w:rPr>
            </w:pPr>
            <w:r>
              <w:rPr>
                <w:rFonts w:ascii="Arial" w:cs="Arial" w:eastAsia="Arial" w:hAnsi="Arial"/>
                <w:sz w:val="15"/>
                <w:szCs w:val="15"/>
                <w:color w:val="auto"/>
                <w:w w:val="95"/>
              </w:rPr>
              <w:t>Voluntary Termination Prior to</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right"/>
              <w:ind w:right="405"/>
              <w:spacing w:after="0"/>
              <w:rPr>
                <w:sz w:val="20"/>
                <w:szCs w:val="20"/>
                <w:color w:val="auto"/>
              </w:rPr>
            </w:pPr>
            <w:r>
              <w:rPr>
                <w:rFonts w:ascii="Arial" w:cs="Arial" w:eastAsia="Arial" w:hAnsi="Arial"/>
                <w:sz w:val="12"/>
                <w:szCs w:val="12"/>
                <w:color w:val="auto"/>
              </w:rPr>
              <w:t>$143,212</w:t>
            </w:r>
          </w:p>
        </w:tc>
        <w:tc>
          <w:tcPr>
            <w:tcW w:w="17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$150,696 (2)</w:t>
            </w:r>
          </w:p>
        </w:tc>
        <w:tc>
          <w:tcPr>
            <w:tcW w:w="1640" w:type="dxa"/>
            <w:vAlign w:val="bottom"/>
            <w:gridSpan w:val="2"/>
          </w:tcPr>
          <w:p>
            <w:pPr>
              <w:jc w:val="center"/>
              <w:ind w:left="220"/>
              <w:spacing w:after="0"/>
              <w:rPr>
                <w:sz w:val="20"/>
                <w:szCs w:val="20"/>
                <w:color w:val="auto"/>
              </w:rPr>
            </w:pPr>
            <w:r>
              <w:rPr>
                <w:rFonts w:ascii="Arial" w:cs="Arial" w:eastAsia="Arial" w:hAnsi="Arial"/>
                <w:sz w:val="12"/>
                <w:szCs w:val="12"/>
                <w:color w:val="auto"/>
                <w:w w:val="89"/>
              </w:rPr>
              <w:t>$0</w:t>
            </w:r>
          </w:p>
        </w:tc>
        <w:tc>
          <w:tcPr>
            <w:tcW w:w="1060" w:type="dxa"/>
            <w:vAlign w:val="bottom"/>
            <w:gridSpan w:val="2"/>
          </w:tcPr>
          <w:p>
            <w:pPr>
              <w:jc w:val="center"/>
              <w:ind w:left="120"/>
              <w:spacing w:after="0"/>
              <w:rPr>
                <w:sz w:val="20"/>
                <w:szCs w:val="20"/>
                <w:color w:val="auto"/>
              </w:rPr>
            </w:pPr>
            <w:r>
              <w:rPr>
                <w:rFonts w:ascii="Arial" w:cs="Arial" w:eastAsia="Arial" w:hAnsi="Arial"/>
                <w:sz w:val="12"/>
                <w:szCs w:val="12"/>
                <w:color w:val="auto"/>
                <w:w w:val="87"/>
              </w:rPr>
              <w:t>$293,908</w:t>
            </w:r>
          </w:p>
        </w:tc>
      </w:tr>
      <w:tr>
        <w:trPr>
          <w:trHeight w:val="93"/>
        </w:trPr>
        <w:tc>
          <w:tcPr>
            <w:tcW w:w="1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5"/>
                <w:szCs w:val="15"/>
                <w:color w:val="auto"/>
              </w:rPr>
              <w:t>Retirement</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Involuntary Termination or</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6"/>
              </w:rPr>
              <w:t>Paid through last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$0</w:t>
            </w:r>
          </w:p>
        </w:tc>
        <w:tc>
          <w:tcPr>
            <w:tcW w:w="1540" w:type="dxa"/>
            <w:vAlign w:val="bottom"/>
            <w:gridSpan w:val="2"/>
          </w:tcPr>
          <w:p>
            <w:pPr>
              <w:jc w:val="right"/>
              <w:ind w:right="405"/>
              <w:spacing w:after="0"/>
              <w:rPr>
                <w:sz w:val="20"/>
                <w:szCs w:val="20"/>
                <w:color w:val="auto"/>
              </w:rPr>
            </w:pPr>
            <w:r>
              <w:rPr>
                <w:rFonts w:ascii="Arial" w:cs="Arial" w:eastAsia="Arial" w:hAnsi="Arial"/>
                <w:sz w:val="12"/>
                <w:szCs w:val="12"/>
                <w:color w:val="auto"/>
              </w:rPr>
              <w:t>$143,212</w:t>
            </w:r>
          </w:p>
        </w:tc>
        <w:tc>
          <w:tcPr>
            <w:tcW w:w="1740" w:type="dxa"/>
            <w:vAlign w:val="bottom"/>
            <w:gridSpan w:val="2"/>
          </w:tcPr>
          <w:p>
            <w:pPr>
              <w:jc w:val="center"/>
              <w:ind w:left="98"/>
              <w:spacing w:after="0"/>
              <w:rPr>
                <w:sz w:val="20"/>
                <w:szCs w:val="20"/>
                <w:color w:val="auto"/>
              </w:rPr>
            </w:pPr>
            <w:r>
              <w:rPr>
                <w:rFonts w:ascii="Arial" w:cs="Arial" w:eastAsia="Arial" w:hAnsi="Arial"/>
                <w:sz w:val="12"/>
                <w:szCs w:val="12"/>
                <w:color w:val="auto"/>
                <w:w w:val="85"/>
              </w:rPr>
              <w:t>$448,974 (8)</w:t>
            </w:r>
          </w:p>
        </w:tc>
        <w:tc>
          <w:tcPr>
            <w:tcW w:w="1640" w:type="dxa"/>
            <w:vAlign w:val="bottom"/>
            <w:gridSpan w:val="2"/>
          </w:tcPr>
          <w:p>
            <w:pPr>
              <w:jc w:val="center"/>
              <w:ind w:left="220"/>
              <w:spacing w:after="0"/>
              <w:rPr>
                <w:sz w:val="20"/>
                <w:szCs w:val="20"/>
                <w:color w:val="auto"/>
              </w:rPr>
            </w:pPr>
            <w:r>
              <w:rPr>
                <w:rFonts w:ascii="Arial" w:cs="Arial" w:eastAsia="Arial" w:hAnsi="Arial"/>
                <w:sz w:val="12"/>
                <w:szCs w:val="12"/>
                <w:color w:val="auto"/>
                <w:w w:val="88"/>
              </w:rPr>
              <w:t>$611,236 (7)</w:t>
            </w:r>
          </w:p>
        </w:tc>
        <w:tc>
          <w:tcPr>
            <w:tcW w:w="1060" w:type="dxa"/>
            <w:vAlign w:val="bottom"/>
            <w:gridSpan w:val="2"/>
          </w:tcPr>
          <w:p>
            <w:pPr>
              <w:jc w:val="center"/>
              <w:ind w:left="120"/>
              <w:spacing w:after="0"/>
              <w:rPr>
                <w:sz w:val="20"/>
                <w:szCs w:val="20"/>
                <w:color w:val="auto"/>
              </w:rPr>
            </w:pPr>
            <w:r>
              <w:rPr>
                <w:rFonts w:ascii="Arial" w:cs="Arial" w:eastAsia="Arial" w:hAnsi="Arial"/>
                <w:sz w:val="12"/>
                <w:szCs w:val="12"/>
                <w:color w:val="auto"/>
                <w:w w:val="86"/>
              </w:rPr>
              <w:t>$1,203,422</w:t>
            </w: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Resignation for Good Cause</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87"/>
              </w:rPr>
              <w:t>day worked</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1920" w:type="dxa"/>
            <w:vAlign w:val="bottom"/>
          </w:tcPr>
          <w:p>
            <w:pPr>
              <w:spacing w:after="0"/>
              <w:rPr>
                <w:sz w:val="20"/>
                <w:szCs w:val="20"/>
                <w:color w:val="auto"/>
              </w:rPr>
            </w:pPr>
            <w:r>
              <w:rPr>
                <w:rFonts w:ascii="Arial" w:cs="Arial" w:eastAsia="Arial" w:hAnsi="Arial"/>
                <w:sz w:val="15"/>
                <w:szCs w:val="15"/>
                <w:color w:val="auto"/>
              </w:rPr>
              <w:t>Following Change in Control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-2933065</wp:posOffset>
            </wp:positionV>
            <wp:extent cx="1270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-2933065</wp:posOffset>
            </wp:positionV>
            <wp:extent cx="1270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-2933065</wp:posOffset>
            </wp:positionV>
            <wp:extent cx="1270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-2933065</wp:posOffset>
            </wp:positionV>
            <wp:extent cx="1270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-2933065</wp:posOffset>
            </wp:positionV>
            <wp:extent cx="1270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-2933065</wp:posOffset>
            </wp:positionV>
            <wp:extent cx="127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-2933065</wp:posOffset>
            </wp:positionV>
            <wp:extent cx="1270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-2933065</wp:posOffset>
            </wp:positionV>
            <wp:extent cx="1270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-2933065</wp:posOffset>
            </wp:positionV>
            <wp:extent cx="1270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-2933065</wp:posOffset>
            </wp:positionV>
            <wp:extent cx="1270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-2933065</wp:posOffset>
            </wp:positionV>
            <wp:extent cx="1270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-2933065</wp:posOffset>
            </wp:positionV>
            <wp:extent cx="1270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-2933065</wp:posOffset>
            </wp:positionV>
            <wp:extent cx="1270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-2933065</wp:posOffset>
            </wp:positionV>
            <wp:extent cx="1270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5" w:lineRule="exact"/>
        <w:rPr>
          <w:sz w:val="20"/>
          <w:szCs w:val="20"/>
          <w:color w:val="auto"/>
        </w:rPr>
      </w:pPr>
    </w:p>
    <w:p>
      <w:pPr>
        <w:ind w:left="408" w:hanging="408"/>
        <w:spacing w:after="0"/>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Assumes Mr. Fabry was employed the entire fiscal year, and therefore is entitled to full bonus. This also assumes no discretionary component is paid.</w:t>
      </w:r>
    </w:p>
    <w:p>
      <w:pPr>
        <w:spacing w:after="0" w:line="265" w:lineRule="exact"/>
        <w:rPr>
          <w:rFonts w:ascii="Arial" w:cs="Arial" w:eastAsia="Arial" w:hAnsi="Arial"/>
          <w:sz w:val="15"/>
          <w:szCs w:val="15"/>
          <w:color w:val="auto"/>
        </w:rPr>
      </w:pPr>
    </w:p>
    <w:p>
      <w:pPr>
        <w:ind w:left="408" w:hanging="408"/>
        <w:spacing w:after="0"/>
        <w:tabs>
          <w:tab w:leader="none" w:pos="408"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This amount reflects performance awards payable for the performance period ending June 30, 2008. This assumes Mr. Fabry was employed through June 30, 2008.</w:t>
      </w:r>
    </w:p>
    <w:p>
      <w:pPr>
        <w:spacing w:after="0" w:line="287" w:lineRule="exact"/>
        <w:rPr>
          <w:rFonts w:ascii="Arial" w:cs="Arial" w:eastAsia="Arial" w:hAnsi="Arial"/>
          <w:sz w:val="13"/>
          <w:szCs w:val="13"/>
          <w:color w:val="auto"/>
        </w:rPr>
      </w:pPr>
    </w:p>
    <w:p>
      <w:pPr>
        <w:ind w:left="408" w:hanging="408"/>
        <w:spacing w:after="0"/>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values in this column assume a share or unit value of $20.93, the closing price on June 30, 2008.</w:t>
      </w:r>
    </w:p>
    <w:p>
      <w:pPr>
        <w:spacing w:after="0" w:line="253" w:lineRule="exact"/>
        <w:rPr>
          <w:rFonts w:ascii="Arial" w:cs="Arial" w:eastAsia="Arial" w:hAnsi="Arial"/>
          <w:sz w:val="15"/>
          <w:szCs w:val="15"/>
          <w:color w:val="auto"/>
        </w:rPr>
      </w:pPr>
    </w:p>
    <w:p>
      <w:pPr>
        <w:ind w:left="408" w:hanging="408"/>
        <w:spacing w:after="0" w:line="228" w:lineRule="auto"/>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This value was calculated by adding 100% of the performance stock and performance stock unit awards payable for the performance period ending June 30, 2008 (7,200) plus 2/3rds of the awards payable for the performance period ending June 30, 2009 (4,167) plus 1/3</w:t>
      </w:r>
      <w:r>
        <w:rPr>
          <w:rFonts w:ascii="Arial" w:cs="Arial" w:eastAsia="Arial" w:hAnsi="Arial"/>
          <w:sz w:val="29"/>
          <w:szCs w:val="29"/>
          <w:color w:val="auto"/>
          <w:vertAlign w:val="superscript"/>
        </w:rPr>
        <w:t>rd</w:t>
      </w:r>
      <w:r>
        <w:rPr>
          <w:rFonts w:ascii="Arial" w:cs="Arial" w:eastAsia="Arial" w:hAnsi="Arial"/>
          <w:sz w:val="15"/>
          <w:szCs w:val="15"/>
          <w:color w:val="auto"/>
        </w:rPr>
        <w:t xml:space="preserve"> of the awards payable for the performance period ending June 30, 2010 (1,875), assuming achievement of target performance levels. The total number of shares was multiplied by $20.93, the closing price of Twin Disc shares on June 30, 2008.</w:t>
      </w:r>
    </w:p>
    <w:p>
      <w:pPr>
        <w:spacing w:after="0" w:line="239" w:lineRule="exact"/>
        <w:rPr>
          <w:rFonts w:ascii="Arial" w:cs="Arial" w:eastAsia="Arial" w:hAnsi="Arial"/>
          <w:sz w:val="15"/>
          <w:szCs w:val="15"/>
          <w:color w:val="auto"/>
        </w:rPr>
      </w:pPr>
    </w:p>
    <w:p>
      <w:pPr>
        <w:ind w:left="408" w:hanging="408"/>
        <w:spacing w:after="0"/>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This amount is one-month’s salary under the Belgian subsidiary’s disability program.</w:t>
      </w:r>
    </w:p>
    <w:p>
      <w:pPr>
        <w:spacing w:after="0" w:line="288" w:lineRule="exact"/>
        <w:rPr>
          <w:rFonts w:ascii="Arial" w:cs="Arial" w:eastAsia="Arial" w:hAnsi="Arial"/>
          <w:sz w:val="15"/>
          <w:szCs w:val="15"/>
          <w:color w:val="auto"/>
        </w:rPr>
      </w:pPr>
    </w:p>
    <w:p>
      <w:pPr>
        <w:ind w:left="408" w:hanging="408"/>
        <w:spacing w:after="0"/>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Value of severance indemnity benefit required by Belgian law.</w:t>
      </w:r>
    </w:p>
    <w:p>
      <w:pPr>
        <w:spacing w:after="0" w:line="276" w:lineRule="exact"/>
        <w:rPr>
          <w:rFonts w:ascii="Arial" w:cs="Arial" w:eastAsia="Arial" w:hAnsi="Arial"/>
          <w:sz w:val="15"/>
          <w:szCs w:val="15"/>
          <w:color w:val="auto"/>
        </w:rPr>
      </w:pPr>
    </w:p>
    <w:p>
      <w:pPr>
        <w:ind w:left="408" w:right="260" w:hanging="408"/>
        <w:spacing w:after="0" w:line="316" w:lineRule="auto"/>
        <w:tabs>
          <w:tab w:leader="none" w:pos="408"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Under the change in control severance agreement, Mr. Fabry is entitled to 1.5 times his base salary plus most recent bonus as severance payments ($610,458), plus benefit continuation for 24 months ($778). The Belgian operation provides Mr. Fabry with supplemental hospitalization benefits.</w:t>
      </w:r>
    </w:p>
    <w:p>
      <w:pPr>
        <w:spacing w:after="0" w:line="197" w:lineRule="exact"/>
        <w:rPr>
          <w:rFonts w:ascii="Arial" w:cs="Arial" w:eastAsia="Arial" w:hAnsi="Arial"/>
          <w:sz w:val="14"/>
          <w:szCs w:val="14"/>
          <w:color w:val="auto"/>
        </w:rPr>
      </w:pPr>
    </w:p>
    <w:p>
      <w:pPr>
        <w:ind w:left="408" w:right="80" w:hanging="408"/>
        <w:spacing w:after="0" w:line="268" w:lineRule="auto"/>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Upon termination in the event of a change in control, performance stock and performance units immediately vest, and stock or cash is paid under the agreements as if the maximum performance objective was achieved. This amount represents the total of 21,451.2 performance stock and performance stock unit awards valued at $20.93, the closing price of Twin Disc shares on June 30, 2008.</w:t>
      </w:r>
    </w:p>
    <w:p>
      <w:pPr>
        <w:spacing w:after="0" w:line="239" w:lineRule="exact"/>
        <w:rPr>
          <w:rFonts w:ascii="Arial" w:cs="Arial" w:eastAsia="Arial" w:hAnsi="Arial"/>
          <w:sz w:val="15"/>
          <w:szCs w:val="15"/>
          <w:color w:val="auto"/>
        </w:rPr>
      </w:pPr>
    </w:p>
    <w:p>
      <w:pPr>
        <w:ind w:left="408" w:hanging="408"/>
        <w:spacing w:after="0"/>
        <w:tabs>
          <w:tab w:leader="none" w:pos="408"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benefits payable in Euro have been translated to dollars at the average currency exchange rate for fiscal 2008 of 1.47061.</w:t>
      </w:r>
    </w:p>
    <w:p>
      <w:pPr>
        <w:spacing w:after="0" w:line="200" w:lineRule="exact"/>
        <w:rPr>
          <w:sz w:val="20"/>
          <w:szCs w:val="20"/>
          <w:color w:val="auto"/>
        </w:rPr>
      </w:pPr>
    </w:p>
    <w:p>
      <w:pPr>
        <w:spacing w:after="0" w:line="237" w:lineRule="exact"/>
        <w:rPr>
          <w:sz w:val="20"/>
          <w:szCs w:val="20"/>
          <w:color w:val="auto"/>
        </w:rPr>
      </w:pPr>
    </w:p>
    <w:p>
      <w:pPr>
        <w:ind w:left="5628"/>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28"/>
        <w:spacing w:after="0"/>
        <w:rPr>
          <w:sz w:val="20"/>
          <w:szCs w:val="20"/>
          <w:color w:val="auto"/>
        </w:rPr>
      </w:pPr>
      <w:r>
        <w:rPr>
          <w:rFonts w:ascii="Arial" w:cs="Arial" w:eastAsia="Arial" w:hAnsi="Arial"/>
          <w:sz w:val="18"/>
          <w:szCs w:val="18"/>
          <w:b w:val="1"/>
          <w:bCs w:val="1"/>
          <w:color w:val="auto"/>
        </w:rPr>
        <w:t>Director Compensation</w:t>
      </w:r>
    </w:p>
    <w:p>
      <w:pPr>
        <w:spacing w:after="0" w:line="223"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following table summarizes information regarding the compensation received by each of our non-executive directors during fiscal 2008:</w:t>
      </w:r>
    </w:p>
    <w:p>
      <w:pPr>
        <w:spacing w:after="0" w:line="254"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Change in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4"/>
              </w:rPr>
              <w:t>Pension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5"/>
              </w:rPr>
              <w:t>Value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77"/>
              </w:rPr>
              <w:t>Fees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4"/>
              </w:rPr>
              <w:t>Non-Equity</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3"/>
              </w:rPr>
              <w:t>Nonqualified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6"/>
              </w:rPr>
              <w:t>Earned</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w w:val="90"/>
              </w:rPr>
              <w:t>Stock</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4"/>
              </w:rPr>
              <w:t>Option</w:t>
            </w:r>
          </w:p>
        </w:tc>
        <w:tc>
          <w:tcPr>
            <w:tcW w:w="1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91"/>
              </w:rPr>
              <w:t>Incentive Plan</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2"/>
              </w:rPr>
              <w:t>Deferred</w:t>
            </w:r>
          </w:p>
        </w:tc>
        <w:tc>
          <w:tcPr>
            <w:tcW w:w="200" w:type="dxa"/>
            <w:vAlign w:val="bottom"/>
          </w:tcPr>
          <w:p>
            <w:pPr>
              <w:spacing w:after="0"/>
              <w:rPr>
                <w:sz w:val="19"/>
                <w:szCs w:val="19"/>
                <w:color w:val="auto"/>
              </w:rPr>
            </w:pPr>
          </w:p>
        </w:tc>
        <w:tc>
          <w:tcPr>
            <w:tcW w:w="1940" w:type="dxa"/>
            <w:vAlign w:val="bottom"/>
            <w:gridSpan w:val="3"/>
          </w:tcPr>
          <w:p>
            <w:pPr>
              <w:jc w:val="center"/>
              <w:ind w:right="805"/>
              <w:spacing w:after="0"/>
              <w:rPr>
                <w:sz w:val="20"/>
                <w:szCs w:val="20"/>
                <w:color w:val="auto"/>
              </w:rPr>
            </w:pPr>
            <w:r>
              <w:rPr>
                <w:rFonts w:ascii="Arial" w:cs="Arial" w:eastAsia="Arial" w:hAnsi="Arial"/>
                <w:sz w:val="15"/>
                <w:szCs w:val="15"/>
                <w:color w:val="auto"/>
                <w:w w:val="99"/>
              </w:rPr>
              <w:t>All Other</w:t>
            </w:r>
          </w:p>
        </w:tc>
      </w:tr>
      <w:tr>
        <w:trPr>
          <w:trHeight w:val="219"/>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88"/>
              </w:rPr>
              <w:t>or Paid</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w w:val="87"/>
              </w:rPr>
              <w:t>Awards</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1"/>
              </w:rPr>
              <w:t>Awards</w:t>
            </w:r>
          </w:p>
        </w:tc>
        <w:tc>
          <w:tcPr>
            <w:tcW w:w="1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w w:val="88"/>
              </w:rPr>
              <w:t>Compensation</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Compensation</w:t>
            </w:r>
          </w:p>
        </w:tc>
        <w:tc>
          <w:tcPr>
            <w:tcW w:w="200" w:type="dxa"/>
            <w:vAlign w:val="bottom"/>
          </w:tcPr>
          <w:p>
            <w:pPr>
              <w:spacing w:after="0"/>
              <w:rPr>
                <w:sz w:val="19"/>
                <w:szCs w:val="19"/>
                <w:color w:val="auto"/>
              </w:rPr>
            </w:pPr>
          </w:p>
        </w:tc>
        <w:tc>
          <w:tcPr>
            <w:tcW w:w="1940" w:type="dxa"/>
            <w:vAlign w:val="bottom"/>
            <w:gridSpan w:val="3"/>
          </w:tcPr>
          <w:p>
            <w:pPr>
              <w:jc w:val="center"/>
              <w:ind w:right="805"/>
              <w:spacing w:after="0"/>
              <w:rPr>
                <w:sz w:val="20"/>
                <w:szCs w:val="20"/>
                <w:color w:val="auto"/>
              </w:rPr>
            </w:pPr>
            <w:r>
              <w:rPr>
                <w:rFonts w:ascii="Arial" w:cs="Arial" w:eastAsia="Arial" w:hAnsi="Arial"/>
                <w:sz w:val="15"/>
                <w:szCs w:val="15"/>
                <w:color w:val="auto"/>
                <w:w w:val="88"/>
              </w:rPr>
              <w:t>Compensation</w:t>
            </w:r>
          </w:p>
        </w:tc>
      </w:tr>
      <w:tr>
        <w:trPr>
          <w:trHeight w:val="219"/>
        </w:trPr>
        <w:tc>
          <w:tcPr>
            <w:tcW w:w="1140" w:type="dxa"/>
            <w:vAlign w:val="bottom"/>
          </w:tcPr>
          <w:p>
            <w:pPr>
              <w:spacing w:after="0"/>
              <w:rPr>
                <w:sz w:val="20"/>
                <w:szCs w:val="20"/>
                <w:color w:val="auto"/>
              </w:rPr>
            </w:pPr>
            <w:r>
              <w:rPr>
                <w:rFonts w:ascii="Arial" w:cs="Arial" w:eastAsia="Arial" w:hAnsi="Arial"/>
                <w:sz w:val="15"/>
                <w:szCs w:val="15"/>
                <w:color w:val="auto"/>
              </w:rPr>
              <w:t>Name</w:t>
            </w:r>
          </w:p>
        </w:tc>
        <w:tc>
          <w:tcPr>
            <w:tcW w:w="22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Arial" w:cs="Arial" w:eastAsia="Arial" w:hAnsi="Arial"/>
                <w:sz w:val="15"/>
                <w:szCs w:val="15"/>
                <w:color w:val="auto"/>
              </w:rPr>
              <w:t>Year</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0"/>
              </w:rPr>
              <w:t>in Cash</w:t>
            </w:r>
          </w:p>
        </w:tc>
        <w:tc>
          <w:tcPr>
            <w:tcW w:w="880" w:type="dxa"/>
            <w:vAlign w:val="bottom"/>
            <w:gridSpan w:val="2"/>
          </w:tcPr>
          <w:p>
            <w:pPr>
              <w:jc w:val="center"/>
              <w:ind w:left="125"/>
              <w:spacing w:after="0"/>
              <w:rPr>
                <w:sz w:val="20"/>
                <w:szCs w:val="20"/>
                <w:color w:val="auto"/>
              </w:rPr>
            </w:pPr>
            <w:r>
              <w:rPr>
                <w:rFonts w:ascii="Arial" w:cs="Arial" w:eastAsia="Arial" w:hAnsi="Arial"/>
                <w:sz w:val="15"/>
                <w:szCs w:val="15"/>
                <w:color w:val="auto"/>
                <w:w w:val="87"/>
              </w:rPr>
              <w:t>(1)</w:t>
            </w:r>
          </w:p>
        </w:tc>
        <w:tc>
          <w:tcPr>
            <w:tcW w:w="820" w:type="dxa"/>
            <w:vAlign w:val="bottom"/>
            <w:gridSpan w:val="2"/>
          </w:tcPr>
          <w:p>
            <w:pPr>
              <w:jc w:val="center"/>
              <w:ind w:left="125"/>
              <w:spacing w:after="0"/>
              <w:rPr>
                <w:sz w:val="20"/>
                <w:szCs w:val="20"/>
                <w:color w:val="auto"/>
              </w:rPr>
            </w:pPr>
            <w:r>
              <w:rPr>
                <w:rFonts w:ascii="Arial" w:cs="Arial" w:eastAsia="Arial" w:hAnsi="Arial"/>
                <w:sz w:val="15"/>
                <w:szCs w:val="15"/>
                <w:color w:val="auto"/>
                <w:w w:val="97"/>
              </w:rPr>
              <w:t>(1)</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1"/>
              </w:rPr>
              <w:t>Earnings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200"/>
              <w:spacing w:after="0"/>
              <w:rPr>
                <w:sz w:val="20"/>
                <w:szCs w:val="20"/>
                <w:color w:val="auto"/>
              </w:rPr>
            </w:pPr>
            <w:r>
              <w:rPr>
                <w:rFonts w:ascii="Arial" w:cs="Arial" w:eastAsia="Arial" w:hAnsi="Arial"/>
                <w:sz w:val="15"/>
                <w:szCs w:val="15"/>
                <w:color w:val="auto"/>
              </w:rPr>
              <w:t>Total</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bl>
    <w:p>
      <w:pPr>
        <w:sectPr>
          <w:pgSz w:w="11900" w:h="16861" w:orient="portrait"/>
          <w:cols w:equalWidth="0" w:num="1">
            <w:col w:w="10408"/>
          </w:cols>
          <w:pgMar w:left="232" w:top="121" w:right="1259" w:bottom="0" w:gutter="0" w:footer="0" w:header="0"/>
        </w:sectPr>
      </w:pPr>
    </w:p>
    <w:bookmarkStart w:id="23" w:name="page24"/>
    <w:bookmarkEnd w:id="23"/>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89"/>
        </w:trPr>
        <w:tc>
          <w:tcPr>
            <w:tcW w:w="1140" w:type="dxa"/>
            <w:vAlign w:val="bottom"/>
          </w:tcPr>
          <w:p>
            <w:pPr>
              <w:spacing w:after="0"/>
              <w:rPr>
                <w:sz w:val="20"/>
                <w:szCs w:val="20"/>
                <w:color w:val="auto"/>
              </w:rPr>
            </w:pPr>
            <w:r>
              <w:rPr>
                <w:rFonts w:ascii="Arial" w:cs="Arial" w:eastAsia="Arial" w:hAnsi="Arial"/>
                <w:sz w:val="15"/>
                <w:szCs w:val="15"/>
                <w:color w:val="auto"/>
              </w:rPr>
              <w:t>John Mellowes</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2008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$48,000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$23,223</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$12,412</w:t>
            </w:r>
          </w:p>
        </w:tc>
        <w:tc>
          <w:tcPr>
            <w:tcW w:w="4440" w:type="dxa"/>
            <w:vAlign w:val="bottom"/>
            <w:gridSpan w:val="8"/>
          </w:tcPr>
          <w:p>
            <w:pPr>
              <w:jc w:val="right"/>
              <w:ind w:right="200"/>
              <w:spacing w:after="0"/>
              <w:rPr>
                <w:sz w:val="20"/>
                <w:szCs w:val="20"/>
                <w:color w:val="auto"/>
              </w:rPr>
            </w:pPr>
            <w:r>
              <w:rPr>
                <w:rFonts w:ascii="Arial" w:cs="Arial" w:eastAsia="Arial" w:hAnsi="Arial"/>
                <w:sz w:val="15"/>
                <w:szCs w:val="15"/>
                <w:color w:val="auto"/>
              </w:rPr>
              <w:t>$83,635</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5"/>
                <w:szCs w:val="15"/>
                <w:color w:val="auto"/>
              </w:rPr>
              <w:t>Malcolm Moore</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2008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$41,500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$21,268</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$12,412</w:t>
            </w:r>
          </w:p>
        </w:tc>
        <w:tc>
          <w:tcPr>
            <w:tcW w:w="4440" w:type="dxa"/>
            <w:vAlign w:val="bottom"/>
            <w:gridSpan w:val="8"/>
          </w:tcPr>
          <w:p>
            <w:pPr>
              <w:jc w:val="right"/>
              <w:ind w:right="200"/>
              <w:spacing w:after="0"/>
              <w:rPr>
                <w:sz w:val="20"/>
                <w:szCs w:val="20"/>
                <w:color w:val="auto"/>
              </w:rPr>
            </w:pPr>
            <w:r>
              <w:rPr>
                <w:rFonts w:ascii="Arial" w:cs="Arial" w:eastAsia="Arial" w:hAnsi="Arial"/>
                <w:sz w:val="15"/>
                <w:szCs w:val="15"/>
                <w:color w:val="auto"/>
              </w:rPr>
              <w:t>$77,135</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5"/>
                <w:szCs w:val="15"/>
                <w:color w:val="auto"/>
              </w:rPr>
              <w:t>David Rayburn</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2008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$55,500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$23,223</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$12,412</w:t>
            </w:r>
          </w:p>
        </w:tc>
        <w:tc>
          <w:tcPr>
            <w:tcW w:w="4440" w:type="dxa"/>
            <w:vAlign w:val="bottom"/>
            <w:gridSpan w:val="8"/>
          </w:tcPr>
          <w:p>
            <w:pPr>
              <w:jc w:val="right"/>
              <w:ind w:right="200"/>
              <w:spacing w:after="0"/>
              <w:rPr>
                <w:sz w:val="20"/>
                <w:szCs w:val="20"/>
                <w:color w:val="auto"/>
              </w:rPr>
            </w:pPr>
            <w:r>
              <w:rPr>
                <w:rFonts w:ascii="Arial" w:cs="Arial" w:eastAsia="Arial" w:hAnsi="Arial"/>
                <w:sz w:val="15"/>
                <w:szCs w:val="15"/>
                <w:color w:val="auto"/>
              </w:rPr>
              <w:t>$91,135</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5"/>
                <w:szCs w:val="15"/>
                <w:color w:val="auto"/>
                <w:w w:val="98"/>
              </w:rPr>
              <w:t>Harold Stratton II</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2008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$54,000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$23,223</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$12,412</w:t>
            </w:r>
          </w:p>
        </w:tc>
        <w:tc>
          <w:tcPr>
            <w:tcW w:w="4440" w:type="dxa"/>
            <w:vAlign w:val="bottom"/>
            <w:gridSpan w:val="8"/>
          </w:tcPr>
          <w:p>
            <w:pPr>
              <w:jc w:val="right"/>
              <w:ind w:right="200"/>
              <w:spacing w:after="0"/>
              <w:rPr>
                <w:sz w:val="20"/>
                <w:szCs w:val="20"/>
                <w:color w:val="auto"/>
              </w:rPr>
            </w:pPr>
            <w:r>
              <w:rPr>
                <w:rFonts w:ascii="Arial" w:cs="Arial" w:eastAsia="Arial" w:hAnsi="Arial"/>
                <w:sz w:val="15"/>
                <w:szCs w:val="15"/>
                <w:color w:val="auto"/>
              </w:rPr>
              <w:t>$89,635</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5"/>
                <w:szCs w:val="15"/>
                <w:color w:val="auto"/>
              </w:rPr>
              <w:t>David Swift</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2008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$49,500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$23,223</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$12,412</w:t>
            </w:r>
          </w:p>
        </w:tc>
        <w:tc>
          <w:tcPr>
            <w:tcW w:w="4440" w:type="dxa"/>
            <w:vAlign w:val="bottom"/>
            <w:gridSpan w:val="8"/>
          </w:tcPr>
          <w:p>
            <w:pPr>
              <w:jc w:val="right"/>
              <w:ind w:right="200"/>
              <w:spacing w:after="0"/>
              <w:rPr>
                <w:sz w:val="20"/>
                <w:szCs w:val="20"/>
                <w:color w:val="auto"/>
              </w:rPr>
            </w:pPr>
            <w:r>
              <w:rPr>
                <w:rFonts w:ascii="Arial" w:cs="Arial" w:eastAsia="Arial" w:hAnsi="Arial"/>
                <w:sz w:val="15"/>
                <w:szCs w:val="15"/>
                <w:color w:val="auto"/>
              </w:rPr>
              <w:t>$85,135</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00"/>
        </w:trPr>
        <w:tc>
          <w:tcPr>
            <w:tcW w:w="1140" w:type="dxa"/>
            <w:vAlign w:val="bottom"/>
          </w:tcPr>
          <w:p>
            <w:pPr>
              <w:spacing w:after="0"/>
              <w:rPr>
                <w:sz w:val="20"/>
                <w:szCs w:val="20"/>
                <w:color w:val="auto"/>
              </w:rPr>
            </w:pPr>
            <w:r>
              <w:rPr>
                <w:rFonts w:ascii="Arial" w:cs="Arial" w:eastAsia="Arial" w:hAnsi="Arial"/>
                <w:sz w:val="15"/>
                <w:szCs w:val="15"/>
                <w:color w:val="auto"/>
              </w:rPr>
              <w:t>David Zimmer</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2008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$51,000</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$23,223</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$12,412</w:t>
            </w:r>
          </w:p>
        </w:tc>
        <w:tc>
          <w:tcPr>
            <w:tcW w:w="4440" w:type="dxa"/>
            <w:vAlign w:val="bottom"/>
            <w:gridSpan w:val="8"/>
          </w:tcPr>
          <w:p>
            <w:pPr>
              <w:jc w:val="right"/>
              <w:ind w:right="200"/>
              <w:spacing w:after="0"/>
              <w:rPr>
                <w:sz w:val="20"/>
                <w:szCs w:val="20"/>
                <w:color w:val="auto"/>
              </w:rPr>
            </w:pPr>
            <w:r>
              <w:rPr>
                <w:rFonts w:ascii="Arial" w:cs="Arial" w:eastAsia="Arial" w:hAnsi="Arial"/>
                <w:sz w:val="15"/>
                <w:szCs w:val="15"/>
                <w:color w:val="auto"/>
              </w:rPr>
              <w:t>$86,635</w:t>
            </w:r>
          </w:p>
        </w:tc>
      </w:tr>
      <w:tr>
        <w:trPr>
          <w:trHeight w:val="106"/>
        </w:trPr>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bl>
    <w:p>
      <w:pPr>
        <w:spacing w:after="0" w:line="338" w:lineRule="exact"/>
        <w:rPr>
          <w:sz w:val="20"/>
          <w:szCs w:val="20"/>
          <w:color w:val="auto"/>
        </w:rPr>
      </w:pPr>
    </w:p>
    <w:p>
      <w:pPr>
        <w:ind w:left="408" w:hanging="408"/>
        <w:spacing w:after="0"/>
        <w:tabs>
          <w:tab w:leader="none" w:pos="408" w:val="left"/>
        </w:tabs>
        <w:numPr>
          <w:ilvl w:val="0"/>
          <w:numId w:val="35"/>
        </w:numPr>
        <w:rPr>
          <w:rFonts w:ascii="Arial" w:cs="Arial" w:eastAsia="Arial" w:hAnsi="Arial"/>
          <w:sz w:val="15"/>
          <w:szCs w:val="15"/>
          <w:color w:val="auto"/>
        </w:rPr>
      </w:pPr>
      <w:r>
        <w:rPr>
          <w:rFonts w:ascii="Arial" w:cs="Arial" w:eastAsia="Arial" w:hAnsi="Arial"/>
          <w:sz w:val="15"/>
          <w:szCs w:val="15"/>
          <w:color w:val="auto"/>
        </w:rPr>
        <w:t>Values computed in accordance with Financial Accounting Standards Board Statement No. 123(R), Share- Based Payment (“FAS 123R”).</w:t>
      </w:r>
    </w:p>
    <w:p>
      <w:pPr>
        <w:spacing w:after="0" w:line="200" w:lineRule="exact"/>
        <w:rPr>
          <w:sz w:val="20"/>
          <w:szCs w:val="20"/>
          <w:color w:val="auto"/>
        </w:rPr>
      </w:pPr>
    </w:p>
    <w:p>
      <w:pPr>
        <w:spacing w:after="0" w:line="284" w:lineRule="exact"/>
        <w:rPr>
          <w:sz w:val="20"/>
          <w:szCs w:val="20"/>
          <w:color w:val="auto"/>
        </w:rPr>
      </w:pPr>
    </w:p>
    <w:p>
      <w:pPr>
        <w:ind w:left="8" w:right="80"/>
        <w:spacing w:after="0" w:line="359" w:lineRule="auto"/>
        <w:rPr>
          <w:sz w:val="20"/>
          <w:szCs w:val="20"/>
          <w:color w:val="auto"/>
        </w:rPr>
      </w:pPr>
      <w:r>
        <w:rPr>
          <w:rFonts w:ascii="Arial" w:cs="Arial" w:eastAsia="Arial" w:hAnsi="Arial"/>
          <w:sz w:val="13"/>
          <w:szCs w:val="13"/>
          <w:color w:val="auto"/>
        </w:rPr>
        <w:t>Outside Directors of the Corporation (i.e., non-Corporation employees) are paid an annual retainer of $25,000. In addition, outside Directors receive a $1,500 fee for each board meeting and each committee meeting attended and $5,000 per year for serving as a committee chairman. Directors who are officers do not receive any fees in addition to their remuneration as officers.</w:t>
      </w:r>
    </w:p>
    <w:p>
      <w:pPr>
        <w:spacing w:after="0" w:line="105"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Outside Directors are eligible to participate in the 2004 Stock Incentive Plan for Non-Employee Directors. Under the 2004 Plan, each outside Director who is elected or re-elected to the Board at an annual meeting, and each outside Director who continues to serve on the Board following an annual meeting, receives a grant of 1,200 options and 1,200 shares of restricted stock as of the annual meeting date. The restricted stock grants vest in equal 1/3 increments from the date of grant. Options are granted with an exercise price equal to the closing price per share of the Company’s common stock as of the date of grant.</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3"/>
          <w:szCs w:val="13"/>
          <w:color w:val="auto"/>
        </w:rPr>
        <w:t>Outside Directors who reach the age of 71 or who retire from full-time employment may be required to retire from the Board of Directors effective as of the completion of their current term.</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5"/>
          <w:szCs w:val="15"/>
          <w:color w:val="auto"/>
        </w:rPr>
        <w:t>Retired outside directors are entitled to an annual retirement benefit equal to the sum of:</w:t>
      </w:r>
    </w:p>
    <w:p>
      <w:pPr>
        <w:spacing w:after="0" w:line="214" w:lineRule="exact"/>
        <w:rPr>
          <w:sz w:val="20"/>
          <w:szCs w:val="20"/>
          <w:color w:val="auto"/>
        </w:rPr>
      </w:pPr>
    </w:p>
    <w:p>
      <w:pPr>
        <w:ind w:left="348" w:hanging="348"/>
        <w:spacing w:after="0"/>
        <w:tabs>
          <w:tab w:leader="none" w:pos="3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annual retainer at the time of retirement.</w:t>
      </w:r>
    </w:p>
    <w:p>
      <w:pPr>
        <w:spacing w:after="0" w:line="322" w:lineRule="exact"/>
        <w:rPr>
          <w:rFonts w:ascii="Arial" w:cs="Arial" w:eastAsia="Arial" w:hAnsi="Arial"/>
          <w:sz w:val="15"/>
          <w:szCs w:val="15"/>
          <w:color w:val="auto"/>
        </w:rPr>
      </w:pPr>
    </w:p>
    <w:p>
      <w:pPr>
        <w:ind w:left="348" w:hanging="348"/>
        <w:spacing w:after="0"/>
        <w:tabs>
          <w:tab w:leader="none" w:pos="3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Six (6) Director Meeting fees at the rate prevailing at the time of retirement.</w:t>
      </w: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benefit is payable for a term equal to the Director’s years of service or life, whichever is shorter.</w:t>
      </w:r>
    </w:p>
    <w:p>
      <w:pPr>
        <w:spacing w:after="0" w:line="184"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8"/>
        <w:spacing w:after="0"/>
        <w:rPr>
          <w:sz w:val="20"/>
          <w:szCs w:val="20"/>
          <w:color w:val="auto"/>
        </w:rPr>
      </w:pPr>
      <w:r>
        <w:rPr>
          <w:rFonts w:ascii="Arial" w:cs="Arial" w:eastAsia="Arial" w:hAnsi="Arial"/>
          <w:sz w:val="15"/>
          <w:szCs w:val="15"/>
          <w:b w:val="1"/>
          <w:bCs w:val="1"/>
          <w:color w:val="auto"/>
        </w:rPr>
        <w:t>Compensation Committee Report</w:t>
      </w:r>
    </w:p>
    <w:p>
      <w:pPr>
        <w:spacing w:after="0" w:line="234" w:lineRule="exact"/>
        <w:rPr>
          <w:sz w:val="20"/>
          <w:szCs w:val="20"/>
          <w:color w:val="auto"/>
        </w:rPr>
      </w:pPr>
    </w:p>
    <w:p>
      <w:pPr>
        <w:jc w:val="both"/>
        <w:ind w:left="8" w:right="80"/>
        <w:spacing w:after="0" w:line="268" w:lineRule="auto"/>
        <w:rPr>
          <w:sz w:val="20"/>
          <w:szCs w:val="20"/>
          <w:color w:val="auto"/>
        </w:rPr>
      </w:pPr>
      <w:r>
        <w:rPr>
          <w:rFonts w:ascii="Arial" w:cs="Arial" w:eastAsia="Arial" w:hAnsi="Arial"/>
          <w:sz w:val="15"/>
          <w:szCs w:val="15"/>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Company’s proxy statement and the Company’s annual report on Form 10-K.</w:t>
      </w:r>
    </w:p>
    <w:p>
      <w:pPr>
        <w:spacing w:after="0" w:line="205"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Members of the Compensation Committee:</w:t>
      </w:r>
    </w:p>
    <w:p>
      <w:pPr>
        <w:spacing w:after="0" w:line="277" w:lineRule="exact"/>
        <w:rPr>
          <w:sz w:val="20"/>
          <w:szCs w:val="20"/>
          <w:color w:val="auto"/>
        </w:rPr>
      </w:pPr>
    </w:p>
    <w:p>
      <w:pPr>
        <w:ind w:left="1728"/>
        <w:spacing w:after="0"/>
        <w:rPr>
          <w:sz w:val="20"/>
          <w:szCs w:val="20"/>
          <w:color w:val="auto"/>
        </w:rPr>
      </w:pPr>
      <w:r>
        <w:rPr>
          <w:rFonts w:ascii="Arial" w:cs="Arial" w:eastAsia="Arial" w:hAnsi="Arial"/>
          <w:sz w:val="15"/>
          <w:szCs w:val="15"/>
          <w:color w:val="auto"/>
        </w:rPr>
        <w:t>David L. Swift, Chair</w:t>
      </w:r>
    </w:p>
    <w:p>
      <w:pPr>
        <w:spacing w:after="0" w:line="17" w:lineRule="exact"/>
        <w:rPr>
          <w:sz w:val="20"/>
          <w:szCs w:val="20"/>
          <w:color w:val="auto"/>
        </w:rPr>
      </w:pPr>
    </w:p>
    <w:p>
      <w:pPr>
        <w:ind w:left="1728"/>
        <w:spacing w:after="0"/>
        <w:rPr>
          <w:sz w:val="20"/>
          <w:szCs w:val="20"/>
          <w:color w:val="auto"/>
        </w:rPr>
      </w:pPr>
      <w:r>
        <w:rPr>
          <w:rFonts w:ascii="Arial" w:cs="Arial" w:eastAsia="Arial" w:hAnsi="Arial"/>
          <w:sz w:val="15"/>
          <w:szCs w:val="15"/>
          <w:color w:val="auto"/>
        </w:rPr>
        <w:t>John A. Mellowes</w:t>
      </w:r>
    </w:p>
    <w:p>
      <w:pPr>
        <w:spacing w:after="0" w:line="12" w:lineRule="exact"/>
        <w:rPr>
          <w:sz w:val="20"/>
          <w:szCs w:val="20"/>
          <w:color w:val="auto"/>
        </w:rPr>
      </w:pPr>
    </w:p>
    <w:p>
      <w:pPr>
        <w:ind w:left="1728"/>
        <w:spacing w:after="0"/>
        <w:rPr>
          <w:sz w:val="20"/>
          <w:szCs w:val="20"/>
          <w:color w:val="auto"/>
        </w:rPr>
      </w:pPr>
      <w:r>
        <w:rPr>
          <w:rFonts w:ascii="Arial" w:cs="Arial" w:eastAsia="Arial" w:hAnsi="Arial"/>
          <w:sz w:val="15"/>
          <w:szCs w:val="15"/>
          <w:color w:val="auto"/>
        </w:rPr>
        <w:t>David B. Rayburn</w:t>
      </w:r>
    </w:p>
    <w:p>
      <w:pPr>
        <w:spacing w:after="0" w:line="256" w:lineRule="exact"/>
        <w:rPr>
          <w:sz w:val="20"/>
          <w:szCs w:val="20"/>
          <w:color w:val="auto"/>
        </w:rPr>
      </w:pPr>
    </w:p>
    <w:p>
      <w:pPr>
        <w:ind w:left="28"/>
        <w:spacing w:after="0"/>
        <w:rPr>
          <w:sz w:val="20"/>
          <w:szCs w:val="20"/>
          <w:color w:val="auto"/>
        </w:rPr>
      </w:pPr>
      <w:r>
        <w:rPr>
          <w:rFonts w:ascii="Arial" w:cs="Arial" w:eastAsia="Arial" w:hAnsi="Arial"/>
          <w:sz w:val="15"/>
          <w:szCs w:val="15"/>
          <w:b w:val="1"/>
          <w:bCs w:val="1"/>
          <w:color w:val="auto"/>
        </w:rPr>
        <w:t>Audit Committee Report</w:t>
      </w:r>
    </w:p>
    <w:p>
      <w:pPr>
        <w:spacing w:after="0" w:line="234" w:lineRule="exact"/>
        <w:rPr>
          <w:sz w:val="20"/>
          <w:szCs w:val="20"/>
          <w:color w:val="auto"/>
        </w:rPr>
      </w:pPr>
    </w:p>
    <w:p>
      <w:pPr>
        <w:ind w:left="8" w:right="260"/>
        <w:spacing w:after="0" w:line="316" w:lineRule="auto"/>
        <w:rPr>
          <w:sz w:val="20"/>
          <w:szCs w:val="20"/>
          <w:color w:val="auto"/>
        </w:rPr>
      </w:pPr>
      <w:r>
        <w:rPr>
          <w:rFonts w:ascii="Arial" w:cs="Arial" w:eastAsia="Arial" w:hAnsi="Arial"/>
          <w:sz w:val="14"/>
          <w:szCs w:val="14"/>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129" w:lineRule="exact"/>
        <w:rPr>
          <w:sz w:val="20"/>
          <w:szCs w:val="20"/>
          <w:color w:val="auto"/>
        </w:rPr>
      </w:pPr>
    </w:p>
    <w:p>
      <w:pPr>
        <w:ind w:left="8" w:right="240"/>
        <w:spacing w:after="0" w:line="279" w:lineRule="auto"/>
        <w:rPr>
          <w:sz w:val="20"/>
          <w:szCs w:val="20"/>
          <w:color w:val="auto"/>
        </w:rPr>
      </w:pPr>
      <w:r>
        <w:rPr>
          <w:rFonts w:ascii="Arial" w:cs="Arial" w:eastAsia="Arial" w:hAnsi="Arial"/>
          <w:sz w:val="15"/>
          <w:szCs w:val="15"/>
          <w:color w:val="auto"/>
        </w:rPr>
        <w:t>The Audit Committee charter reflects standards set forth in SEC regulations and NASDAQ Stock Market rules. All members of the Audit Committee are independent, as defined in Rules 4200 and 4350 of the listing standards of the NASDAQ Stock Market.</w:t>
      </w:r>
    </w:p>
    <w:p>
      <w:pPr>
        <w:spacing w:after="0" w:line="152" w:lineRule="exact"/>
        <w:rPr>
          <w:sz w:val="20"/>
          <w:szCs w:val="20"/>
          <w:color w:val="auto"/>
        </w:rPr>
      </w:pPr>
    </w:p>
    <w:p>
      <w:pPr>
        <w:ind w:left="8" w:right="100"/>
        <w:spacing w:after="0" w:line="279" w:lineRule="auto"/>
        <w:rPr>
          <w:sz w:val="20"/>
          <w:szCs w:val="20"/>
          <w:color w:val="auto"/>
        </w:rPr>
      </w:pPr>
      <w:r>
        <w:rPr>
          <w:rFonts w:ascii="Arial" w:cs="Arial" w:eastAsia="Arial" w:hAnsi="Arial"/>
          <w:sz w:val="15"/>
          <w:szCs w:val="15"/>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2008.</w:t>
      </w:r>
    </w:p>
    <w:p>
      <w:pPr>
        <w:spacing w:after="0" w:line="152" w:lineRule="exact"/>
        <w:rPr>
          <w:sz w:val="20"/>
          <w:szCs w:val="20"/>
          <w:color w:val="auto"/>
        </w:rPr>
      </w:pPr>
    </w:p>
    <w:p>
      <w:pPr>
        <w:ind w:left="8" w:right="60"/>
        <w:spacing w:after="0" w:line="285" w:lineRule="auto"/>
        <w:rPr>
          <w:sz w:val="20"/>
          <w:szCs w:val="20"/>
          <w:color w:val="auto"/>
        </w:rPr>
      </w:pPr>
      <w:r>
        <w:rPr>
          <w:rFonts w:ascii="Arial" w:cs="Arial" w:eastAsia="Arial" w:hAnsi="Arial"/>
          <w:sz w:val="14"/>
          <w:szCs w:val="14"/>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114, “The Auditor’s Communication With Those Charged With Governance” and SEC Regulation S-X, Rule 2-07, “Communication with Audit Committees.”</w:t>
      </w:r>
    </w:p>
    <w:p>
      <w:pPr>
        <w:spacing w:after="0" w:line="149" w:lineRule="exact"/>
        <w:rPr>
          <w:sz w:val="20"/>
          <w:szCs w:val="20"/>
          <w:color w:val="auto"/>
        </w:rPr>
      </w:pPr>
    </w:p>
    <w:p>
      <w:pPr>
        <w:ind w:left="8" w:right="260"/>
        <w:spacing w:after="0" w:line="279" w:lineRule="auto"/>
        <w:rPr>
          <w:sz w:val="20"/>
          <w:szCs w:val="20"/>
          <w:color w:val="auto"/>
        </w:rPr>
      </w:pPr>
      <w:r>
        <w:rPr>
          <w:rFonts w:ascii="Arial" w:cs="Arial" w:eastAsia="Arial" w:hAnsi="Arial"/>
          <w:sz w:val="15"/>
          <w:szCs w:val="15"/>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152" w:lineRule="exact"/>
        <w:rPr>
          <w:sz w:val="20"/>
          <w:szCs w:val="20"/>
          <w:color w:val="auto"/>
        </w:rPr>
      </w:pPr>
    </w:p>
    <w:p>
      <w:pPr>
        <w:ind w:left="8"/>
        <w:spacing w:after="0" w:line="279" w:lineRule="auto"/>
        <w:rPr>
          <w:sz w:val="20"/>
          <w:szCs w:val="20"/>
          <w:color w:val="auto"/>
        </w:rPr>
      </w:pPr>
      <w:r>
        <w:rPr>
          <w:rFonts w:ascii="Arial" w:cs="Arial" w:eastAsia="Arial" w:hAnsi="Arial"/>
          <w:sz w:val="15"/>
          <w:szCs w:val="15"/>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2008, for filing with the Securities and Exchange Commission.</w:t>
      </w:r>
    </w:p>
    <w:p>
      <w:pPr>
        <w:spacing w:after="0" w:line="140"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8662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Audit Committee</w:t>
      </w:r>
    </w:p>
    <w:p>
      <w:pPr>
        <w:spacing w:after="0" w:line="17"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David R. Zimmer, Chair</w:t>
      </w:r>
    </w:p>
    <w:p>
      <w:pPr>
        <w:spacing w:after="0" w:line="12"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Malcolm F. Moore</w:t>
      </w:r>
    </w:p>
    <w:p>
      <w:pPr>
        <w:spacing w:after="0" w:line="12"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David B. Rayburn</w:t>
      </w:r>
    </w:p>
    <w:p>
      <w:pPr>
        <w:spacing w:after="0" w:line="12"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Harold M. Stratton II</w:t>
      </w:r>
    </w:p>
    <w:p>
      <w:pPr>
        <w:spacing w:after="0" w:line="12" w:lineRule="exact"/>
        <w:rPr>
          <w:sz w:val="20"/>
          <w:szCs w:val="20"/>
          <w:color w:val="auto"/>
        </w:rPr>
      </w:pPr>
    </w:p>
    <w:p>
      <w:pPr>
        <w:ind w:left="1328"/>
        <w:spacing w:after="0"/>
        <w:rPr>
          <w:sz w:val="20"/>
          <w:szCs w:val="20"/>
          <w:color w:val="auto"/>
        </w:rPr>
      </w:pPr>
      <w:r>
        <w:rPr>
          <w:rFonts w:ascii="Arial" w:cs="Arial" w:eastAsia="Arial" w:hAnsi="Arial"/>
          <w:sz w:val="15"/>
          <w:szCs w:val="15"/>
          <w:color w:val="auto"/>
        </w:rPr>
        <w:t>July 25, 2008</w:t>
      </w:r>
    </w:p>
    <w:p>
      <w:pPr>
        <w:spacing w:after="0" w:line="221"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SECTION 16 (a) BENEFICIAL OWNERSHIP REPORTING COMPLIANCE</w:t>
      </w:r>
    </w:p>
    <w:p>
      <w:pPr>
        <w:sectPr>
          <w:pgSz w:w="11900" w:h="16884" w:orient="portrait"/>
          <w:cols w:equalWidth="0" w:num="1">
            <w:col w:w="11408"/>
          </w:cols>
          <w:pgMar w:left="232" w:top="213" w:right="259" w:bottom="0" w:gutter="0" w:footer="0" w:header="0"/>
        </w:sectPr>
      </w:pPr>
    </w:p>
    <w:bookmarkStart w:id="24" w:name="page25"/>
    <w:bookmarkEnd w:id="24"/>
    <w:p>
      <w:pPr>
        <w:jc w:val="both"/>
        <w:ind w:right="120"/>
        <w:spacing w:after="0" w:line="264" w:lineRule="auto"/>
        <w:rPr>
          <w:sz w:val="20"/>
          <w:szCs w:val="20"/>
          <w:color w:val="auto"/>
        </w:rPr>
      </w:pPr>
      <w:r>
        <w:rPr>
          <w:rFonts w:ascii="Arial" w:cs="Arial" w:eastAsia="Arial" w:hAnsi="Arial"/>
          <w:sz w:val="15"/>
          <w:szCs w:val="15"/>
          <w:color w:val="auto"/>
        </w:rPr>
        <w:t>Section 16 of the Securities Exchange Act of 1934 requires the Company’s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2007 to June 30, 2008, all Section 16(a) filing requirements applicable to its executive officers, Directors and greater than ten (10%) beneficial owners were properly filed with the Securities and Exchange Commission.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GENERAL</w:t>
      </w:r>
    </w:p>
    <w:p>
      <w:pPr>
        <w:spacing w:after="0" w:line="234"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color w:val="auto"/>
        </w:rPr>
        <w:t>The Corporation will bear the cost of the solicitation of proxies. The firm of Georgeson Shareholder Communications Inc., New York, NY has been retained to assist in solicitation of proxies for the Annual Meeting at a fee not to exceed $7,500 plus expenses.</w:t>
      </w:r>
    </w:p>
    <w:p>
      <w:pPr>
        <w:spacing w:after="0" w:line="152"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vote via the Internet by accessing </w:t>
      </w:r>
      <w:r>
        <w:rPr>
          <w:rFonts w:ascii="Arial" w:cs="Arial" w:eastAsia="Arial" w:hAnsi="Arial"/>
          <w:sz w:val="14"/>
          <w:szCs w:val="14"/>
          <w:u w:val="single" w:color="auto"/>
          <w:color w:val="0000FF"/>
        </w:rPr>
        <w:t>www.proxyvoting.com/twin</w:t>
      </w:r>
      <w:r>
        <w:rPr>
          <w:rFonts w:ascii="Arial" w:cs="Arial" w:eastAsia="Arial" w:hAnsi="Arial"/>
          <w:sz w:val="14"/>
          <w:szCs w:val="14"/>
          <w:color w:val="auto"/>
        </w:rPr>
        <w:t xml:space="preserve"> or by telephone at 1-866-540-5760.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286625"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x"/>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lvl w:ilvl="1">
      <w:lvlJc w:val="left"/>
      <w:lvlText w:val="%2)"/>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lowerLetter"/>
      <w:start w:val="1"/>
    </w:lvl>
    <w:lvl w:ilvl="1">
      <w:lvlJc w:val="left"/>
      <w:lvlText w:val="%2."/>
      <w:numFmt w:val="lowerRoman"/>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2"/>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2"/>
    </w:lvl>
  </w:abstractNum>
  <w:abstractNum w:abstractNumId="19">
    <w:nsid w:val="2CA88611"/>
    <w:multiLevelType w:val="hybridMultilevel"/>
    <w:lvl w:ilvl="0">
      <w:lvlJc w:val="left"/>
      <w:lvlText w:val="(%1)"/>
      <w:numFmt w:val="decimal"/>
      <w:start w:val="6"/>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lvl w:ilvl="1">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2019-12-11T13:55:24Z</dcterms:created>
  <dcterms:modified xsi:type="dcterms:W3CDTF">2019-12-11T13:55:24Z</dcterms:modified>
</cp:coreProperties>
</file>