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240"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4059" w:firstLine="8"/>
        <w:spacing w:after="0" w:line="216"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240.14a-2.</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u w:val="single" w:color="auto"/>
          <w:color w:val="auto"/>
        </w:rPr>
        <w:t>Twin Disc, Incorporated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52" w:right="1440" w:bottom="1440" w:gutter="0" w:footer="0" w:header="0"/>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150495</wp:posOffset>
            </wp:positionV>
            <wp:extent cx="1825625"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1328 Racine Street, Racine, Wisconsin 53403</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NOTICE OF ANNUAL MEETING OF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OCTOBER 27, 2022</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IS HEREBY GIVEN TO THE SHAREHOLDERS OF TWIN DISC, INCORPORATED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Meeting of Shareholders of Twin Disc, Incorporated, a Wisconsin corporation (the “Corporation”), will be held at 2:00 P.M. (Central Time) 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October 27, 2022, at the Corporate Offices, 1328 Racine Street, Racine, Wisconsin 53403 (the “Annual Meeting”) for the following purposes:</w:t>
      </w:r>
    </w:p>
    <w:p>
      <w:pPr>
        <w:spacing w:after="0" w:line="207"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to serve until the Annual Meeting of Shareholders in 2025.</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225"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2023.</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Only holders of record of shares of common stock of the Corporation at the close of business on August 18, 2022, shall be entitled to vote at the Annual Meeting.</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October 27, 2022</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Our proxy materials, including the Proxy Statement and 2022 Annual Report on Form 10-K, are available over the internet at </w:t>
      </w:r>
      <w:r>
        <w:rPr>
          <w:rFonts w:ascii="Times New Roman" w:cs="Times New Roman" w:eastAsia="Times New Roman" w:hAnsi="Times New Roman"/>
          <w:sz w:val="18"/>
          <w:szCs w:val="18"/>
          <w:b w:val="1"/>
          <w:bCs w:val="1"/>
          <w:color w:val="auto"/>
        </w:rPr>
        <w:t>http://ir.twindisc.com/proxy</w:t>
      </w:r>
      <w:r>
        <w:rPr>
          <w:rFonts w:ascii="Times New Roman" w:cs="Times New Roman" w:eastAsia="Times New Roman" w:hAnsi="Times New Roman"/>
          <w:sz w:val="18"/>
          <w:szCs w:val="18"/>
          <w:color w:val="auto"/>
        </w:rPr>
        <w:t>, and most of our stockholders will receive only a notice (“Notice”) containing instructions on how to access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OF SHAREHOLDERS IN PERSON,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2022 Proxy Statement</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8,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MEETING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Thursday, October 27, 2022, or any adjournment thereof. Holders of common stock of record at the close of business on August 18, 2022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Corporation intends to commence distribution of this proxy statement and accompanying form of proxy to shareholders on or about September 8,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Shareholders may vote their shares by properly appointing a proxy, voting in advance of the Annual Meeting via the Internet or by phone, or attending and voting during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Shareholders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Registered shareholders of the Corporation (shareholders who hold shares through the Corporation’s transfer agent, Computershare)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Registered shareholders may also vote via the Internet by accessing www.investorvote.com/twin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11:59 PM Eastern Time on October 26, 2022. Shareholders that vote via the Internet should understand that there might be costs associated with electronic access that they must bear, such as usage charges from Internet access providers and telecommunications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Street Name Shareholders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HOW TO REVOKE YOUR PROXY</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attending the Annual Meeting and voting the shares, or by delivering a signed written statement revoking the proxy to the Secretary prior to the date of the Annual Meeting. ANY ATTEMPTED REVOCATIONS NOT MEETING THE ABOVE REQUIREMENTS WILL BE RULED INVALID.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 REQUIREMENTS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record date with respect to this solicitation is August 18, 2022. On that date, there were outstanding 13,784,266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via the Internet, will constitute a quorum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2023</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shareholder wishes to present a proposal for consideration for inclusion in the Notice of the Meeting and Proxy Statement for the 2023 Annual Meeting of Shareholders, the proposal must be received at the Corporation’s principal executive offices no later than May 11, 2022. Shareholder proposals received later than July 10, 2022 will be considered untimely, and will not be considered at the Corporation’s 2023 Annual Meeting. Any such proposal must comply with the requirements of Section (14)(a) of the Corporation’s Restated Bylaws.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shareholder wishes to nominate a person for election to the Board of Directors of the Corporation, such nomination shall be made pursuant to timely notice in writing to the Secretary of the Corporation. To be timely for the 2023 Annual Meeting, such notice must be delivered to or mailed and received at the principal executive offices of the Corporation no later than July 10, 2022. Any such notice must comply with the requirements of Section (14)(b) of the Corporation’s Restated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PROPOSALS AND HOW VOTES WILL BE COUNTED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220"/>
        <w:spacing w:after="0" w:line="261" w:lineRule="auto"/>
        <w:rPr>
          <w:sz w:val="20"/>
          <w:szCs w:val="20"/>
          <w:color w:val="auto"/>
        </w:rPr>
      </w:pPr>
      <w:r>
        <w:rPr>
          <w:rFonts w:ascii="Times New Roman" w:cs="Times New Roman" w:eastAsia="Times New Roman" w:hAnsi="Times New Roman"/>
          <w:sz w:val="18"/>
          <w:szCs w:val="18"/>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Brokers and other nominees may vote on the ratification of the appointment of RSM US LLP as our independent auditors for the fiscal year ending June 30, 2023 (Proposal No. 3) without specific instructions from beneficial owners. Therefore, no broker non-votes are expected to exist in connection with this proposal. However, brokers or other nominees may not vote on the election of Directors (Proposal No. 1) or the advisory vote on Named Executive Officer compensation (Proposal No. 2) without specific instructions from the beneficial owners of the shares. Therefore, an undetermined number of broker non-votes may occur on Proposals No. 1 and 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PRINCIPAL SHAREHOLDERS,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12, 2022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5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09"/>
        </w:trPr>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704 Waters Edge Rd.</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Power to vote</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2,383,392</w:t>
            </w:r>
            <w:r>
              <w:rPr>
                <w:rFonts w:ascii="Times New Roman" w:cs="Times New Roman" w:eastAsia="Times New Roman" w:hAnsi="Times New Roman"/>
                <w:sz w:val="14"/>
                <w:szCs w:val="14"/>
                <w:color w:val="auto"/>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2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Racine, WI</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Beneficial</w:t>
            </w:r>
          </w:p>
        </w:tc>
        <w:tc>
          <w:tcPr>
            <w:tcW w:w="2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326,395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GAMCO Investors, Inc.</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Corporate Center</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Power to vote &amp;</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1,950,6349</w:t>
            </w:r>
            <w:r>
              <w:rPr>
                <w:rFonts w:ascii="Times New Roman" w:cs="Times New Roman" w:eastAsia="Times New Roman" w:hAnsi="Times New Roman"/>
                <w:sz w:val="14"/>
                <w:szCs w:val="14"/>
                <w:color w:val="auto"/>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2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Rye, NY</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dispose of stock</w:t>
            </w: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Juniper Investment</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555 Madison Avenue</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Power to vote &amp;</w:t>
            </w:r>
          </w:p>
        </w:tc>
        <w:tc>
          <w:tcPr>
            <w:tcW w:w="2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1,035,073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LLC</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dispose of stock</w:t>
            </w: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as trustee under various trusts and as guardian for a non-immediate family member.</w:t>
      </w:r>
    </w:p>
    <w:p>
      <w:pPr>
        <w:spacing w:after="0" w:line="27" w:lineRule="exact"/>
        <w:rPr>
          <w:rFonts w:ascii="Times New Roman" w:cs="Times New Roman" w:eastAsia="Times New Roman" w:hAnsi="Times New Roman"/>
          <w:sz w:val="18"/>
          <w:szCs w:val="18"/>
          <w:color w:val="auto"/>
        </w:rPr>
      </w:pPr>
    </w:p>
    <w:p>
      <w:pPr>
        <w:ind w:left="620" w:right="120" w:hanging="329"/>
        <w:spacing w:after="0" w:line="26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various entities which are directly or indirectly controlled by Mario J. Gabelli and for which he acts as chief investment officer.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12, 2022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100" w:type="dxa"/>
            <w:vAlign w:val="bottom"/>
          </w:tcPr>
          <w:p>
            <w:pPr>
              <w:spacing w:after="0"/>
              <w:rPr>
                <w:sz w:val="18"/>
                <w:szCs w:val="18"/>
                <w:color w:val="auto"/>
              </w:rPr>
            </w:pPr>
          </w:p>
        </w:tc>
        <w:tc>
          <w:tcPr>
            <w:tcW w:w="298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8"/>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00" w:type="dxa"/>
            <w:vAlign w:val="bottom"/>
          </w:tcPr>
          <w:p>
            <w:pPr>
              <w:spacing w:after="0"/>
              <w:rPr>
                <w:sz w:val="20"/>
                <w:szCs w:val="20"/>
                <w:color w:val="auto"/>
              </w:rPr>
            </w:pPr>
          </w:p>
        </w:tc>
        <w:tc>
          <w:tcPr>
            <w:tcW w:w="2980" w:type="dxa"/>
            <w:vAlign w:val="bottom"/>
            <w:tcBorders>
              <w:bottom w:val="single" w:sz="8" w:color="auto"/>
            </w:tcBorders>
          </w:tcPr>
          <w:p>
            <w:pPr>
              <w:jc w:val="right"/>
              <w:ind w:right="373"/>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of Beneficial Ownership </w:t>
            </w:r>
            <w:r>
              <w:rPr>
                <w:rFonts w:ascii="Times New Roman" w:cs="Times New Roman" w:eastAsia="Times New Roman" w:hAnsi="Times New Roman"/>
                <w:sz w:val="27"/>
                <w:szCs w:val="27"/>
                <w:b w:val="1"/>
                <w:bCs w:val="1"/>
                <w:color w:val="auto"/>
                <w:vertAlign w:val="superscript"/>
              </w:rPr>
              <w:t>(1)</w:t>
            </w:r>
          </w:p>
        </w:tc>
        <w:tc>
          <w:tcPr>
            <w:tcW w:w="80" w:type="dxa"/>
            <w:vAlign w:val="bottom"/>
          </w:tcPr>
          <w:p>
            <w:pPr>
              <w:spacing w:after="0"/>
              <w:rPr>
                <w:sz w:val="20"/>
                <w:szCs w:val="20"/>
                <w:color w:val="auto"/>
              </w:rPr>
            </w:pPr>
          </w:p>
        </w:tc>
        <w:tc>
          <w:tcPr>
            <w:tcW w:w="2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0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3080" w:type="dxa"/>
            <w:vAlign w:val="bottom"/>
            <w:gridSpan w:val="2"/>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2,709,787</w:t>
            </w:r>
            <w:r>
              <w:rPr>
                <w:rFonts w:ascii="Times New Roman" w:cs="Times New Roman" w:eastAsia="Times New Roman" w:hAnsi="Times New Roman"/>
                <w:sz w:val="14"/>
                <w:szCs w:val="14"/>
                <w:color w:val="auto"/>
              </w:rPr>
              <w:t>(2)</w:t>
            </w:r>
          </w:p>
        </w:tc>
        <w:tc>
          <w:tcPr>
            <w:tcW w:w="24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30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107,965</w:t>
            </w:r>
            <w:r>
              <w:rPr>
                <w:rFonts w:ascii="Times New Roman" w:cs="Times New Roman" w:eastAsia="Times New Roman" w:hAnsi="Times New Roman"/>
                <w:sz w:val="14"/>
                <w:szCs w:val="14"/>
                <w:color w:val="auto"/>
              </w:rPr>
              <w:t>(3)</w:t>
            </w: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Doar</w:t>
            </w:r>
          </w:p>
        </w:tc>
        <w:tc>
          <w:tcPr>
            <w:tcW w:w="3080" w:type="dxa"/>
            <w:vAlign w:val="bottom"/>
            <w:gridSpan w:val="2"/>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84,308</w:t>
            </w:r>
            <w:r>
              <w:rPr>
                <w:rFonts w:ascii="Times New Roman" w:cs="Times New Roman" w:eastAsia="Times New Roman" w:hAnsi="Times New Roman"/>
                <w:sz w:val="14"/>
                <w:szCs w:val="14"/>
                <w:color w:val="auto"/>
              </w:rPr>
              <w:t>(4)</w:t>
            </w:r>
          </w:p>
        </w:tc>
        <w:tc>
          <w:tcPr>
            <w:tcW w:w="24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Janet P. Giesselman</w:t>
            </w:r>
          </w:p>
        </w:tc>
        <w:tc>
          <w:tcPr>
            <w:tcW w:w="30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38,646</w:t>
            </w:r>
            <w:r>
              <w:rPr>
                <w:rFonts w:ascii="Times New Roman" w:cs="Times New Roman" w:eastAsia="Times New Roman" w:hAnsi="Times New Roman"/>
                <w:sz w:val="14"/>
                <w:szCs w:val="14"/>
                <w:color w:val="auto"/>
              </w:rPr>
              <w:t>(4)</w:t>
            </w: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 Johnson</w:t>
            </w:r>
          </w:p>
        </w:tc>
        <w:tc>
          <w:tcPr>
            <w:tcW w:w="3080" w:type="dxa"/>
            <w:vAlign w:val="bottom"/>
            <w:gridSpan w:val="2"/>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43,114</w:t>
            </w:r>
            <w:r>
              <w:rPr>
                <w:rFonts w:ascii="Times New Roman" w:cs="Times New Roman" w:eastAsia="Times New Roman" w:hAnsi="Times New Roman"/>
                <w:sz w:val="14"/>
                <w:szCs w:val="14"/>
                <w:color w:val="auto"/>
              </w:rPr>
              <w:t>(4)</w:t>
            </w:r>
          </w:p>
        </w:tc>
        <w:tc>
          <w:tcPr>
            <w:tcW w:w="24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Rayburn</w:t>
            </w:r>
          </w:p>
        </w:tc>
        <w:tc>
          <w:tcPr>
            <w:tcW w:w="30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93,573</w:t>
            </w:r>
            <w:r>
              <w:rPr>
                <w:rFonts w:ascii="Times New Roman" w:cs="Times New Roman" w:eastAsia="Times New Roman" w:hAnsi="Times New Roman"/>
                <w:sz w:val="14"/>
                <w:szCs w:val="14"/>
                <w:color w:val="auto"/>
              </w:rPr>
              <w:t>(4)</w:t>
            </w: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Smiley</w:t>
            </w:r>
          </w:p>
        </w:tc>
        <w:tc>
          <w:tcPr>
            <w:tcW w:w="3080" w:type="dxa"/>
            <w:vAlign w:val="bottom"/>
            <w:gridSpan w:val="2"/>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50,781</w:t>
            </w:r>
            <w:r>
              <w:rPr>
                <w:rFonts w:ascii="Times New Roman" w:cs="Times New Roman" w:eastAsia="Times New Roman" w:hAnsi="Times New Roman"/>
                <w:sz w:val="14"/>
                <w:szCs w:val="14"/>
                <w:color w:val="auto"/>
              </w:rPr>
              <w:t>(4)</w:t>
            </w:r>
          </w:p>
        </w:tc>
        <w:tc>
          <w:tcPr>
            <w:tcW w:w="24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M. Stratton II</w:t>
            </w:r>
          </w:p>
        </w:tc>
        <w:tc>
          <w:tcPr>
            <w:tcW w:w="30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70,106</w:t>
            </w:r>
            <w:r>
              <w:rPr>
                <w:rFonts w:ascii="Times New Roman" w:cs="Times New Roman" w:eastAsia="Times New Roman" w:hAnsi="Times New Roman"/>
                <w:sz w:val="14"/>
                <w:szCs w:val="14"/>
                <w:color w:val="auto"/>
              </w:rPr>
              <w:t>(4)</w:t>
            </w: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Juliann Larimer</w:t>
            </w:r>
          </w:p>
        </w:tc>
        <w:tc>
          <w:tcPr>
            <w:tcW w:w="3080" w:type="dxa"/>
            <w:vAlign w:val="bottom"/>
            <w:gridSpan w:val="2"/>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4,642</w:t>
            </w:r>
            <w:r>
              <w:rPr>
                <w:rFonts w:ascii="Times New Roman" w:cs="Times New Roman" w:eastAsia="Times New Roman" w:hAnsi="Times New Roman"/>
                <w:sz w:val="14"/>
                <w:szCs w:val="14"/>
                <w:color w:val="auto"/>
              </w:rPr>
              <w:t>(4)</w:t>
            </w:r>
          </w:p>
        </w:tc>
        <w:tc>
          <w:tcPr>
            <w:tcW w:w="24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 Olsen</w:t>
            </w:r>
          </w:p>
        </w:tc>
        <w:tc>
          <w:tcPr>
            <w:tcW w:w="30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2,101</w:t>
            </w:r>
            <w:r>
              <w:rPr>
                <w:rFonts w:ascii="Times New Roman" w:cs="Times New Roman" w:eastAsia="Times New Roman" w:hAnsi="Times New Roman"/>
                <w:sz w:val="14"/>
                <w:szCs w:val="14"/>
                <w:color w:val="auto"/>
              </w:rPr>
              <w:t>(4)</w:t>
            </w: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198"/>
        </w:trPr>
        <w:tc>
          <w:tcPr>
            <w:tcW w:w="3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(10 persons)</w:t>
            </w:r>
          </w:p>
        </w:tc>
        <w:tc>
          <w:tcPr>
            <w:tcW w:w="30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3,205,023</w:t>
            </w:r>
            <w:r>
              <w:rPr>
                <w:rFonts w:ascii="Times New Roman" w:cs="Times New Roman" w:eastAsia="Times New Roman" w:hAnsi="Times New Roman"/>
                <w:sz w:val="14"/>
                <w:szCs w:val="14"/>
                <w:color w:val="auto"/>
              </w:rPr>
              <w:t>(4)</w:t>
            </w: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94" w:lineRule="exact"/>
        <w:rPr>
          <w:sz w:val="20"/>
          <w:szCs w:val="20"/>
          <w:color w:val="auto"/>
        </w:rPr>
      </w:pPr>
    </w:p>
    <w:p>
      <w:pPr>
        <w:ind w:left="1600" w:hanging="13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ownership of less than one percent of shares outstanding.</w:t>
      </w:r>
    </w:p>
    <w:p>
      <w:pPr>
        <w:spacing w:after="0" w:line="225" w:lineRule="exact"/>
        <w:rPr>
          <w:rFonts w:ascii="Times New Roman" w:cs="Times New Roman" w:eastAsia="Times New Roman" w:hAnsi="Times New Roman"/>
          <w:sz w:val="18"/>
          <w:szCs w:val="18"/>
          <w:color w:val="auto"/>
        </w:rPr>
      </w:pPr>
    </w:p>
    <w:p>
      <w:pPr>
        <w:ind w:left="620" w:right="40" w:hanging="329"/>
        <w:spacing w:after="0" w:line="261"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620" w:right="120" w:hanging="329"/>
        <w:spacing w:after="0" w:line="250"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2,383,392 shares held by Mr. Batten as trustee under various family trusts and as guardian for non-immediate family member. Also includes restricted stock grants of 44,986 shares that vest in fiscal 2023, 51,994 shares that vest in fiscal 2024 and 48,251 shares that vest in fiscal 2026.</w:t>
      </w:r>
    </w:p>
    <w:p>
      <w:pPr>
        <w:spacing w:after="0" w:line="1" w:lineRule="exact"/>
        <w:rPr>
          <w:rFonts w:ascii="Times New Roman" w:cs="Times New Roman" w:eastAsia="Times New Roman" w:hAnsi="Times New Roman"/>
          <w:sz w:val="18"/>
          <w:szCs w:val="18"/>
          <w:color w:val="auto"/>
        </w:rPr>
      </w:pPr>
    </w:p>
    <w:p>
      <w:pPr>
        <w:ind w:left="620" w:right="200" w:hanging="329"/>
        <w:spacing w:after="0" w:line="250"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1,874 shares that vest in fiscal 2023, 24,264 shares that vest in fiscal 2024 and 23,691 shares that vest in fiscal 2026.</w:t>
      </w:r>
    </w:p>
    <w:p>
      <w:pPr>
        <w:ind w:left="620" w:right="340" w:hanging="329"/>
        <w:spacing w:after="0" w:line="260"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above are unvested restricted shares as follows: Mr. Doar 12,039, Ms. Giesselman 6,484, Mr. Johnson 9,261, Mr. Rayburn 6,484, Mr. Smiley 6,484, Mr. Stratton 10,262, Ms. Larimer 4,642 and Mr. Olsen 2,101.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Board of Directors has nominated the following persons to serve as Directors for the Corporation, each for a term to expire at the Annual Meeting of Shareholders following the fiscal year ending June 30, 2025, as indicated below. Shares of common stock represented by properly executed proxy appointments will be voted for the three nominees listed unless authority to do so is withheld.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3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and</w:t>
            </w:r>
          </w:p>
        </w:tc>
        <w:tc>
          <w:tcPr>
            <w:tcW w:w="3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120" w:type="dxa"/>
            <w:vAlign w:val="bottom"/>
          </w:tcPr>
          <w:p>
            <w:pPr>
              <w:spacing w:after="0"/>
              <w:rPr>
                <w:sz w:val="18"/>
                <w:szCs w:val="18"/>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Served as Director</w:t>
            </w:r>
          </w:p>
        </w:tc>
      </w:tr>
      <w:tr>
        <w:trPr>
          <w:trHeight w:val="234"/>
        </w:trPr>
        <w:tc>
          <w:tcPr>
            <w:tcW w:w="1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Current Age</w:t>
            </w:r>
          </w:p>
        </w:tc>
        <w:tc>
          <w:tcPr>
            <w:tcW w:w="3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1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7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Continuously Since</w:t>
            </w:r>
          </w:p>
        </w:tc>
      </w:tr>
    </w:tbl>
    <w:p>
      <w:pPr>
        <w:spacing w:after="0" w:line="198"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TERMS EXPIRE IN 2022:</w:t>
      </w:r>
    </w:p>
    <w:p>
      <w:pPr>
        <w:spacing w:after="0" w:line="225" w:lineRule="exact"/>
        <w:rPr>
          <w:sz w:val="20"/>
          <w:szCs w:val="20"/>
          <w:color w:val="auto"/>
        </w:rPr>
      </w:pPr>
    </w:p>
    <w:p>
      <w:pPr>
        <w:ind w:left="180"/>
        <w:spacing w:after="0"/>
        <w:tabs>
          <w:tab w:leader="none" w:pos="2580" w:val="left"/>
        </w:tabs>
        <w:rPr>
          <w:sz w:val="20"/>
          <w:szCs w:val="20"/>
          <w:color w:val="auto"/>
        </w:rPr>
      </w:pPr>
      <w:r>
        <w:rPr>
          <w:rFonts w:ascii="Times New Roman" w:cs="Times New Roman" w:eastAsia="Times New Roman" w:hAnsi="Times New Roman"/>
          <w:sz w:val="18"/>
          <w:szCs w:val="18"/>
          <w:color w:val="auto"/>
        </w:rPr>
        <w:t>John H. Batten</w:t>
      </w:r>
      <w:r>
        <w:rPr>
          <w:sz w:val="20"/>
          <w:szCs w:val="20"/>
          <w:color w:val="auto"/>
        </w:rPr>
        <w:tab/>
      </w:r>
      <w:r>
        <w:rPr>
          <w:rFonts w:ascii="Times New Roman" w:cs="Times New Roman" w:eastAsia="Times New Roman" w:hAnsi="Times New Roman"/>
          <w:sz w:val="17"/>
          <w:szCs w:val="17"/>
          <w:color w:val="auto"/>
        </w:rPr>
        <w:t>Chief Executive Officer, Twin Disc,</w:t>
      </w:r>
    </w:p>
    <w:p>
      <w:pPr>
        <w:spacing w:after="0" w:line="27" w:lineRule="exact"/>
        <w:rPr>
          <w:sz w:val="20"/>
          <w:szCs w:val="20"/>
          <w:color w:val="auto"/>
        </w:rPr>
      </w:pPr>
    </w:p>
    <w:p>
      <w:pPr>
        <w:ind w:left="340"/>
        <w:spacing w:after="0"/>
        <w:tabs>
          <w:tab w:leader="none" w:pos="2580" w:val="left"/>
        </w:tabs>
        <w:rPr>
          <w:sz w:val="20"/>
          <w:szCs w:val="20"/>
          <w:color w:val="auto"/>
        </w:rPr>
      </w:pPr>
      <w:r>
        <w:rPr>
          <w:rFonts w:ascii="Times New Roman" w:cs="Times New Roman" w:eastAsia="Times New Roman" w:hAnsi="Times New Roman"/>
          <w:sz w:val="18"/>
          <w:szCs w:val="18"/>
          <w:color w:val="auto"/>
        </w:rPr>
        <w:t>Age 57</w:t>
      </w:r>
      <w:r>
        <w:rPr>
          <w:sz w:val="20"/>
          <w:szCs w:val="20"/>
          <w:color w:val="auto"/>
        </w:rPr>
        <w:tab/>
      </w:r>
      <w:r>
        <w:rPr>
          <w:rFonts w:ascii="Times New Roman" w:cs="Times New Roman" w:eastAsia="Times New Roman" w:hAnsi="Times New Roman"/>
          <w:sz w:val="18"/>
          <w:szCs w:val="18"/>
          <w:color w:val="auto"/>
        </w:rPr>
        <w:t>Incorporated since May 2019; formerly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President and CEO since July 2013;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formerly President and Chief Operating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Officer since July 2008, and Executive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Vice President since October 2004.</w:t>
      </w:r>
    </w:p>
    <w:p>
      <w:pPr>
        <w:spacing w:after="0" w:line="200" w:lineRule="exact"/>
        <w:rPr>
          <w:sz w:val="20"/>
          <w:szCs w:val="20"/>
          <w:color w:val="auto"/>
        </w:rPr>
      </w:pPr>
    </w:p>
    <w:p>
      <w:pPr>
        <w:spacing w:after="0" w:line="223" w:lineRule="exact"/>
        <w:rPr>
          <w:sz w:val="20"/>
          <w:szCs w:val="20"/>
          <w:color w:val="auto"/>
        </w:rPr>
      </w:pPr>
    </w:p>
    <w:p>
      <w:pPr>
        <w:ind w:left="180"/>
        <w:spacing w:after="0"/>
        <w:tabs>
          <w:tab w:leader="none" w:pos="2580" w:val="left"/>
        </w:tabs>
        <w:rPr>
          <w:sz w:val="20"/>
          <w:szCs w:val="20"/>
          <w:color w:val="auto"/>
        </w:rPr>
      </w:pPr>
      <w:r>
        <w:rPr>
          <w:rFonts w:ascii="Times New Roman" w:cs="Times New Roman" w:eastAsia="Times New Roman" w:hAnsi="Times New Roman"/>
          <w:sz w:val="18"/>
          <w:szCs w:val="18"/>
          <w:color w:val="auto"/>
        </w:rPr>
        <w:t>Juliann Larimer</w:t>
      </w:r>
      <w:r>
        <w:rPr>
          <w:sz w:val="20"/>
          <w:szCs w:val="20"/>
          <w:color w:val="auto"/>
        </w:rPr>
        <w:tab/>
      </w:r>
      <w:r>
        <w:rPr>
          <w:rFonts w:ascii="Times New Roman" w:cs="Times New Roman" w:eastAsia="Times New Roman" w:hAnsi="Times New Roman"/>
          <w:sz w:val="18"/>
          <w:szCs w:val="18"/>
          <w:color w:val="auto"/>
        </w:rPr>
        <w:t>Chair of the Board and retired President</w:t>
      </w:r>
    </w:p>
    <w:p>
      <w:pPr>
        <w:spacing w:after="0" w:line="27" w:lineRule="exact"/>
        <w:rPr>
          <w:sz w:val="20"/>
          <w:szCs w:val="20"/>
          <w:color w:val="auto"/>
        </w:rPr>
      </w:pPr>
    </w:p>
    <w:p>
      <w:pPr>
        <w:ind w:left="340"/>
        <w:spacing w:after="0"/>
        <w:tabs>
          <w:tab w:leader="none" w:pos="2580" w:val="left"/>
        </w:tabs>
        <w:rPr>
          <w:sz w:val="20"/>
          <w:szCs w:val="20"/>
          <w:color w:val="auto"/>
        </w:rPr>
      </w:pPr>
      <w:r>
        <w:rPr>
          <w:rFonts w:ascii="Times New Roman" w:cs="Times New Roman" w:eastAsia="Times New Roman" w:hAnsi="Times New Roman"/>
          <w:sz w:val="18"/>
          <w:szCs w:val="18"/>
          <w:color w:val="auto"/>
        </w:rPr>
        <w:t>Age 56</w:t>
      </w:r>
      <w:r>
        <w:rPr>
          <w:sz w:val="20"/>
          <w:szCs w:val="20"/>
          <w:color w:val="auto"/>
        </w:rPr>
        <w:tab/>
      </w:r>
      <w:r>
        <w:rPr>
          <w:rFonts w:ascii="Times New Roman" w:cs="Times New Roman" w:eastAsia="Times New Roman" w:hAnsi="Times New Roman"/>
          <w:sz w:val="17"/>
          <w:szCs w:val="17"/>
          <w:color w:val="auto"/>
        </w:rPr>
        <w:t>and Chief Executive Officer, Peak</w:t>
      </w:r>
    </w:p>
    <w:p>
      <w:pPr>
        <w:spacing w:after="0" w:line="9" w:lineRule="exact"/>
        <w:rPr>
          <w:sz w:val="20"/>
          <w:szCs w:val="20"/>
          <w:color w:val="auto"/>
        </w:rPr>
      </w:pPr>
    </w:p>
    <w:p>
      <w:pPr>
        <w:ind w:left="2600" w:right="40"/>
        <w:spacing w:after="0" w:line="253" w:lineRule="auto"/>
        <w:rPr>
          <w:sz w:val="20"/>
          <w:szCs w:val="20"/>
          <w:color w:val="auto"/>
        </w:rPr>
      </w:pPr>
      <w:r>
        <w:rPr>
          <w:rFonts w:ascii="Times New Roman" w:cs="Times New Roman" w:eastAsia="Times New Roman" w:hAnsi="Times New Roman"/>
          <w:sz w:val="18"/>
          <w:szCs w:val="18"/>
          <w:color w:val="auto"/>
        </w:rPr>
        <w:t>Technologies, Milwaukee, Wisconsin (A provider of end-to-end mobility and digital supply chain solutions for performance-driven organizations).</w:t>
      </w:r>
    </w:p>
    <w:p>
      <w:pPr>
        <w:spacing w:after="0" w:line="189" w:lineRule="exact"/>
        <w:rPr>
          <w:sz w:val="20"/>
          <w:szCs w:val="20"/>
          <w:color w:val="auto"/>
        </w:rPr>
      </w:pPr>
    </w:p>
    <w:p>
      <w:pPr>
        <w:ind w:left="180"/>
        <w:spacing w:after="0"/>
        <w:tabs>
          <w:tab w:leader="none" w:pos="2580" w:val="left"/>
        </w:tabs>
        <w:rPr>
          <w:sz w:val="20"/>
          <w:szCs w:val="20"/>
          <w:color w:val="auto"/>
        </w:rPr>
      </w:pPr>
      <w:r>
        <w:rPr>
          <w:rFonts w:ascii="Times New Roman" w:cs="Times New Roman" w:eastAsia="Times New Roman" w:hAnsi="Times New Roman"/>
          <w:sz w:val="18"/>
          <w:szCs w:val="18"/>
          <w:color w:val="auto"/>
        </w:rPr>
        <w:t>Kevin M. Olsen</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7" w:lineRule="exact"/>
        <w:rPr>
          <w:sz w:val="20"/>
          <w:szCs w:val="20"/>
          <w:color w:val="auto"/>
        </w:rPr>
      </w:pPr>
    </w:p>
    <w:p>
      <w:pPr>
        <w:ind w:left="340"/>
        <w:spacing w:after="0"/>
        <w:tabs>
          <w:tab w:leader="none" w:pos="2580" w:val="left"/>
        </w:tabs>
        <w:rPr>
          <w:sz w:val="20"/>
          <w:szCs w:val="20"/>
          <w:color w:val="auto"/>
        </w:rPr>
      </w:pPr>
      <w:r>
        <w:rPr>
          <w:rFonts w:ascii="Times New Roman" w:cs="Times New Roman" w:eastAsia="Times New Roman" w:hAnsi="Times New Roman"/>
          <w:sz w:val="18"/>
          <w:szCs w:val="18"/>
          <w:color w:val="auto"/>
        </w:rPr>
        <w:t>Age 51</w:t>
      </w:r>
      <w:r>
        <w:rPr>
          <w:sz w:val="20"/>
          <w:szCs w:val="20"/>
          <w:color w:val="auto"/>
        </w:rPr>
        <w:tab/>
      </w:r>
      <w:r>
        <w:rPr>
          <w:rFonts w:ascii="Times New Roman" w:cs="Times New Roman" w:eastAsia="Times New Roman" w:hAnsi="Times New Roman"/>
          <w:sz w:val="18"/>
          <w:szCs w:val="18"/>
          <w:color w:val="auto"/>
        </w:rPr>
        <w:t>Dorman Products, Colmar Pennsylvania (A</w:t>
      </w:r>
    </w:p>
    <w:p>
      <w:pPr>
        <w:spacing w:after="0" w:line="9" w:lineRule="exact"/>
        <w:rPr>
          <w:sz w:val="20"/>
          <w:szCs w:val="20"/>
          <w:color w:val="auto"/>
        </w:rPr>
      </w:pPr>
    </w:p>
    <w:p>
      <w:pPr>
        <w:ind w:left="2600" w:right="40"/>
        <w:spacing w:after="0" w:line="260" w:lineRule="auto"/>
        <w:rPr>
          <w:sz w:val="20"/>
          <w:szCs w:val="20"/>
          <w:color w:val="auto"/>
        </w:rPr>
      </w:pPr>
      <w:r>
        <w:rPr>
          <w:rFonts w:ascii="Times New Roman" w:cs="Times New Roman" w:eastAsia="Times New Roman" w:hAnsi="Times New Roman"/>
          <w:sz w:val="18"/>
          <w:szCs w:val="18"/>
          <w:color w:val="auto"/>
        </w:rPr>
        <w:t>supplier of replacement parts for the global automotive aftermarket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Mr. Batten is a sitting CEO of a public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2002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company. His skill sets include strategic and</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operational planning, financial oversight,</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and organizational development as well as</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extensive domestic and international</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experience in engineered products and a</w:t>
            </w:r>
          </w:p>
        </w:tc>
        <w:tc>
          <w:tcPr>
            <w:tcW w:w="162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complex manufacturing environment.</w:t>
            </w:r>
          </w:p>
        </w:tc>
        <w:tc>
          <w:tcPr>
            <w:tcW w:w="1620" w:type="dxa"/>
            <w:vAlign w:val="bottom"/>
          </w:tcPr>
          <w:p>
            <w:pPr>
              <w:spacing w:after="0"/>
              <w:rPr>
                <w:sz w:val="20"/>
                <w:szCs w:val="20"/>
                <w:color w:val="auto"/>
              </w:rPr>
            </w:pPr>
          </w:p>
        </w:tc>
      </w:tr>
      <w:tr>
        <w:trPr>
          <w:trHeight w:val="4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Ms. Larimer is Board Chair and former CEO</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of a technology company and former Vice</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Sales for a global public</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company, Zebra Technologies. She is skilled</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 strategic planning, global sales strategy</w:t>
            </w:r>
          </w:p>
        </w:tc>
        <w:tc>
          <w:tcPr>
            <w:tcW w:w="162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and management of diverse teams.</w:t>
            </w:r>
          </w:p>
        </w:tc>
        <w:tc>
          <w:tcPr>
            <w:tcW w:w="1620" w:type="dxa"/>
            <w:vAlign w:val="bottom"/>
          </w:tcPr>
          <w:p>
            <w:pPr>
              <w:spacing w:after="0"/>
              <w:rPr>
                <w:sz w:val="20"/>
                <w:szCs w:val="20"/>
                <w:color w:val="auto"/>
              </w:rPr>
            </w:pPr>
          </w:p>
        </w:tc>
      </w:tr>
      <w:tr>
        <w:trPr>
          <w:trHeight w:val="4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Mr. Olsen is a sitting CEO of a public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2022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company, and former CFO. His skills</w:t>
            </w:r>
          </w:p>
        </w:tc>
        <w:tc>
          <w:tcPr>
            <w:tcW w:w="1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include executive leadership, financial</w:t>
            </w:r>
          </w:p>
        </w:tc>
        <w:tc>
          <w:tcPr>
            <w:tcW w:w="162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strategic planning.</w:t>
            </w:r>
          </w:p>
        </w:tc>
        <w:tc>
          <w:tcPr>
            <w:tcW w:w="1620" w:type="dxa"/>
            <w:vAlign w:val="bottom"/>
          </w:tcPr>
          <w:p>
            <w:pPr>
              <w:spacing w:after="0"/>
              <w:rPr>
                <w:sz w:val="20"/>
                <w:szCs w:val="20"/>
                <w:color w:val="auto"/>
              </w:rPr>
            </w:pPr>
          </w:p>
        </w:tc>
      </w:tr>
    </w:tbl>
    <w:p>
      <w:pPr>
        <w:spacing w:after="0" w:line="216" w:lineRule="exact"/>
        <w:rPr>
          <w:sz w:val="20"/>
          <w:szCs w:val="20"/>
          <w:color w:val="auto"/>
        </w:rPr>
      </w:pPr>
    </w:p>
    <w:p>
      <w:pPr>
        <w:sectPr>
          <w:pgSz w:w="11900" w:h="16838" w:orient="portrait"/>
          <w:cols w:equalWidth="0" w:num="2">
            <w:col w:w="5740" w:space="180"/>
            <w:col w:w="5320"/>
          </w:cols>
          <w:pgMar w:left="320" w:top="1440"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IN FAVOR OF ELECTING THE NOMINEES LISTED ABOVE AS DIRECTORS.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THESE NOMINEES AS DIRECTORS.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3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and</w:t>
            </w:r>
          </w:p>
        </w:tc>
        <w:tc>
          <w:tcPr>
            <w:tcW w:w="3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120" w:type="dxa"/>
            <w:vAlign w:val="bottom"/>
          </w:tcPr>
          <w:p>
            <w:pPr>
              <w:spacing w:after="0"/>
              <w:rPr>
                <w:sz w:val="18"/>
                <w:szCs w:val="18"/>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Served as Director</w:t>
            </w:r>
          </w:p>
        </w:tc>
      </w:tr>
      <w:tr>
        <w:trPr>
          <w:trHeight w:val="234"/>
        </w:trPr>
        <w:tc>
          <w:tcPr>
            <w:tcW w:w="1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Current Age</w:t>
            </w:r>
          </w:p>
        </w:tc>
        <w:tc>
          <w:tcPr>
            <w:tcW w:w="3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1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7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Continuously Since</w:t>
            </w: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CONTINUING DIRECTORS WHOSE TERMS EXPIRE IN 2023:</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Michael Doar</w:t>
            </w: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Executive Chairman and former Chairman</w:t>
            </w:r>
          </w:p>
        </w:tc>
      </w:tr>
      <w:tr>
        <w:trPr>
          <w:trHeight w:val="216"/>
        </w:trPr>
        <w:tc>
          <w:tcPr>
            <w:tcW w:w="1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 67</w:t>
            </w: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Chief Executive Officer, Hurco</w:t>
            </w:r>
          </w:p>
        </w:tc>
      </w:tr>
      <w:tr>
        <w:trPr>
          <w:trHeight w:val="216"/>
        </w:trPr>
        <w:tc>
          <w:tcPr>
            <w:tcW w:w="1880" w:type="dxa"/>
            <w:vAlign w:val="bottom"/>
          </w:tcPr>
          <w:p>
            <w:pPr>
              <w:spacing w:after="0"/>
              <w:rPr>
                <w:sz w:val="18"/>
                <w:szCs w:val="18"/>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Companies, Inc., Indianapolis, Indiana (A</w:t>
            </w:r>
          </w:p>
        </w:tc>
      </w:tr>
      <w:tr>
        <w:trPr>
          <w:trHeight w:val="234"/>
        </w:trPr>
        <w:tc>
          <w:tcPr>
            <w:tcW w:w="1880" w:type="dxa"/>
            <w:vAlign w:val="bottom"/>
          </w:tcPr>
          <w:p>
            <w:pPr>
              <w:spacing w:after="0"/>
              <w:rPr>
                <w:sz w:val="20"/>
                <w:szCs w:val="20"/>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global manufacturer of machine tools)</w:t>
            </w:r>
          </w:p>
        </w:tc>
      </w:tr>
      <w:tr>
        <w:trPr>
          <w:trHeight w:val="6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Michael C. Smiley</w:t>
            </w: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Former Chief Financial Officer, Zebra</w:t>
            </w:r>
          </w:p>
        </w:tc>
      </w:tr>
      <w:tr>
        <w:trPr>
          <w:trHeight w:val="216"/>
        </w:trPr>
        <w:tc>
          <w:tcPr>
            <w:tcW w:w="1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 63</w:t>
            </w: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Technologies Corp., Lincolnshire, Illinois</w:t>
            </w:r>
          </w:p>
        </w:tc>
      </w:tr>
      <w:tr>
        <w:trPr>
          <w:trHeight w:val="216"/>
        </w:trPr>
        <w:tc>
          <w:tcPr>
            <w:tcW w:w="1880" w:type="dxa"/>
            <w:vAlign w:val="bottom"/>
          </w:tcPr>
          <w:p>
            <w:pPr>
              <w:spacing w:after="0"/>
              <w:rPr>
                <w:sz w:val="18"/>
                <w:szCs w:val="18"/>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global provider of enterprise asset</w:t>
            </w:r>
          </w:p>
        </w:tc>
      </w:tr>
      <w:tr>
        <w:trPr>
          <w:trHeight w:val="216"/>
        </w:trPr>
        <w:tc>
          <w:tcPr>
            <w:tcW w:w="1880" w:type="dxa"/>
            <w:vAlign w:val="bottom"/>
          </w:tcPr>
          <w:p>
            <w:pPr>
              <w:spacing w:after="0"/>
              <w:rPr>
                <w:sz w:val="18"/>
                <w:szCs w:val="18"/>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intelligence solutions to identify, track and</w:t>
            </w:r>
          </w:p>
        </w:tc>
      </w:tr>
      <w:tr>
        <w:trPr>
          <w:trHeight w:val="216"/>
        </w:trPr>
        <w:tc>
          <w:tcPr>
            <w:tcW w:w="1880" w:type="dxa"/>
            <w:vAlign w:val="bottom"/>
          </w:tcPr>
          <w:p>
            <w:pPr>
              <w:spacing w:after="0"/>
              <w:rPr>
                <w:sz w:val="18"/>
                <w:szCs w:val="18"/>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manage the deployment of critical assets</w:t>
            </w:r>
          </w:p>
        </w:tc>
      </w:tr>
      <w:tr>
        <w:trPr>
          <w:trHeight w:val="216"/>
        </w:trPr>
        <w:tc>
          <w:tcPr>
            <w:tcW w:w="1880" w:type="dxa"/>
            <w:vAlign w:val="bottom"/>
          </w:tcPr>
          <w:p>
            <w:pPr>
              <w:spacing w:after="0"/>
              <w:rPr>
                <w:sz w:val="18"/>
                <w:szCs w:val="18"/>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improved business efficiency). Mr.</w:t>
            </w:r>
          </w:p>
        </w:tc>
      </w:tr>
      <w:tr>
        <w:trPr>
          <w:trHeight w:val="216"/>
        </w:trPr>
        <w:tc>
          <w:tcPr>
            <w:tcW w:w="1880" w:type="dxa"/>
            <w:vAlign w:val="bottom"/>
          </w:tcPr>
          <w:p>
            <w:pPr>
              <w:spacing w:after="0"/>
              <w:rPr>
                <w:sz w:val="18"/>
                <w:szCs w:val="18"/>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Smiley was previously a Director of the</w:t>
            </w:r>
          </w:p>
        </w:tc>
      </w:tr>
      <w:tr>
        <w:trPr>
          <w:trHeight w:val="234"/>
        </w:trPr>
        <w:tc>
          <w:tcPr>
            <w:tcW w:w="1880" w:type="dxa"/>
            <w:vAlign w:val="bottom"/>
          </w:tcPr>
          <w:p>
            <w:pPr>
              <w:spacing w:after="0"/>
              <w:rPr>
                <w:sz w:val="20"/>
                <w:szCs w:val="20"/>
                <w:color w:val="auto"/>
              </w:rPr>
            </w:pPr>
          </w:p>
        </w:tc>
        <w:tc>
          <w:tcPr>
            <w:tcW w:w="3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Corporation from 2010-2018.</w:t>
            </w: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CONTINUING DIRECTORS WHOSE TERMS EXPIRE IN 2024: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Mr. Doar is Executive Chairman and former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2008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CEO of a public company. His experience</w:t>
            </w:r>
          </w:p>
        </w:tc>
        <w:tc>
          <w:tcPr>
            <w:tcW w:w="156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includes strategic planning, financial</w:t>
            </w:r>
          </w:p>
        </w:tc>
        <w:tc>
          <w:tcPr>
            <w:tcW w:w="156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oversight, compensation and organizational</w:t>
            </w:r>
          </w:p>
        </w:tc>
        <w:tc>
          <w:tcPr>
            <w:tcW w:w="156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competencies.</w:t>
            </w:r>
          </w:p>
        </w:tc>
        <w:tc>
          <w:tcPr>
            <w:tcW w:w="1560" w:type="dxa"/>
            <w:vAlign w:val="bottom"/>
          </w:tcPr>
          <w:p>
            <w:pPr>
              <w:spacing w:after="0"/>
              <w:rPr>
                <w:sz w:val="20"/>
                <w:szCs w:val="20"/>
                <w:color w:val="auto"/>
              </w:rPr>
            </w:pPr>
          </w:p>
        </w:tc>
      </w:tr>
      <w:tr>
        <w:trPr>
          <w:trHeight w:val="41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Mr. Smiley is a former CFO of a public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2019</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company. His competencies include</w:t>
            </w:r>
          </w:p>
        </w:tc>
        <w:tc>
          <w:tcPr>
            <w:tcW w:w="156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strategic planning, financial oversight,</w:t>
            </w:r>
          </w:p>
        </w:tc>
        <w:tc>
          <w:tcPr>
            <w:tcW w:w="156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mergers and acquisitions, extensive</w:t>
            </w:r>
          </w:p>
        </w:tc>
        <w:tc>
          <w:tcPr>
            <w:tcW w:w="156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domestic and international experience in</w:t>
            </w:r>
          </w:p>
        </w:tc>
        <w:tc>
          <w:tcPr>
            <w:tcW w:w="156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complex manufacturing and engineered and</w:t>
            </w:r>
          </w:p>
        </w:tc>
        <w:tc>
          <w:tcPr>
            <w:tcW w:w="156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technology products.</w:t>
            </w:r>
          </w:p>
        </w:tc>
        <w:tc>
          <w:tcPr>
            <w:tcW w:w="1560" w:type="dxa"/>
            <w:vAlign w:val="bottom"/>
          </w:tcPr>
          <w:p>
            <w:pPr>
              <w:spacing w:after="0"/>
              <w:rPr>
                <w:sz w:val="20"/>
                <w:szCs w:val="20"/>
                <w:color w:val="auto"/>
              </w:rPr>
            </w:pPr>
          </w:p>
        </w:tc>
      </w:tr>
    </w:tbl>
    <w:p>
      <w:pPr>
        <w:spacing w:after="0" w:line="800" w:lineRule="exact"/>
        <w:rPr>
          <w:sz w:val="20"/>
          <w:szCs w:val="20"/>
          <w:color w:val="auto"/>
        </w:rPr>
      </w:pPr>
    </w:p>
    <w:p>
      <w:pPr>
        <w:sectPr>
          <w:pgSz w:w="11900" w:h="16838" w:orient="portrait"/>
          <w:cols w:equalWidth="0" w:num="2">
            <w:col w:w="5660" w:space="260"/>
            <w:col w:w="53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 xml:space="preserve">David B. Rayburn </w:t>
      </w:r>
      <w:r>
        <w:rPr>
          <w:rFonts w:ascii="Times New Roman" w:cs="Times New Roman" w:eastAsia="Times New Roman" w:hAnsi="Times New Roman"/>
          <w:sz w:val="28"/>
          <w:szCs w:val="28"/>
          <w:color w:val="auto"/>
          <w:vertAlign w:val="superscript"/>
        </w:rPr>
        <w:t>(1)</w:t>
      </w:r>
    </w:p>
    <w:p>
      <w:pPr>
        <w:ind w:left="340"/>
        <w:spacing w:after="0"/>
        <w:rPr>
          <w:sz w:val="20"/>
          <w:szCs w:val="20"/>
          <w:color w:val="auto"/>
        </w:rPr>
      </w:pPr>
      <w:r>
        <w:rPr>
          <w:rFonts w:ascii="Times New Roman" w:cs="Times New Roman" w:eastAsia="Times New Roman" w:hAnsi="Times New Roman"/>
          <w:sz w:val="18"/>
          <w:szCs w:val="18"/>
          <w:color w:val="auto"/>
        </w:rPr>
        <w:t>Age 74</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Retired President and Chief Executive Officer, Modine Manufacturing Company, Racine, Wisconsin (A manufacturer of heat exchange equipment); Also Director, Lindsay Corporation (A provider of irrigation and water management systems).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As a former CEO of a public company, Mr.</w:t>
      </w:r>
      <w:r>
        <w:rPr>
          <w:sz w:val="20"/>
          <w:szCs w:val="20"/>
          <w:color w:val="auto"/>
        </w:rPr>
        <w:tab/>
      </w:r>
      <w:r>
        <w:rPr>
          <w:rFonts w:ascii="Times New Roman" w:cs="Times New Roman" w:eastAsia="Times New Roman" w:hAnsi="Times New Roman"/>
          <w:sz w:val="17"/>
          <w:szCs w:val="17"/>
          <w:color w:val="auto"/>
        </w:rPr>
        <w:t>July 2000</w:t>
      </w:r>
    </w:p>
    <w:p>
      <w:pPr>
        <w:spacing w:after="0" w:line="27" w:lineRule="exact"/>
        <w:rPr>
          <w:sz w:val="20"/>
          <w:szCs w:val="20"/>
          <w:color w:val="auto"/>
        </w:rPr>
      </w:pPr>
    </w:p>
    <w:p>
      <w:pPr>
        <w:ind w:right="2080"/>
        <w:spacing w:after="0" w:line="251" w:lineRule="auto"/>
        <w:rPr>
          <w:sz w:val="20"/>
          <w:szCs w:val="20"/>
          <w:color w:val="auto"/>
        </w:rPr>
      </w:pPr>
      <w:r>
        <w:rPr>
          <w:rFonts w:ascii="Times New Roman" w:cs="Times New Roman" w:eastAsia="Times New Roman" w:hAnsi="Times New Roman"/>
          <w:sz w:val="18"/>
          <w:szCs w:val="18"/>
          <w:color w:val="auto"/>
        </w:rPr>
        <w:t>Rayburn has experience and skill sets in strategic planning, financial oversight, compensation policy and practices as well as organizational structure. In addition, Mr. Rayburn’s background includes international business, mergers and acquisitions, engineering and manufacturing in an industry related to the Corporation.</w:t>
      </w:r>
    </w:p>
    <w:p>
      <w:pPr>
        <w:spacing w:after="0" w:line="194" w:lineRule="exact"/>
        <w:rPr>
          <w:sz w:val="20"/>
          <w:szCs w:val="20"/>
          <w:color w:val="auto"/>
        </w:rPr>
      </w:pPr>
    </w:p>
    <w:p>
      <w:pPr>
        <w:sectPr>
          <w:pgSz w:w="11900" w:h="16838" w:orient="portrait"/>
          <w:cols w:equalWidth="0" w:num="3">
            <w:col w:w="1880" w:space="720"/>
            <w:col w:w="3120" w:space="200"/>
            <w:col w:w="5320"/>
          </w:cols>
          <w:pgMar w:left="320" w:top="1440" w:right="339" w:bottom="1440" w:gutter="0" w:footer="0" w:header="0"/>
          <w:type w:val="continuous"/>
        </w:sectPr>
      </w:pPr>
    </w:p>
    <w:p>
      <w:pPr>
        <w:ind w:left="180"/>
        <w:spacing w:after="0"/>
        <w:tabs>
          <w:tab w:leader="none" w:pos="2580" w:val="left"/>
        </w:tabs>
        <w:rPr>
          <w:sz w:val="20"/>
          <w:szCs w:val="20"/>
          <w:color w:val="auto"/>
        </w:rPr>
      </w:pPr>
      <w:r>
        <w:rPr>
          <w:rFonts w:ascii="Times New Roman" w:cs="Times New Roman" w:eastAsia="Times New Roman" w:hAnsi="Times New Roman"/>
          <w:sz w:val="18"/>
          <w:szCs w:val="18"/>
          <w:color w:val="auto"/>
        </w:rPr>
        <w:t>Janet P. Giesselman</w:t>
      </w:r>
      <w:r>
        <w:rPr>
          <w:sz w:val="20"/>
          <w:szCs w:val="20"/>
          <w:color w:val="auto"/>
        </w:rPr>
        <w:tab/>
      </w:r>
      <w:r>
        <w:rPr>
          <w:rFonts w:ascii="Times New Roman" w:cs="Times New Roman" w:eastAsia="Times New Roman" w:hAnsi="Times New Roman"/>
          <w:sz w:val="17"/>
          <w:szCs w:val="17"/>
          <w:color w:val="auto"/>
        </w:rPr>
        <w:t>Retired President of Dow Oil &amp; Gas, a</w:t>
      </w:r>
    </w:p>
    <w:p>
      <w:pPr>
        <w:spacing w:after="0" w:line="27" w:lineRule="exact"/>
        <w:rPr>
          <w:sz w:val="20"/>
          <w:szCs w:val="20"/>
          <w:color w:val="auto"/>
        </w:rPr>
      </w:pPr>
    </w:p>
    <w:p>
      <w:pPr>
        <w:ind w:left="340"/>
        <w:spacing w:after="0"/>
        <w:tabs>
          <w:tab w:leader="none" w:pos="2580" w:val="left"/>
        </w:tabs>
        <w:rPr>
          <w:sz w:val="20"/>
          <w:szCs w:val="20"/>
          <w:color w:val="auto"/>
        </w:rPr>
      </w:pPr>
      <w:r>
        <w:rPr>
          <w:rFonts w:ascii="Times New Roman" w:cs="Times New Roman" w:eastAsia="Times New Roman" w:hAnsi="Times New Roman"/>
          <w:sz w:val="18"/>
          <w:szCs w:val="18"/>
          <w:color w:val="auto"/>
        </w:rPr>
        <w:t>Age 68</w:t>
      </w:r>
      <w:r>
        <w:rPr>
          <w:sz w:val="20"/>
          <w:szCs w:val="20"/>
          <w:color w:val="auto"/>
        </w:rPr>
        <w:tab/>
      </w:r>
      <w:r>
        <w:rPr>
          <w:rFonts w:ascii="Times New Roman" w:cs="Times New Roman" w:eastAsia="Times New Roman" w:hAnsi="Times New Roman"/>
          <w:sz w:val="17"/>
          <w:szCs w:val="17"/>
          <w:color w:val="auto"/>
        </w:rPr>
        <w:t>business unit of The Dow Chemical</w:t>
      </w:r>
    </w:p>
    <w:p>
      <w:pPr>
        <w:spacing w:after="0" w:line="9" w:lineRule="exact"/>
        <w:rPr>
          <w:sz w:val="20"/>
          <w:szCs w:val="20"/>
          <w:color w:val="auto"/>
        </w:rPr>
      </w:pPr>
    </w:p>
    <w:p>
      <w:pPr>
        <w:ind w:left="2600"/>
        <w:spacing w:after="0" w:line="251" w:lineRule="auto"/>
        <w:rPr>
          <w:sz w:val="20"/>
          <w:szCs w:val="20"/>
          <w:color w:val="auto"/>
        </w:rPr>
      </w:pPr>
      <w:r>
        <w:rPr>
          <w:rFonts w:ascii="Times New Roman" w:cs="Times New Roman" w:eastAsia="Times New Roman" w:hAnsi="Times New Roman"/>
          <w:sz w:val="18"/>
          <w:szCs w:val="18"/>
          <w:color w:val="auto"/>
        </w:rPr>
        <w:t>Company, Midland, Michigan. Also Director, Ag Growth International (A global provider of grain handling and storage equipment), Director, GCP (A construction products technology company), Director, Corteva Agriscience (An agricultural chemical company), Former Director, Avicanna, Inc. (A biopharmaceutical company) and Former Director, Omnova Solutions (A global provider of emulsion polymers and specialty chemicals).</w:t>
      </w:r>
    </w:p>
    <w:p>
      <w:pPr>
        <w:spacing w:after="0" w:line="20" w:lineRule="exact"/>
        <w:rPr>
          <w:sz w:val="20"/>
          <w:szCs w:val="20"/>
          <w:color w:val="auto"/>
        </w:rPr>
      </w:pPr>
      <w:r>
        <w:rPr>
          <w:sz w:val="20"/>
          <w:szCs w:val="20"/>
          <w:color w:val="auto"/>
        </w:rPr>
        <w:br w:type="column"/>
      </w: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Ms. Giesselman is a retired senior executive</w:t>
      </w:r>
      <w:r>
        <w:rPr>
          <w:sz w:val="20"/>
          <w:szCs w:val="20"/>
          <w:color w:val="auto"/>
        </w:rPr>
        <w:tab/>
      </w:r>
      <w:r>
        <w:rPr>
          <w:rFonts w:ascii="Times New Roman" w:cs="Times New Roman" w:eastAsia="Times New Roman" w:hAnsi="Times New Roman"/>
          <w:sz w:val="18"/>
          <w:szCs w:val="18"/>
          <w:color w:val="auto"/>
        </w:rPr>
        <w:t>June 2015</w:t>
      </w:r>
    </w:p>
    <w:p>
      <w:pPr>
        <w:spacing w:after="0" w:line="27" w:lineRule="exact"/>
        <w:rPr>
          <w:sz w:val="20"/>
          <w:szCs w:val="20"/>
          <w:color w:val="auto"/>
        </w:rPr>
      </w:pPr>
    </w:p>
    <w:p>
      <w:pPr>
        <w:ind w:right="2100"/>
        <w:spacing w:after="0" w:line="251" w:lineRule="auto"/>
        <w:rPr>
          <w:sz w:val="20"/>
          <w:szCs w:val="20"/>
          <w:color w:val="auto"/>
        </w:rPr>
      </w:pPr>
      <w:r>
        <w:rPr>
          <w:rFonts w:ascii="Times New Roman" w:cs="Times New Roman" w:eastAsia="Times New Roman" w:hAnsi="Times New Roman"/>
          <w:sz w:val="18"/>
          <w:szCs w:val="18"/>
          <w:color w:val="auto"/>
        </w:rPr>
        <w:t>of a global public company. Her background includes strategic planning, financial oversight, sales, marketing, start-ups, mergers and acquisitions and global regulatory expertise. Ms. Giesselman has extensive international experience and a broad background in the oil and gas and the agricultural sectors.</w:t>
      </w:r>
    </w:p>
    <w:p>
      <w:pPr>
        <w:spacing w:after="0" w:line="1273" w:lineRule="exact"/>
        <w:rPr>
          <w:sz w:val="20"/>
          <w:szCs w:val="20"/>
          <w:color w:val="auto"/>
        </w:rPr>
      </w:pPr>
    </w:p>
    <w:p>
      <w:pPr>
        <w:sectPr>
          <w:pgSz w:w="11900" w:h="16838" w:orient="portrait"/>
          <w:cols w:equalWidth="0" w:num="2">
            <w:col w:w="5580" w:space="340"/>
            <w:col w:w="5320"/>
          </w:cols>
          <w:pgMar w:left="320" w:top="1440" w:right="339" w:bottom="1440" w:gutter="0" w:footer="0" w:header="0"/>
          <w:type w:val="continuous"/>
        </w:sectPr>
      </w:pPr>
    </w:p>
    <w:p>
      <w:pPr>
        <w:ind w:left="180"/>
        <w:spacing w:after="0"/>
        <w:tabs>
          <w:tab w:leader="none" w:pos="2580" w:val="left"/>
        </w:tabs>
        <w:rPr>
          <w:sz w:val="20"/>
          <w:szCs w:val="20"/>
          <w:color w:val="auto"/>
        </w:rPr>
      </w:pPr>
      <w:r>
        <w:rPr>
          <w:rFonts w:ascii="Times New Roman" w:cs="Times New Roman" w:eastAsia="Times New Roman" w:hAnsi="Times New Roman"/>
          <w:sz w:val="18"/>
          <w:szCs w:val="18"/>
          <w:color w:val="auto"/>
        </w:rPr>
        <w:t>David W. Johnson</w:t>
      </w:r>
      <w:r>
        <w:rPr>
          <w:sz w:val="20"/>
          <w:szCs w:val="20"/>
          <w:color w:val="auto"/>
        </w:rPr>
        <w:tab/>
      </w:r>
      <w:r>
        <w:rPr>
          <w:rFonts w:ascii="Times New Roman" w:cs="Times New Roman" w:eastAsia="Times New Roman" w:hAnsi="Times New Roman"/>
          <w:sz w:val="17"/>
          <w:szCs w:val="17"/>
          <w:color w:val="auto"/>
        </w:rPr>
        <w:t>Vice President and Chief Financial Officer,</w:t>
      </w:r>
    </w:p>
    <w:p>
      <w:pPr>
        <w:spacing w:after="0" w:line="27" w:lineRule="exact"/>
        <w:rPr>
          <w:sz w:val="20"/>
          <w:szCs w:val="20"/>
          <w:color w:val="auto"/>
        </w:rPr>
      </w:pPr>
    </w:p>
    <w:p>
      <w:pPr>
        <w:ind w:left="340"/>
        <w:spacing w:after="0"/>
        <w:tabs>
          <w:tab w:leader="none" w:pos="2580" w:val="left"/>
        </w:tabs>
        <w:rPr>
          <w:sz w:val="20"/>
          <w:szCs w:val="20"/>
          <w:color w:val="auto"/>
        </w:rPr>
      </w:pPr>
      <w:r>
        <w:rPr>
          <w:rFonts w:ascii="Times New Roman" w:cs="Times New Roman" w:eastAsia="Times New Roman" w:hAnsi="Times New Roman"/>
          <w:sz w:val="18"/>
          <w:szCs w:val="18"/>
          <w:color w:val="auto"/>
        </w:rPr>
        <w:t>Age 59</w:t>
      </w:r>
      <w:r>
        <w:rPr>
          <w:sz w:val="20"/>
          <w:szCs w:val="20"/>
          <w:color w:val="auto"/>
        </w:rPr>
        <w:tab/>
      </w:r>
      <w:r>
        <w:rPr>
          <w:rFonts w:ascii="Times New Roman" w:cs="Times New Roman" w:eastAsia="Times New Roman" w:hAnsi="Times New Roman"/>
          <w:sz w:val="17"/>
          <w:szCs w:val="17"/>
          <w:color w:val="auto"/>
        </w:rPr>
        <w:t>Johnson Outdoors, Inc., Racine, Wisconsin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global provider of outdoor recreation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products).</w:t>
      </w:r>
    </w:p>
    <w:p>
      <w:pPr>
        <w:spacing w:after="0" w:line="20" w:lineRule="exact"/>
        <w:rPr>
          <w:sz w:val="20"/>
          <w:szCs w:val="20"/>
          <w:color w:val="auto"/>
        </w:rPr>
      </w:pPr>
      <w:r>
        <w:rPr>
          <w:sz w:val="20"/>
          <w:szCs w:val="20"/>
          <w:color w:val="auto"/>
        </w:rPr>
        <w:br w:type="column"/>
      </w: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Mr. Johnson is a sitting CFO of a public</w:t>
      </w:r>
      <w:r>
        <w:rPr>
          <w:sz w:val="20"/>
          <w:szCs w:val="20"/>
          <w:color w:val="auto"/>
        </w:rPr>
        <w:tab/>
      </w:r>
      <w:r>
        <w:rPr>
          <w:rFonts w:ascii="Times New Roman" w:cs="Times New Roman" w:eastAsia="Times New Roman" w:hAnsi="Times New Roman"/>
          <w:sz w:val="17"/>
          <w:szCs w:val="17"/>
          <w:color w:val="auto"/>
        </w:rPr>
        <w:t>July 2016</w:t>
      </w:r>
    </w:p>
    <w:p>
      <w:pPr>
        <w:spacing w:after="0" w:line="27" w:lineRule="exact"/>
        <w:rPr>
          <w:sz w:val="20"/>
          <w:szCs w:val="20"/>
          <w:color w:val="auto"/>
        </w:rPr>
      </w:pPr>
    </w:p>
    <w:p>
      <w:pPr>
        <w:ind w:right="2280"/>
        <w:spacing w:after="0" w:line="253" w:lineRule="auto"/>
        <w:rPr>
          <w:sz w:val="20"/>
          <w:szCs w:val="20"/>
          <w:color w:val="auto"/>
        </w:rPr>
      </w:pPr>
      <w:r>
        <w:rPr>
          <w:rFonts w:ascii="Times New Roman" w:cs="Times New Roman" w:eastAsia="Times New Roman" w:hAnsi="Times New Roman"/>
          <w:sz w:val="18"/>
          <w:szCs w:val="18"/>
          <w:color w:val="auto"/>
        </w:rPr>
        <w:t>company. His strengths include financial leadership, new business development, operational restructuring, cost savings and strategic analysis.</w:t>
      </w:r>
    </w:p>
    <w:p>
      <w:pPr>
        <w:spacing w:after="0" w:line="200" w:lineRule="exact"/>
        <w:rPr>
          <w:sz w:val="20"/>
          <w:szCs w:val="20"/>
          <w:color w:val="auto"/>
        </w:rPr>
      </w:pPr>
    </w:p>
    <w:p>
      <w:pPr>
        <w:sectPr>
          <w:pgSz w:w="11900" w:h="16838" w:orient="portrait"/>
          <w:cols w:equalWidth="0" w:num="2">
            <w:col w:w="5700" w:space="220"/>
            <w:col w:w="5320"/>
          </w:cols>
          <w:pgMar w:left="320" w:top="1440" w:right="339" w:bottom="1440" w:gutter="0" w:footer="0" w:header="0"/>
          <w:type w:val="continuous"/>
        </w:sectPr>
      </w:pPr>
    </w:p>
    <w:p>
      <w:pPr>
        <w:spacing w:after="0" w:line="7" w:lineRule="exact"/>
        <w:rPr>
          <w:sz w:val="20"/>
          <w:szCs w:val="20"/>
          <w:color w:val="auto"/>
        </w:rPr>
      </w:pPr>
    </w:p>
    <w:p>
      <w:pPr>
        <w:ind w:right="440" w:firstLine="8"/>
        <w:spacing w:after="0" w:line="258"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previously reported by the Corporation, Mr. Rayburn intends to retire from the Board immediately following the 2022 Annual Meeting of Shareholders.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2022 compensation practices and programs for the Named Executive Officers by voting on the following resolution:</w:t>
      </w:r>
    </w:p>
    <w:p>
      <w:pPr>
        <w:spacing w:after="0" w:line="176" w:lineRule="exact"/>
        <w:rPr>
          <w:sz w:val="20"/>
          <w:szCs w:val="20"/>
          <w:color w:val="auto"/>
        </w:rPr>
      </w:pPr>
    </w:p>
    <w:p>
      <w:pPr>
        <w:ind w:left="660" w:right="18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Corporation’s Named Executive Officers, as disclosed pursuant to Item 402 of Regulation 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executive compensation disclosures, is hereby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2019 subject to three-year objectives for return on invested capital, sales revenue and earnings per share. Based on the cumulative performance of the Corporation over the past three fiscal years with respect to these three performance measures, the performance stock awards did not vest and expired unvested in 2022.</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58"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THE RESOLUTION TO APPROVE THE COMPENSATION PAID TO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NAMED EXECUTIVE OFFICERS.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RESOLUTION TO APPROVE THE COMPENSATION PAID TO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 w:name="page12"/>
    <w:bookmarkEnd w:id="1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 RATIFICATION OF APPOINTMENT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RSM US LLP (“RSM”) as our independent registered public accounting firm for the fiscal year ending June 30, 2023,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to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Aggregate fees billed or expected to be billed for professional services rendered by RSM in connection with (i) the audit of the Corporation’s consolidated financial statements as of and for the years ended June 30, 2022 and June 30, 2021, including statutory audits of the financial statements of the Corporation’s affiliates, and (ii) the reviews of the Corporation’s quarterly financial statements were $1,182,700 and $1,215,900,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Aggregate fees billed for professional services rendered by RSM for assurance and services reasonably related to the performance of the audit or review of the Corporation’s financial statements not included in audit fees above were $27,800 and $47,900 for the years ended June 30, 2022 and 2021, respectively. The fiscal 2022 and 2021 fees related to attestation services required by a grant program at the Corporation’s foreign affiliate in the Netherlands.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fees billed by RSM during the years ended June 30, 2022 and 2021, respectively, pertaining to tax compliance, tax advice, and tax planning.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June 30, 2022 and 2021, there were no fees billed by RSM for products and services other than those listed above.</w:t>
      </w:r>
    </w:p>
    <w:p>
      <w:pPr>
        <w:spacing w:after="0" w:line="20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2022, 100% of audit-related, tax and other fees were pre-approved.</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THE SELECTION OF RSM US LLP AS OUR INDEPENDENT AUDITORS FOR THE FISCAL YEAR ENDING JUNE 30, 2023. UNLESS YOU INDICATE OTHERWISE, YOUR PROXY WILL BE VOTED "FOR" RATIFICATION.</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and/or through appropriate mailings.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has determined that the following Directors are independent within the meaning of SEC regulations, the listing standards of the NASDAQ Stock Market and the Corporation's Guidelines for Corporate Governance: Messrs. Doar, Johnson, Rayburn, Olsen, Smiley and Stratton, and Mses. Giesselman and Larimer.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(“CEO”) are separated between Mr. Rayburn and Mr. Batten. This allows our CEO (Mr. Batten) to focus on the day-to-day business operations, while allowing the Chairman of the Board (Mr. Rayburn) to lead our Board in its role of providing oversight and advice to management. The Board retains the authority to modify this leadership structure as and when appropriate to best address the Company’s current circumstances and to advance the interests of all shareholders. The Company recently announced that Mr. Rayburn will be retiring from the Board effective following the annual meeting on October 27, 2022. It was also announced that Mr. Smiley will assume the position of Chairman of the Board upon Mr. Rayburn’s retirement.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diversity make-up of the Board of Directors as of August 4, 2022:</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20" w:type="dxa"/>
            <w:vAlign w:val="bottom"/>
            <w:tcBorders>
              <w:top w:val="single" w:sz="8" w:color="auto"/>
              <w:left w:val="single" w:sz="8" w:color="auto"/>
              <w:bottom w:val="single" w:sz="8" w:color="auto"/>
            </w:tcBorders>
          </w:tcPr>
          <w:p>
            <w:pPr>
              <w:spacing w:after="0"/>
              <w:rPr>
                <w:sz w:val="19"/>
                <w:szCs w:val="19"/>
                <w:color w:val="auto"/>
              </w:rPr>
            </w:pPr>
          </w:p>
        </w:tc>
        <w:tc>
          <w:tcPr>
            <w:tcW w:w="38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Board Diversity Matrix (As of August 4, 2022)</w:t>
            </w:r>
          </w:p>
        </w:tc>
        <w:tc>
          <w:tcPr>
            <w:tcW w:w="10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right w:val="single" w:sz="8" w:color="auto"/>
            </w:tcBorders>
          </w:tcPr>
          <w:p>
            <w:pPr>
              <w:spacing w:after="0"/>
              <w:rPr>
                <w:sz w:val="19"/>
                <w:szCs w:val="19"/>
                <w:color w:val="auto"/>
              </w:rPr>
            </w:pPr>
          </w:p>
        </w:tc>
      </w:tr>
      <w:tr>
        <w:trPr>
          <w:trHeight w:val="213"/>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Number of Directors: 9</w:t>
            </w:r>
          </w:p>
        </w:tc>
        <w:tc>
          <w:tcPr>
            <w:tcW w:w="2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187"/>
        </w:trPr>
        <w:tc>
          <w:tcPr>
            <w:tcW w:w="3620" w:type="dxa"/>
            <w:vAlign w:val="bottom"/>
            <w:tcBorders>
              <w:lef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Female</w:t>
            </w:r>
          </w:p>
        </w:tc>
        <w:tc>
          <w:tcPr>
            <w:tcW w:w="1000" w:type="dxa"/>
            <w:vAlign w:val="bottom"/>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Male</w:t>
            </w:r>
          </w:p>
        </w:tc>
        <w:tc>
          <w:tcPr>
            <w:tcW w:w="3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2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3620" w:type="dxa"/>
            <w:vAlign w:val="bottom"/>
            <w:tcBorders>
              <w:lef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38"/>
        </w:trPr>
        <w:tc>
          <w:tcPr>
            <w:tcW w:w="362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10"/>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Hispanic or Latinx</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 for Business Conduct and Ethics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www.twindisc.com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Times New Roman" w:cs="Times New Roman" w:eastAsia="Times New Roman" w:hAnsi="Times New Roman"/>
          <w:sz w:val="18"/>
          <w:szCs w:val="18"/>
          <w:u w:val="single" w:color="auto"/>
          <w:color w:val="auto"/>
        </w:rPr>
        <w:t>www.twindisc.com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the end of each fiscal year, each Director and officer must respond to a questionnaire that requires him or her to identify any transaction or relationship that occurred during the prior two fiscal years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 department and shared with the CEO and Audit Committee, as appropriate. Based upon such review, there were no related party transactions with respect to persons who were Directors or executive officers during fiscal 2021 or fiscal 2022 requiring disclosure under the rules of the Securities and Exchange Commission.</w:t>
      </w:r>
    </w:p>
    <w:p>
      <w:pPr>
        <w:spacing w:after="0" w:line="18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Board Committees; Attendance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Corporation’s Board of Directors met six times during the year ended June 30, 2022. Among incumbent Directors, there were two absences from these meetings. The Audit Committee met five times during the year. The Nominating and Governance Committee met two times during the year. The Compensation and Executive Development Committee met five times during the year. Each incumbent Director attended at least 75% of the aggregate of the total number of meetings of the Board of Directors and of the Committees on which the Director 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Committee Functions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has a separately-designated Audit Committee established in accordance with Section 3(a)(58)(A) of the Securities Exchange Act of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charter of the Audit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It was most recently reviewed on August 3, 2022.</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 w:name="page16"/>
    <w:bookmarkEnd w:id="1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100"/>
        <w:spacing w:after="0" w:line="289" w:lineRule="auto"/>
        <w:rPr>
          <w:sz w:val="20"/>
          <w:szCs w:val="20"/>
          <w:color w:val="auto"/>
        </w:rPr>
      </w:pPr>
      <w:r>
        <w:rPr>
          <w:rFonts w:ascii="Times New Roman" w:cs="Times New Roman" w:eastAsia="Times New Roman" w:hAnsi="Times New Roman"/>
          <w:sz w:val="17"/>
          <w:szCs w:val="17"/>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Smiley (Chair), Mr. Stratton, Ms. Giesselman, Ms. Larimer and Mr. Johnson) qualifies as an “audit committee financial expert” within the meaning of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purpose is to assist the Board of Directors in monitoring the:</w:t>
      </w:r>
    </w:p>
    <w:p>
      <w:pPr>
        <w:spacing w:after="0" w:line="225"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Corporation's financial statements;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qualifications and independence;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Corporation's internal audit function and the independent auditors;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compliance with legal and regulatory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carrying out these responsibilities, the Audit Committee, among other things:</w:t>
      </w:r>
    </w:p>
    <w:p>
      <w:pPr>
        <w:spacing w:after="0" w:line="225" w:lineRule="exact"/>
        <w:rPr>
          <w:sz w:val="20"/>
          <w:szCs w:val="20"/>
          <w:color w:val="auto"/>
        </w:rPr>
      </w:pPr>
    </w:p>
    <w:p>
      <w:pPr>
        <w:ind w:left="680" w:right="32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independent auditor for the purpose of preparing and issuing an audit report and to perform related work, and discusses with the independent auditor appropriate staffing and compensation;</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as necessary or appropriate, independent legal, accounting or other advisors;</w:t>
      </w:r>
    </w:p>
    <w:p>
      <w:pPr>
        <w:spacing w:after="0" w:line="9" w:lineRule="exact"/>
        <w:rPr>
          <w:rFonts w:ascii="Times New Roman" w:cs="Times New Roman" w:eastAsia="Times New Roman" w:hAnsi="Times New Roman"/>
          <w:sz w:val="18"/>
          <w:szCs w:val="18"/>
          <w:color w:val="auto"/>
        </w:rPr>
      </w:pPr>
    </w:p>
    <w:p>
      <w:pPr>
        <w:ind w:left="680" w:right="8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680" w:right="4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68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management's programs to monitor compliance with the Corporation's Guidelines for Business Conduct and Ethics.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The independence of the Committee is in compliance with SEC regulations, the listing standards of the NASDAQ Stock Market and the Corporation’s Guidelines for Corporate Governance.</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Shareholder recommendations to the Committee for Director candidates shall follow the following procedures:</w:t>
      </w:r>
    </w:p>
    <w:p>
      <w:pPr>
        <w:spacing w:after="0" w:line="183" w:lineRule="exact"/>
        <w:rPr>
          <w:sz w:val="20"/>
          <w:szCs w:val="20"/>
          <w:color w:val="auto"/>
        </w:rPr>
      </w:pPr>
    </w:p>
    <w:p>
      <w:pPr>
        <w:ind w:left="660" w:right="3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must receive any such shareholder recommendations for Director candidates on or before the last business day in the month of March preceding that year's annual meeting.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recommendation for nomination shall be in writing and shall include the following information:</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shareholder, whether an entity or an individual, making the recommendation;</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shareholder’s beneficial ownership of the Corporation's securities;</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individual recommended for consideration as a Director nominee;</w:t>
      </w:r>
    </w:p>
    <w:p>
      <w:pPr>
        <w:spacing w:after="0" w:line="36" w:lineRule="exact"/>
        <w:rPr>
          <w:rFonts w:ascii="Times New Roman" w:cs="Times New Roman" w:eastAsia="Times New Roman" w:hAnsi="Times New Roman"/>
          <w:sz w:val="18"/>
          <w:szCs w:val="18"/>
          <w:color w:val="auto"/>
        </w:rPr>
      </w:pPr>
    </w:p>
    <w:p>
      <w:pPr>
        <w:ind w:left="1140" w:hanging="484"/>
        <w:spacing w:after="0" w:line="261" w:lineRule="auto"/>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why such recommended candidate would be able to fulfill the duties of a Director;</w:t>
      </w:r>
    </w:p>
    <w:p>
      <w:pPr>
        <w:ind w:left="1140" w:right="300" w:hanging="484"/>
        <w:spacing w:after="0" w:line="250" w:lineRule="auto"/>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how the recommended candidate meets the independence requirements established by the SEC and the NASDAQ Stock Market;</w:t>
      </w:r>
    </w:p>
    <w:p>
      <w:pPr>
        <w:ind w:left="1140" w:hanging="484"/>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the recommended candidate's beneficial ownership of the Corporation's securities;</w:t>
      </w:r>
    </w:p>
    <w:p>
      <w:pPr>
        <w:spacing w:after="0" w:line="17" w:lineRule="exact"/>
        <w:rPr>
          <w:rFonts w:ascii="Times New Roman" w:cs="Times New Roman" w:eastAsia="Times New Roman" w:hAnsi="Times New Roman"/>
          <w:sz w:val="18"/>
          <w:szCs w:val="18"/>
          <w:color w:val="auto"/>
        </w:rPr>
      </w:pPr>
    </w:p>
    <w:p>
      <w:pPr>
        <w:ind w:left="1140" w:right="220" w:hanging="484"/>
        <w:spacing w:after="0" w:line="261" w:lineRule="auto"/>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relationships between the recommended candidate and the Corporation which may constitute a conflict of interest; and</w:t>
      </w:r>
    </w:p>
    <w:p>
      <w:pPr>
        <w:ind w:left="1140" w:right="440" w:hanging="484"/>
        <w:spacing w:after="0" w:line="260" w:lineRule="auto"/>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recommended candidate that would be required to be disclosed in solicitations of proxies for the election of Directors under the Securities Exchange Act.</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for nomination must be sent to the attention of the Committee via the U.S. Mail or by expedited delivery service, addressed to:</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Racine, WI 53403</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Attn: Nominating and Governance Committee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 Secretary of Twin Disc, Incorporated</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Compensation and Executive Development Committee</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xml:space="preserve"> - The primary purpose of the Compensation and Executive Development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charter of the Compensation and Executive Development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The Corporation last reviewed the Compensation and Executive Development Committee charter on August 3, 2022.</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7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u w:val="single" w:color="auto"/>
          <w:color w:val="auto"/>
        </w:rPr>
        <w:t>Role of Consultants</w:t>
      </w:r>
      <w:r>
        <w:rPr>
          <w:rFonts w:ascii="Times New Roman" w:cs="Times New Roman" w:eastAsia="Times New Roman" w:hAnsi="Times New Roman"/>
          <w:sz w:val="18"/>
          <w:szCs w:val="18"/>
          <w:color w:val="auto"/>
        </w:rPr>
        <w:t xml:space="preserve"> - The Compensation and Executive Development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2022, the Committee engaged Pay Governance, LLC, an independent executive compensation advisory firm, to conduct a detailed review of competitive compensation levels for similar positions in similar industries. The Committee considered that information in setting executive compensation for fiscal 2022.</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Role of Executive Officers</w:t>
      </w:r>
      <w:r>
        <w:rPr>
          <w:rFonts w:ascii="Times New Roman" w:cs="Times New Roman" w:eastAsia="Times New Roman" w:hAnsi="Times New Roman"/>
          <w:sz w:val="18"/>
          <w:szCs w:val="18"/>
          <w:color w:val="auto"/>
        </w:rPr>
        <w:t xml:space="preserve"> - The Compensation and Executive Development Committee makes all compensation decisions for the CEO, Mr. Batten, and approves recommendations for compensation actions for all other elected officers of the Corporation. As CEO, Mr.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CEO. It alone determines the salary adjustment, bonus payment and equity awards for Mr. Batten.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Committee Membership</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Compensation &amp;</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Executive</w:t>
            </w:r>
          </w:p>
        </w:tc>
        <w:tc>
          <w:tcPr>
            <w:tcW w:w="18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Nominating and</w:t>
            </w:r>
          </w:p>
        </w:tc>
      </w:tr>
      <w:tr>
        <w:trPr>
          <w:trHeight w:val="194"/>
        </w:trPr>
        <w:tc>
          <w:tcPr>
            <w:tcW w:w="220" w:type="dxa"/>
            <w:vAlign w:val="bottom"/>
          </w:tcPr>
          <w:p>
            <w:pPr>
              <w:spacing w:after="0"/>
              <w:rPr>
                <w:sz w:val="16"/>
                <w:szCs w:val="16"/>
                <w:color w:val="auto"/>
              </w:rPr>
            </w:pPr>
          </w:p>
        </w:tc>
        <w:tc>
          <w:tcPr>
            <w:tcW w:w="1480" w:type="dxa"/>
            <w:vAlign w:val="bottom"/>
            <w:gridSpan w:val="2"/>
          </w:tcPr>
          <w:p>
            <w:pPr>
              <w:jc w:val="center"/>
              <w:ind w:right="1080"/>
              <w:spacing w:after="0" w:line="194" w:lineRule="exact"/>
              <w:rPr>
                <w:sz w:val="20"/>
                <w:szCs w:val="20"/>
                <w:color w:val="auto"/>
              </w:rPr>
            </w:pPr>
            <w:r>
              <w:rPr>
                <w:rFonts w:ascii="Times New Roman" w:cs="Times New Roman" w:eastAsia="Times New Roman" w:hAnsi="Times New Roman"/>
                <w:sz w:val="18"/>
                <w:szCs w:val="18"/>
                <w:color w:val="auto"/>
                <w:w w:val="97"/>
              </w:rPr>
              <w:t>Audit</w:t>
            </w:r>
          </w:p>
        </w:tc>
        <w:tc>
          <w:tcPr>
            <w:tcW w:w="980" w:type="dxa"/>
            <w:vAlign w:val="bottom"/>
          </w:tcPr>
          <w:p>
            <w:pPr>
              <w:spacing w:after="0"/>
              <w:rPr>
                <w:sz w:val="16"/>
                <w:szCs w:val="16"/>
                <w:color w:val="auto"/>
              </w:rPr>
            </w:pPr>
          </w:p>
        </w:tc>
        <w:tc>
          <w:tcPr>
            <w:tcW w:w="1780" w:type="dxa"/>
            <w:vAlign w:val="bottom"/>
            <w:gridSpan w:val="2"/>
          </w:tcPr>
          <w:p>
            <w:pPr>
              <w:jc w:val="center"/>
              <w:ind w:right="820"/>
              <w:spacing w:after="0" w:line="194" w:lineRule="exact"/>
              <w:rPr>
                <w:sz w:val="20"/>
                <w:szCs w:val="20"/>
                <w:color w:val="auto"/>
              </w:rPr>
            </w:pPr>
            <w:r>
              <w:rPr>
                <w:rFonts w:ascii="Times New Roman" w:cs="Times New Roman" w:eastAsia="Times New Roman" w:hAnsi="Times New Roman"/>
                <w:sz w:val="18"/>
                <w:szCs w:val="18"/>
                <w:color w:val="auto"/>
                <w:w w:val="98"/>
              </w:rPr>
              <w:t>Development</w:t>
            </w:r>
          </w:p>
        </w:tc>
        <w:tc>
          <w:tcPr>
            <w:tcW w:w="1840" w:type="dxa"/>
            <w:vAlign w:val="bottom"/>
            <w:gridSpan w:val="3"/>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w w:val="98"/>
              </w:rPr>
              <w:t>Governance</w:t>
            </w:r>
          </w:p>
        </w:tc>
      </w:tr>
      <w:tr>
        <w:trPr>
          <w:trHeight w:val="20"/>
        </w:trPr>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17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Smiley</w:t>
            </w:r>
          </w:p>
        </w:tc>
        <w:tc>
          <w:tcPr>
            <w:tcW w:w="980" w:type="dxa"/>
            <w:vAlign w:val="bottom"/>
          </w:tcPr>
          <w:p>
            <w:pPr>
              <w:spacing w:after="0"/>
              <w:rPr>
                <w:sz w:val="18"/>
                <w:szCs w:val="18"/>
                <w:color w:val="auto"/>
              </w:rPr>
            </w:pPr>
          </w:p>
        </w:tc>
        <w:tc>
          <w:tcPr>
            <w:tcW w:w="1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Giesselman</w:t>
            </w:r>
          </w:p>
        </w:tc>
        <w:tc>
          <w:tcPr>
            <w:tcW w:w="8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Johnson</w:t>
            </w:r>
          </w:p>
        </w:tc>
      </w:tr>
      <w:tr>
        <w:trPr>
          <w:trHeight w:val="216"/>
        </w:trPr>
        <w:tc>
          <w:tcPr>
            <w:tcW w:w="17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Giesselman</w:t>
            </w:r>
          </w:p>
        </w:tc>
        <w:tc>
          <w:tcPr>
            <w:tcW w:w="980" w:type="dxa"/>
            <w:vAlign w:val="bottom"/>
          </w:tcPr>
          <w:p>
            <w:pPr>
              <w:spacing w:after="0"/>
              <w:rPr>
                <w:sz w:val="18"/>
                <w:szCs w:val="18"/>
                <w:color w:val="auto"/>
              </w:rPr>
            </w:pPr>
          </w:p>
        </w:tc>
        <w:tc>
          <w:tcPr>
            <w:tcW w:w="1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Doar</w:t>
            </w:r>
          </w:p>
        </w:tc>
        <w:tc>
          <w:tcPr>
            <w:tcW w:w="8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Doar</w:t>
            </w:r>
          </w:p>
        </w:tc>
      </w:tr>
      <w:tr>
        <w:trPr>
          <w:trHeight w:val="216"/>
        </w:trPr>
        <w:tc>
          <w:tcPr>
            <w:tcW w:w="17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Johnson</w:t>
            </w:r>
          </w:p>
        </w:tc>
        <w:tc>
          <w:tcPr>
            <w:tcW w:w="980" w:type="dxa"/>
            <w:vAlign w:val="bottom"/>
          </w:tcPr>
          <w:p>
            <w:pPr>
              <w:spacing w:after="0"/>
              <w:rPr>
                <w:sz w:val="18"/>
                <w:szCs w:val="18"/>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Larimer</w:t>
            </w:r>
          </w:p>
        </w:tc>
        <w:tc>
          <w:tcPr>
            <w:tcW w:w="8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Smiley</w:t>
            </w:r>
          </w:p>
        </w:tc>
      </w:tr>
      <w:tr>
        <w:trPr>
          <w:trHeight w:val="216"/>
        </w:trPr>
        <w:tc>
          <w:tcPr>
            <w:tcW w:w="17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Larimer</w:t>
            </w:r>
          </w:p>
        </w:tc>
        <w:tc>
          <w:tcPr>
            <w:tcW w:w="980" w:type="dxa"/>
            <w:vAlign w:val="bottom"/>
          </w:tcPr>
          <w:p>
            <w:pPr>
              <w:spacing w:after="0"/>
              <w:rPr>
                <w:sz w:val="18"/>
                <w:szCs w:val="18"/>
                <w:color w:val="auto"/>
              </w:rPr>
            </w:pPr>
          </w:p>
        </w:tc>
        <w:tc>
          <w:tcPr>
            <w:tcW w:w="1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8"/>
              </w:rPr>
              <w:t>Stratton</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7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8"/>
              </w:rPr>
              <w:t>Stratton</w:t>
            </w: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Corporation does not have a formal policy that its Directors attend the Annual Meeting of Shareholders, but they are expected to attend and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62" w:lineRule="exact"/>
        <w:rPr>
          <w:sz w:val="20"/>
          <w:szCs w:val="20"/>
          <w:color w:val="auto"/>
        </w:rPr>
      </w:pPr>
    </w:p>
    <w:p>
      <w:pPr>
        <w:ind w:right="760" w:firstLine="8"/>
        <w:spacing w:after="0" w:line="282"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Chairman of the Board of Directors</w:t>
      </w:r>
    </w:p>
    <w:p>
      <w:pPr>
        <w:spacing w:after="0" w:line="207" w:lineRule="exact"/>
        <w:rPr>
          <w:sz w:val="20"/>
          <w:szCs w:val="20"/>
          <w:color w:val="auto"/>
        </w:rPr>
      </w:pPr>
    </w:p>
    <w:p>
      <w:pPr>
        <w:ind w:firstLine="8"/>
        <w:spacing w:after="0" w:line="282"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[Name of Individual Director]</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420"/>
        <w:spacing w:after="0" w:line="261" w:lineRule="auto"/>
        <w:rPr>
          <w:sz w:val="20"/>
          <w:szCs w:val="20"/>
          <w:color w:val="auto"/>
        </w:rPr>
      </w:pPr>
      <w:r>
        <w:rPr>
          <w:rFonts w:ascii="Times New Roman" w:cs="Times New Roman" w:eastAsia="Times New Roman" w:hAnsi="Times New Roman"/>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From time to time, the Board may change the process by which stockholders may communicate with the Board or its members. Please refer to the Corporation's website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any changes to this process.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the material components of compensation paid to the Corporation’s Chief Executive Officer and its two most highly compensated executive officers for the fiscal year ended June 30, 2022 (the “Named Executive Officers”). For the fiscal year ended June 30, 2022, the Named Executive Officers are:</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 Batten, President and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 Knutson, Vice President – Finance, Chief Financial Officer, Treasurer and Secretary;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Feiertag, Former President and Chief Operating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discussion that follows, we will explain the objectives of our compensation programs, why we pay the compensation we do and how that fits with the Corporation’s commitment to provide value to our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Summary</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76" w:lineRule="exact"/>
        <w:rPr>
          <w:sz w:val="20"/>
          <w:szCs w:val="20"/>
          <w:color w:val="auto"/>
        </w:rPr>
      </w:pPr>
    </w:p>
    <w:p>
      <w:pPr>
        <w:ind w:left="660" w:right="1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stock ownership guidelines for each of its Named Executive Officers, thereby aligning their long-term interests with those of shareholders.</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promoted additional equity ownership beyond the performance period for the long-term incentive awards by including performance stock as long-term incentive awards in FY2022.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also maintains compensation practices that it believes are consistent with good governance. For example:</w:t>
      </w:r>
    </w:p>
    <w:p>
      <w:pPr>
        <w:spacing w:after="0" w:line="225" w:lineRule="exact"/>
        <w:rPr>
          <w:sz w:val="20"/>
          <w:szCs w:val="20"/>
          <w:color w:val="auto"/>
        </w:rPr>
      </w:pPr>
    </w:p>
    <w:p>
      <w:pPr>
        <w:ind w:left="660" w:right="2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the listing standards of the NASDAQ Stock Market, and any clawback policy adopted by the Committee, and provides mechanisms for the Corporation to enforce its recovery rights.</w:t>
      </w:r>
    </w:p>
    <w:p>
      <w:pPr>
        <w:spacing w:after="0" w:line="179"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Corporate Incentive Plan is performance-based and has caps on bonus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annually evaluates the Corporation’s compensation programs to ensure that they do not encourage unnecessary risk-taking.</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adopted a formal clawback policy that permits the Committee to seek disgorgement of incentive pay from current or former executive officers of the Corporation in the event of willful fraud, willful violation of the Corporation’s rules or applicable legal requirements that causes material financial or reputational harm to the Corporation, or conduct that results in a restatement of financial statements due to material noncompliance with applicable reporting requirements as a result of misconduct by the executive officer.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provides a brief overview of the highlights of the compensation received by the Corporation’s Named Executive Officers for the fiscal year that ended June 30, 2022:</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beginning of FY2022, the Committee approved a 5% increase to the base salaries of Messrs. Batten and Knutson.</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determined that the EBITDA and gross margin percentage results exceeded the targets under the Corporate Incentive Plan, while the free cash flow objective was not met. In addition, the Committee determined that the two strategic objectives were fully met. As a result, the Named Executive Officers received payments under the Corporate Incentive Plan equal to 118.0% of the target amounts.</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 w:name="page22"/>
    <w:bookmarkEnd w:id="2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left="660" w:right="10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did not achieve the threshold performance levels for its cumulative Average Return on Invested Capital goal (weighted 40%), its average sales revenue goal (weighted 30%), or its average earnings per share goal (weighted 30%) for performance stock granted in 2019 under the Twin Disc, Incorporated 2018 Long-Term Incentive Compensation Plan. As a result, the performance stock awards did not vest.</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the Corporation held its shareholder advisory vote on executive compensation at its October 28, 2021, Annual Meeting of Shareholders. The shareholders approved the say on pay proposal by a significant majority, with more than 90% of the votes cast in favor of the compensation paid to the Corporation’s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Philosophy and Objectives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Corporation believes that its executive officers should hold a meaningful stake in Twin Disc in order to align their economic interests with those of the shareholders. To that end, the Corporation has had stock ownership guidelines in place for over a decade. Stock ownership targets are equal to five times annual base salary for the CEO, and two times annual base salary for the CFO. Executive officers have a period of four years to attain their targeted ownership level. The Committee monitors compliance with this guideline, using its discretion to address non-attainment issues. Compliance is reviewed annually.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8"/>
          <w:szCs w:val="18"/>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Setting Executive Compensation</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Committee looks to establish each element of total direct compensation (i.e., base salary, annual incentive compensation, and the annualized value of long-term incentive compensation granted during the year) near the market median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companies of a similar size and industry. The Committee believes an executive’s target compensation is competitive if it falls within a band of plus or minus 15% from the competitive median of data. Because a large portion of each executive’s long-term incentive compensation package consists of performance awards, actual payments of long term incentive compensation and total direct compensation in any given year may fall significantly above or below the market median, based on the performance of the Corporation.</w:t>
      </w:r>
    </w:p>
    <w:p>
      <w:pPr>
        <w:spacing w:after="0" w:line="20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18"/>
          <w:szCs w:val="18"/>
          <w:color w:val="auto"/>
        </w:rPr>
        <w:t>When it established executive compensation for FY2022, the Committee engaged Pay Governance LLC, an independent compensation advisory firm, to conduct a review of competitive compensation levels for the CEO and CFO for similar positions in similar industries. For this analysis, Pay Governance referenced data from a selected peer group of companies, as well as survey data, reflecting a market sample of companies consistent with Twin Disc’s industry and size. The Committee received information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each element of executive compensation for comparable executive positions. The Committee used this data to determine the base salaries, target annual bonus percentages, target long-term incentive pay, and target total pay for Messrs. Batten and Knutson for FY2022. The Committee did not specify targeted individual companies from among the Pay Governance peer group or survey participants.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Corporation provides executive officers with a base salary to compensate them for services rendered during the fiscal year, their level of responsibility, experience within the Corporation and time within their current role,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0" w:lineRule="exact"/>
        <w:rPr>
          <w:sz w:val="20"/>
          <w:szCs w:val="20"/>
          <w:color w:val="auto"/>
        </w:rPr>
      </w:pPr>
    </w:p>
    <w:p>
      <w:pPr>
        <w:jc w:val="both"/>
        <w:ind w:right="140"/>
        <w:spacing w:after="0" w:line="213" w:lineRule="auto"/>
        <w:rPr>
          <w:sz w:val="20"/>
          <w:szCs w:val="20"/>
          <w:color w:val="auto"/>
        </w:rPr>
      </w:pPr>
      <w:r>
        <w:rPr>
          <w:rFonts w:ascii="Times New Roman" w:cs="Times New Roman" w:eastAsia="Times New Roman" w:hAnsi="Times New Roman"/>
          <w:sz w:val="18"/>
          <w:szCs w:val="18"/>
          <w:color w:val="auto"/>
        </w:rPr>
        <w:t>Base salaries are reviewed each year by the Committee. As discussed above, base salary levels have historically been compared to the market median (i.e.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2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Committee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Committee determines and approves base salary adjustments for the CEO, and approves base salary adjustments for the other members of the executive officer team based on the recommendations from the CEO. Generally, executive base salaries are increased at rates comparable to the increases provided at other comparable companies and are at or near market levels.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Annual Incentive Compensation</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5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Twin Disc, Incorporated 2021 Long-Term Incentive Compensation Plan (“LTI Plan”), which was approved by the Corporation’s shareholders at the annual meeting in October 2021, provides for the opportunity for executive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or dividend equivalent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the future value of stock options, performance stock and performance stock units become more unpredictable.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Committee establishes the vesting criteria, including the performance goals that must be achieved in order for the award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Grants are made at the beginning of each fiscal year, or as determined by the Committee, for the ensuing multi-year period.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 w:name="page26"/>
    <w:bookmarkEnd w:id="25"/>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Times New Roman" w:cs="Times New Roman" w:eastAsia="Times New Roman" w:hAnsi="Times New Roman"/>
          <w:sz w:val="18"/>
          <w:szCs w:val="18"/>
          <w:i w:val="1"/>
          <w:iCs w:val="1"/>
          <w:color w:val="auto"/>
        </w:rPr>
        <w:t xml:space="preserve">Outstanding Equity Awards at Fiscal Year-End </w:t>
      </w:r>
      <w:r>
        <w:rPr>
          <w:rFonts w:ascii="Times New Roman" w:cs="Times New Roman" w:eastAsia="Times New Roman" w:hAnsi="Times New Roman"/>
          <w:sz w:val="18"/>
          <w:szCs w:val="18"/>
          <w:color w:val="auto"/>
        </w:rPr>
        <w:t>table later in this Executive Compensation discussion.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Personal Benefits and Perquisites</w:t>
      </w:r>
    </w:p>
    <w:p>
      <w:pPr>
        <w:spacing w:after="0" w:line="227"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compensation” of the Corporation’s Chief Executive Officer, and its two most highly compensated executive officers other than its Chief Executive Officer, for the fiscal year ended June 30, 2022.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3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6"/>
              </w:rPr>
              <w:t>(3)</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16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Nonqualified</w:t>
            </w:r>
          </w:p>
        </w:tc>
        <w:tc>
          <w:tcPr>
            <w:tcW w:w="240" w:type="dxa"/>
            <w:vAlign w:val="bottom"/>
          </w:tcPr>
          <w:p>
            <w:pPr>
              <w:spacing w:after="0"/>
              <w:rPr>
                <w:sz w:val="17"/>
                <w:szCs w:val="17"/>
                <w:color w:val="auto"/>
              </w:rPr>
            </w:pPr>
          </w:p>
        </w:tc>
        <w:tc>
          <w:tcPr>
            <w:tcW w:w="1080" w:type="dxa"/>
            <w:vAlign w:val="bottom"/>
            <w:tcBorders>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6"/>
              </w:rPr>
              <w:t>(4)</w:t>
            </w:r>
          </w:p>
        </w:tc>
        <w:tc>
          <w:tcPr>
            <w:tcW w:w="3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6"/>
              </w:rPr>
              <w:t>(1)</w:t>
            </w:r>
          </w:p>
        </w:tc>
        <w:tc>
          <w:tcPr>
            <w:tcW w:w="180" w:type="dxa"/>
            <w:vAlign w:val="bottom"/>
          </w:tcPr>
          <w:p>
            <w:pPr>
              <w:spacing w:after="0"/>
              <w:rPr>
                <w:sz w:val="17"/>
                <w:szCs w:val="17"/>
                <w:color w:val="auto"/>
              </w:rPr>
            </w:pPr>
          </w:p>
        </w:tc>
        <w:tc>
          <w:tcPr>
            <w:tcW w:w="11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Non-Equity</w:t>
            </w:r>
          </w:p>
        </w:tc>
        <w:tc>
          <w:tcPr>
            <w:tcW w:w="160" w:type="dxa"/>
            <w:vAlign w:val="bottom"/>
          </w:tcPr>
          <w:p>
            <w:pPr>
              <w:spacing w:after="0"/>
              <w:rPr>
                <w:sz w:val="17"/>
                <w:szCs w:val="17"/>
                <w:color w:val="auto"/>
              </w:rPr>
            </w:pPr>
          </w:p>
        </w:tc>
        <w:tc>
          <w:tcPr>
            <w:tcW w:w="116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Deferred</w:t>
            </w:r>
          </w:p>
        </w:tc>
        <w:tc>
          <w:tcPr>
            <w:tcW w:w="240" w:type="dxa"/>
            <w:vAlign w:val="bottom"/>
          </w:tcPr>
          <w:p>
            <w:pPr>
              <w:spacing w:after="0"/>
              <w:rPr>
                <w:sz w:val="17"/>
                <w:szCs w:val="17"/>
                <w:color w:val="auto"/>
              </w:rPr>
            </w:pPr>
          </w:p>
        </w:tc>
        <w:tc>
          <w:tcPr>
            <w:tcW w:w="1080" w:type="dxa"/>
            <w:vAlign w:val="bottom"/>
            <w:tcBorders>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All Other</w:t>
            </w:r>
          </w:p>
        </w:tc>
        <w:tc>
          <w:tcPr>
            <w:tcW w:w="3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Stock</w:t>
            </w:r>
          </w:p>
        </w:tc>
        <w:tc>
          <w:tcPr>
            <w:tcW w:w="180" w:type="dxa"/>
            <w:vAlign w:val="bottom"/>
          </w:tcPr>
          <w:p>
            <w:pPr>
              <w:spacing w:after="0"/>
              <w:rPr>
                <w:sz w:val="17"/>
                <w:szCs w:val="17"/>
                <w:color w:val="auto"/>
              </w:rPr>
            </w:pPr>
          </w:p>
        </w:tc>
        <w:tc>
          <w:tcPr>
            <w:tcW w:w="11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Incentive Plan</w:t>
            </w:r>
          </w:p>
        </w:tc>
        <w:tc>
          <w:tcPr>
            <w:tcW w:w="160" w:type="dxa"/>
            <w:vAlign w:val="bottom"/>
          </w:tcPr>
          <w:p>
            <w:pPr>
              <w:spacing w:after="0"/>
              <w:rPr>
                <w:sz w:val="17"/>
                <w:szCs w:val="17"/>
                <w:color w:val="auto"/>
              </w:rPr>
            </w:pPr>
          </w:p>
        </w:tc>
        <w:tc>
          <w:tcPr>
            <w:tcW w:w="116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Compensation</w:t>
            </w:r>
          </w:p>
        </w:tc>
        <w:tc>
          <w:tcPr>
            <w:tcW w:w="240" w:type="dxa"/>
            <w:vAlign w:val="bottom"/>
          </w:tcPr>
          <w:p>
            <w:pPr>
              <w:spacing w:after="0"/>
              <w:rPr>
                <w:sz w:val="17"/>
                <w:szCs w:val="17"/>
                <w:color w:val="auto"/>
              </w:rPr>
            </w:pPr>
          </w:p>
        </w:tc>
        <w:tc>
          <w:tcPr>
            <w:tcW w:w="1080" w:type="dxa"/>
            <w:vAlign w:val="bottom"/>
            <w:tcBorders>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Compen-</w:t>
            </w:r>
          </w:p>
        </w:tc>
        <w:tc>
          <w:tcPr>
            <w:tcW w:w="3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3"/>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Name and Principal Position</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Salary</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Awards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Compensation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Earnings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9"/>
              </w:rPr>
              <w:t>sation</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399"/>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John H. Batten</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623,625</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1,096,472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631,891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129,936</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2,483,615</w:t>
            </w:r>
          </w:p>
        </w:tc>
      </w:tr>
      <w:tr>
        <w:trPr>
          <w:trHeight w:val="185"/>
        </w:trPr>
        <w:tc>
          <w:tcPr>
            <w:tcW w:w="230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8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3"/>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Officer</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558,463</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980,946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322,155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106,952</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1,970,383</w:t>
            </w:r>
          </w:p>
        </w:tc>
      </w:tr>
      <w:tr>
        <w:trPr>
          <w:trHeight w:val="199"/>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196"/>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196"/>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Jeffrey S. Knutson</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364,006</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493,420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238,508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34,944</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1,130,878</w:t>
            </w:r>
          </w:p>
        </w:tc>
      </w:tr>
      <w:tr>
        <w:trPr>
          <w:trHeight w:val="196"/>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Vice President – Finance,</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325,769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343,336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137,811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34,419</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841,335</w:t>
            </w:r>
          </w:p>
        </w:tc>
      </w:tr>
      <w:tr>
        <w:trPr>
          <w:trHeight w:val="196"/>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CFO, Treasurer and Sec’y</w:t>
            </w: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196"/>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196"/>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James E. Feiertag</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118,462</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85,990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1,521</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205,973</w:t>
            </w:r>
          </w:p>
        </w:tc>
      </w:tr>
      <w:tr>
        <w:trPr>
          <w:trHeight w:val="182"/>
        </w:trPr>
        <w:tc>
          <w:tcPr>
            <w:tcW w:w="2300" w:type="dxa"/>
            <w:vAlign w:val="bottom"/>
            <w:tcBorders>
              <w:left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6"/>
                <w:szCs w:val="16"/>
                <w:color w:val="auto"/>
              </w:rPr>
              <w:t>Former President and Chief</w:t>
            </w:r>
          </w:p>
        </w:tc>
        <w:tc>
          <w:tcPr>
            <w:tcW w:w="88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213"/>
        </w:trPr>
        <w:tc>
          <w:tcPr>
            <w:tcW w:w="23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Operating Officer</w:t>
            </w:r>
          </w:p>
        </w:tc>
        <w:tc>
          <w:tcPr>
            <w:tcW w:w="8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409,540</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431,615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204,747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46,498</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1,092,400</w:t>
            </w:r>
          </w:p>
        </w:tc>
      </w:tr>
    </w:tbl>
    <w:p>
      <w:pPr>
        <w:spacing w:after="0" w:line="198" w:lineRule="exact"/>
        <w:rPr>
          <w:sz w:val="20"/>
          <w:szCs w:val="20"/>
          <w:color w:val="auto"/>
        </w:rPr>
      </w:pPr>
    </w:p>
    <w:p>
      <w:pPr>
        <w:ind w:left="340" w:right="6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FY2022, assuming the maximum performance goals are achieved, are as follows: Mr. Batten, $1,151,297; and Mr. Knutson, $444,090. These calculations are based on the closing share price on the date of grant of $15.70.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separately the compensation expense recognized in FY2022 and in FY2021 for outstanding awards of performance stock, restricted stock and restricted stock units for Messrs, Batten, Knutson, and Feiertag.</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140" w:type="dxa"/>
            <w:vAlign w:val="bottom"/>
            <w:tcBorders>
              <w:top w:val="single" w:sz="8" w:color="auto"/>
              <w:left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Restricted Stock</w:t>
            </w:r>
          </w:p>
        </w:tc>
      </w:tr>
      <w:tr>
        <w:trPr>
          <w:trHeight w:val="234"/>
        </w:trPr>
        <w:tc>
          <w:tcPr>
            <w:tcW w:w="4140" w:type="dxa"/>
            <w:vAlign w:val="bottom"/>
            <w:tcBorders>
              <w:left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208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Year</w:t>
            </w:r>
          </w:p>
        </w:tc>
        <w:tc>
          <w:tcPr>
            <w:tcW w:w="1720" w:type="dxa"/>
            <w:vAlign w:val="bottom"/>
            <w:tcBorders>
              <w:bottom w:val="single" w:sz="8" w:color="auto"/>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Performance Stock</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Units</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John H. Batten</w:t>
            </w:r>
          </w:p>
        </w:tc>
        <w:tc>
          <w:tcPr>
            <w:tcW w:w="20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460,006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260,002</w:t>
            </w:r>
          </w:p>
        </w:tc>
      </w:tr>
      <w:tr>
        <w:trPr>
          <w:trHeight w:val="209"/>
        </w:trPr>
        <w:tc>
          <w:tcPr>
            <w:tcW w:w="414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224,102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260,731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160,002</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Jeffrey S. Knutson</w:t>
            </w:r>
          </w:p>
        </w:tc>
        <w:tc>
          <w:tcPr>
            <w:tcW w:w="20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156,863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59,307</w:t>
            </w:r>
          </w:p>
        </w:tc>
      </w:tr>
      <w:tr>
        <w:trPr>
          <w:trHeight w:val="209"/>
        </w:trPr>
        <w:tc>
          <w:tcPr>
            <w:tcW w:w="414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67,759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104,932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51,672</w:t>
            </w:r>
          </w:p>
        </w:tc>
      </w:tr>
      <w:tr>
        <w:trPr>
          <w:trHeight w:val="209"/>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James E. Feiertag</w:t>
            </w:r>
          </w:p>
        </w:tc>
        <w:tc>
          <w:tcPr>
            <w:tcW w:w="20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44,484</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4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96,801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178,114</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bonuses earned in connection with achievement of specific performance targets under the Corporate Incentive Plan, described in the narrative following the Summary Compensation Table.</w:t>
      </w:r>
    </w:p>
    <w:p>
      <w:pPr>
        <w:spacing w:after="0" w:line="16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represents above-market earnings on the SERP benefits of Mr. Batten. Mr. Batten’s SERP benefit was credited with 3% in earnings, the minimum earnings rate under the SERP. Messrs. Knutson and Feiertag do not participate in the SERP.</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 for each of the Named Executive Officers: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Retirement</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Defined</w:t>
            </w:r>
          </w:p>
        </w:tc>
        <w:tc>
          <w:tcPr>
            <w:tcW w:w="11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Tax Gross</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Perquisites</w:t>
            </w:r>
          </w:p>
        </w:tc>
        <w:tc>
          <w:tcPr>
            <w:tcW w:w="1080" w:type="dxa"/>
            <w:vAlign w:val="bottom"/>
            <w:tcBorders>
              <w:top w:val="single" w:sz="8" w:color="auto"/>
              <w:right w:val="single" w:sz="8" w:color="auto"/>
            </w:tcBorders>
          </w:tcPr>
          <w:p>
            <w:pPr>
              <w:spacing w:after="0"/>
              <w:rPr>
                <w:sz w:val="18"/>
                <w:szCs w:val="18"/>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401(k)</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Savings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Contribu-</w:t>
            </w: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Up 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080" w:type="dxa"/>
            <w:vAlign w:val="bottom"/>
            <w:tcBorders>
              <w:right w:val="single" w:sz="8" w:color="auto"/>
            </w:tcBorders>
          </w:tcPr>
          <w:p>
            <w:pPr>
              <w:spacing w:after="0"/>
              <w:rPr>
                <w:sz w:val="18"/>
                <w:szCs w:val="18"/>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Company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tion</w:t>
            </w:r>
          </w:p>
        </w:tc>
        <w:tc>
          <w:tcPr>
            <w:tcW w:w="112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Life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Relocation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Relocation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Personal</w:t>
            </w:r>
          </w:p>
        </w:tc>
        <w:tc>
          <w:tcPr>
            <w:tcW w:w="1080" w:type="dxa"/>
            <w:vAlign w:val="bottom"/>
            <w:tcBorders>
              <w:right w:val="single" w:sz="8" w:color="auto"/>
            </w:tcBorders>
          </w:tcPr>
          <w:p>
            <w:pPr>
              <w:spacing w:after="0"/>
              <w:rPr>
                <w:sz w:val="18"/>
                <w:szCs w:val="18"/>
                <w:color w:val="auto"/>
              </w:rPr>
            </w:pPr>
          </w:p>
        </w:tc>
      </w:tr>
      <w:tr>
        <w:trPr>
          <w:trHeight w:val="234"/>
        </w:trPr>
        <w:tc>
          <w:tcPr>
            <w:tcW w:w="22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Match</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SERP</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Insurance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Expense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Benefits</w:t>
            </w:r>
          </w:p>
        </w:tc>
        <w:tc>
          <w:tcPr>
            <w:tcW w:w="10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2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J.H. Batten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10,477</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18,525</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51,315</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28,000</w:t>
            </w: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21,619</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129,936</w:t>
            </w:r>
          </w:p>
        </w:tc>
      </w:tr>
      <w:tr>
        <w:trPr>
          <w:trHeight w:val="209"/>
        </w:trPr>
        <w:tc>
          <w:tcPr>
            <w:tcW w:w="22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J.S. Knutson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10,174</w:t>
            </w:r>
          </w:p>
        </w:tc>
        <w:tc>
          <w:tcPr>
            <w:tcW w:w="11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24,770</w:t>
            </w: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34,944</w:t>
            </w:r>
          </w:p>
        </w:tc>
      </w:tr>
      <w:tr>
        <w:trPr>
          <w:trHeight w:val="210"/>
        </w:trPr>
        <w:tc>
          <w:tcPr>
            <w:tcW w:w="22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J.E. Feiertag</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1,221</w:t>
            </w:r>
          </w:p>
        </w:tc>
        <w:tc>
          <w:tcPr>
            <w:tcW w:w="11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1,521</w:t>
            </w: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Corporation’s Supplemental Executive Retirement Plan (“SERP”) was restated during FY2011 to provide a defined contribution formula for the benefits of Mr. Batten. Messrs. Knutson and Feiertag do not participate in the SERP.</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Messrs. Batten and Knutson participate in an endorsement split-dollar life insurance plan. Mr. Feiertag participated in the company-sponsored group life insurance plan.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Perquisites and Personal Benefits for Mr. Batten for FY2022 consist of personal use of the company plane and, supplemental long-term disability premiums. The aggregate total of perquisites and personal benefits for each of the remaining Named Executive Officers was less than $10,000 for FY2022, and therefore need not be disclosed or included in such Named Executive Officers’ “All Other Compensation” total.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FY2022, the Committee increased the bases salaries of Mr. Batten and Mr. Knutson by 5% effective October 1, 2021. The base salary of Mr. Feiertag was not 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Awards Granted in FY2022</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amounts in the “Stock Awards” column of the Summary Compensation Table reflect awards made in FY2022 to the Named Executive Officers under the Twin Disc, Incorporated 2021 Long-Term Incentive Compensation Plan. In FY2022, Messrs. Batten, Knutson, and Feiertag received awards of performance stock. The Committee determined that the long-term incentive awards granted in FY2022 would use a combination of the following performance goals and weightings for the three-year performance period ending in FY2024: (i) average return on invested capital (40%); cumulative sales revenue (30%), and (iii) cumulative earnings per share (30%). In addition, the possible range of long-term incentive payments for each performance goal was established as 50% - 150% of the target. These shares will vest on June 30, 2024 if the specific measures are achieved within the payout range.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In order to incent and retain the Corporation’s executives, restricted stock units were also granted to Messrs. Batten and Knutson in FY2022. The restricted stock awards will vest on August 4, 2024, provided the executives remain employed with the Corporation until the vesting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Non-Equity Incentive Plan Compensation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amounts in the “Non-Equity Incentive Plan Compensation” column of the Summary Compensation Table reflect cash bonuses earned in connection with achievement of specific performance targets under the Corporate Incentive Plan (“CIP”). For FY2022, the target bonuses as a percentage of base salary were set at 85% for Mr. Batten, 55% for Mr. Knutson, and 65% for Mr. Feiertag. The CIP targets for the Named Executive Officers were based on a combination of EBITDA, gross profit percentage and free cash flow as well as on achievement of certain strategic objectives.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3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7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Weight</w:t>
            </w:r>
          </w:p>
        </w:tc>
        <w:tc>
          <w:tcPr>
            <w:tcW w:w="31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Target</w:t>
            </w:r>
          </w:p>
        </w:tc>
      </w:tr>
      <w:tr>
        <w:trPr>
          <w:trHeight w:val="193"/>
        </w:trPr>
        <w:tc>
          <w:tcPr>
            <w:tcW w:w="232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EBITDA</w:t>
            </w:r>
          </w:p>
        </w:tc>
        <w:tc>
          <w:tcPr>
            <w:tcW w:w="74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20%</w:t>
            </w:r>
          </w:p>
        </w:tc>
        <w:tc>
          <w:tcPr>
            <w:tcW w:w="316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Target: $13,199,000</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Threshold: $6,500,000</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Maximum: $25,000,000</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7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Target = $5,752,000</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Threshold = $2,000,000</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Maximum = $13,000,000</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Gross Margin Percent</w:t>
            </w:r>
          </w:p>
        </w:tc>
        <w:tc>
          <w:tcPr>
            <w:tcW w:w="7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Target = 24.0%</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Threshold = 22.0%</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Maximum = 28.0%</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Strategic Objective</w:t>
            </w:r>
          </w:p>
        </w:tc>
        <w:tc>
          <w:tcPr>
            <w:tcW w:w="7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Footprint reduction</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Strategic Objective</w:t>
            </w:r>
          </w:p>
        </w:tc>
        <w:tc>
          <w:tcPr>
            <w:tcW w:w="7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3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Continuous improvement initiatives</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August 2022, the Committee determined that the strategic objectives for FY2022 were achieved at a 95% level, and that the Corporation’s EBITDA of $24,975,000 and gross profit percentage of 28.3% exceeded the target level. The CIP therefore paid at 118.0% of the target amounts for each of the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Decisions Made by the Committee in FY2023</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Since the end of FY2022, the Committee has taken the following actions with respect to the base salary, annual incentive compensation, and long-term incentive compensation for its Named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their meeting in August 2022, the Committee approved a 4% increase in the base salary of Mr. Batten and a 5% increase in the base salary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Knutson.</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8" w:name="page29"/>
    <w:bookmarkEnd w:id="2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Annual Incentive Compensation</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August 2022, the Committee reviewed and approved the performance goals recommended for the CIP for FY2023. The CIP will pay out if certain Revenue, EBITDA, Inventory Percent of Revenue and strategic objectives relating to growth, capital allocation and individual performance are achieved for FY2023. The Committee set the target bonus percentages (as a percentage of base salary) for each of the Named Executive Officers for FY2023 as follows: 85% for Mr. Batten and 55% for Mr. Knutson.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Compensation</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August 2022, the Committee reviewed the performance objective established in August of 2019 for the vesting of performance stock granted in August 2019 under the Twin Disc, Incorporated 2018 Long-Term Incentive Compensation Plan. The objective is listed below:</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Performance Objective: Average Return on Invested Capital (also called Average Return on Total Capital), Average Sales Revenue and Average Annual Earnings Per Share for the three fiscal years ending 6/30/2022 at the achievement levels specified below. Average Return on Invested Capital was weighted at 40% and Average Sales Revenue and Average Annual Earnings Per Share are each weighted at 30% of the performance objective.</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Performance of Objective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8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w w:val="98"/>
              </w:rPr>
              <w:t>Avg. Return on</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42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rPr>
              <w:t>Invested Capital</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42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8"/>
              </w:rPr>
              <w:t>(a/k/a Avg. Return on</w:t>
            </w:r>
          </w:p>
        </w:tc>
        <w:tc>
          <w:tcPr>
            <w:tcW w:w="32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Average Sales</w:t>
            </w:r>
          </w:p>
        </w:tc>
        <w:tc>
          <w:tcPr>
            <w:tcW w:w="260" w:type="dxa"/>
            <w:vAlign w:val="bottom"/>
          </w:tcPr>
          <w:p>
            <w:pPr>
              <w:spacing w:after="0"/>
              <w:rPr>
                <w:sz w:val="18"/>
                <w:szCs w:val="18"/>
                <w:color w:val="auto"/>
              </w:rPr>
            </w:pPr>
          </w:p>
        </w:tc>
        <w:tc>
          <w:tcPr>
            <w:tcW w:w="1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Average Annual</w:t>
            </w:r>
          </w:p>
        </w:tc>
      </w:tr>
      <w:tr>
        <w:trPr>
          <w:trHeight w:val="216"/>
        </w:trPr>
        <w:tc>
          <w:tcPr>
            <w:tcW w:w="3080" w:type="dxa"/>
            <w:vAlign w:val="bottom"/>
          </w:tcPr>
          <w:p>
            <w:pPr>
              <w:spacing w:after="0"/>
              <w:rPr>
                <w:sz w:val="18"/>
                <w:szCs w:val="18"/>
                <w:color w:val="auto"/>
              </w:rPr>
            </w:pPr>
          </w:p>
        </w:tc>
        <w:tc>
          <w:tcPr>
            <w:tcW w:w="42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7"/>
              </w:rPr>
              <w:t>Total Capital)</w:t>
            </w:r>
          </w:p>
        </w:tc>
        <w:tc>
          <w:tcPr>
            <w:tcW w:w="32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8"/>
                <w:szCs w:val="18"/>
                <w:color w:val="auto"/>
              </w:rPr>
            </w:pPr>
          </w:p>
        </w:tc>
        <w:tc>
          <w:tcPr>
            <w:tcW w:w="1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Earnings per Share</w:t>
            </w:r>
          </w:p>
        </w:tc>
      </w:tr>
      <w:tr>
        <w:trPr>
          <w:trHeight w:val="234"/>
        </w:trPr>
        <w:tc>
          <w:tcPr>
            <w:tcW w:w="3080" w:type="dxa"/>
            <w:vAlign w:val="bottom"/>
          </w:tcPr>
          <w:p>
            <w:pPr>
              <w:spacing w:after="0"/>
              <w:rPr>
                <w:sz w:val="20"/>
                <w:szCs w:val="20"/>
                <w:color w:val="auto"/>
              </w:rPr>
            </w:pPr>
          </w:p>
        </w:tc>
        <w:tc>
          <w:tcPr>
            <w:tcW w:w="42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0"/>
                <w:szCs w:val="20"/>
                <w:color w:val="auto"/>
              </w:rPr>
            </w:pPr>
          </w:p>
        </w:tc>
        <w:tc>
          <w:tcPr>
            <w:tcW w:w="1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(30%)</w:t>
            </w:r>
          </w:p>
        </w:tc>
        <w:tc>
          <w:tcPr>
            <w:tcW w:w="260" w:type="dxa"/>
            <w:vAlign w:val="bottom"/>
          </w:tcPr>
          <w:p>
            <w:pPr>
              <w:spacing w:after="0"/>
              <w:rPr>
                <w:sz w:val="20"/>
                <w:szCs w:val="20"/>
                <w:color w:val="auto"/>
              </w:rPr>
            </w:pPr>
          </w:p>
        </w:tc>
        <w:tc>
          <w:tcPr>
            <w:tcW w:w="1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(30%)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4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329,000,000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4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0.75</w:t>
            </w: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“Average Sales Revenue” is defined as the average of the amount reported as annual “Net Sales” in the Company’s financial statements for the three fiscal years of the Performance Period.</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“Average Earnings Per Share” is defined as the average of the amount reported as “Diluted earnings per share attributable to Twin Disc common shareholders” for the three fiscal years of the performance period.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Committee determined, subject to audit, that for the three-year period ending June 30, 2022, the Corporation’s Average Return on Invested Capital was 0.07%, the Average Sales Revenue was $236,110,878, and the Average Annual Earnings per share was ($1.31). As a result, the Corporation did not achieve the threshold level of performance for any of the performance goals, and the performance stock did not vest.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60"/>
        <w:spacing w:after="0" w:line="261" w:lineRule="auto"/>
        <w:rPr>
          <w:sz w:val="20"/>
          <w:szCs w:val="20"/>
          <w:color w:val="auto"/>
        </w:rPr>
      </w:pPr>
      <w:r>
        <w:rPr>
          <w:rFonts w:ascii="Times New Roman" w:cs="Times New Roman" w:eastAsia="Times New Roman" w:hAnsi="Times New Roman"/>
          <w:sz w:val="18"/>
          <w:szCs w:val="18"/>
          <w:color w:val="auto"/>
        </w:rPr>
        <w:t>For FY2023, the awards use a combination of the following performance goals and weightings for the three fiscal year performance period ending June 30, 2025: (i) average return on invested capital (also known as average return on total capital) (50%), and (ii) cumulative EBITDA (50%). In addition, the possible range of long-term incentive payments for each performance goal will be 50% - 200% of the target. The Committee awarded performance stock, restricted stock, and restricted stock units with performance conditions, as long-term incentive awards in FY2023.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plan-based incentive awards granted to our Named Executive Officers during FY2022.</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160" w:type="dxa"/>
            <w:vAlign w:val="bottom"/>
            <w:tcBorders>
              <w:top w:val="single" w:sz="8" w:color="auto"/>
              <w:left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40" w:type="dxa"/>
            <w:vAlign w:val="bottom"/>
            <w:tcBorders>
              <w:top w:val="single" w:sz="8" w:color="auto"/>
              <w:right w:val="single" w:sz="8" w:color="auto"/>
            </w:tcBorders>
            <w:gridSpan w:val="5"/>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Estimated Future Cash Incentive</w:t>
            </w:r>
          </w:p>
        </w:tc>
        <w:tc>
          <w:tcPr>
            <w:tcW w:w="294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Future Share or</w:t>
            </w:r>
          </w:p>
        </w:tc>
        <w:tc>
          <w:tcPr>
            <w:tcW w:w="100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Borders>
              <w:right w:val="single" w:sz="8" w:color="auto"/>
            </w:tcBorders>
            <w:gridSpan w:val="5"/>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Payouts Under Non-Equity</w:t>
            </w:r>
          </w:p>
        </w:tc>
        <w:tc>
          <w:tcPr>
            <w:tcW w:w="29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Unit Payouts Under Equity</w:t>
            </w:r>
          </w:p>
        </w:tc>
        <w:tc>
          <w:tcPr>
            <w:tcW w:w="10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right w:val="single" w:sz="8" w:color="auto"/>
            </w:tcBorders>
            <w:gridSpan w:val="5"/>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Incentive Plan Awards</w:t>
            </w:r>
          </w:p>
        </w:tc>
        <w:tc>
          <w:tcPr>
            <w:tcW w:w="29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 Plan Awards</w:t>
            </w: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All other</w:t>
            </w:r>
          </w:p>
        </w:tc>
        <w:tc>
          <w:tcPr>
            <w:tcW w:w="1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Stock</w:t>
            </w:r>
          </w:p>
        </w:tc>
        <w:tc>
          <w:tcPr>
            <w:tcW w:w="9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Grant Date</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Fair Value</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80" w:type="dxa"/>
            <w:vAlign w:val="bottom"/>
          </w:tcPr>
          <w:p>
            <w:pPr>
              <w:spacing w:after="0"/>
              <w:rPr>
                <w:sz w:val="17"/>
                <w:szCs w:val="17"/>
                <w:color w:val="auto"/>
              </w:rPr>
            </w:pPr>
          </w:p>
        </w:tc>
        <w:tc>
          <w:tcPr>
            <w:tcW w:w="7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of Stock</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shares of</w:t>
            </w:r>
          </w:p>
        </w:tc>
        <w:tc>
          <w:tcPr>
            <w:tcW w:w="180" w:type="dxa"/>
            <w:vAlign w:val="bottom"/>
          </w:tcPr>
          <w:p>
            <w:pPr>
              <w:spacing w:after="0"/>
              <w:rPr>
                <w:sz w:val="17"/>
                <w:szCs w:val="17"/>
                <w:color w:val="auto"/>
              </w:rPr>
            </w:pPr>
          </w:p>
        </w:tc>
        <w:tc>
          <w:tcPr>
            <w:tcW w:w="7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Threshold</w:t>
            </w:r>
          </w:p>
        </w:tc>
        <w:tc>
          <w:tcPr>
            <w:tcW w:w="220" w:type="dxa"/>
            <w:vAlign w:val="bottom"/>
          </w:tcPr>
          <w:p>
            <w:pPr>
              <w:spacing w:after="0"/>
              <w:rPr>
                <w:sz w:val="17"/>
                <w:szCs w:val="17"/>
                <w:color w:val="auto"/>
              </w:rPr>
            </w:pPr>
          </w:p>
        </w:tc>
        <w:tc>
          <w:tcPr>
            <w:tcW w:w="780" w:type="dxa"/>
            <w:vAlign w:val="bottom"/>
            <w:tcBorders>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Target</w:t>
            </w:r>
          </w:p>
        </w:tc>
        <w:tc>
          <w:tcPr>
            <w:tcW w:w="220" w:type="dxa"/>
            <w:vAlign w:val="bottom"/>
          </w:tcPr>
          <w:p>
            <w:pPr>
              <w:spacing w:after="0"/>
              <w:rPr>
                <w:sz w:val="17"/>
                <w:szCs w:val="17"/>
                <w:color w:val="auto"/>
              </w:rPr>
            </w:pPr>
          </w:p>
        </w:tc>
        <w:tc>
          <w:tcPr>
            <w:tcW w:w="8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Maximum</w:t>
            </w:r>
          </w:p>
        </w:tc>
        <w:tc>
          <w:tcPr>
            <w:tcW w:w="98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Threshold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Target</w:t>
            </w:r>
          </w:p>
        </w:tc>
        <w:tc>
          <w:tcPr>
            <w:tcW w:w="9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Maximum</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or</w:t>
            </w:r>
          </w:p>
        </w:tc>
        <w:tc>
          <w:tcPr>
            <w:tcW w:w="180" w:type="dxa"/>
            <w:vAlign w:val="bottom"/>
          </w:tcPr>
          <w:p>
            <w:pPr>
              <w:spacing w:after="0"/>
              <w:rPr>
                <w:sz w:val="17"/>
                <w:szCs w:val="17"/>
                <w:color w:val="auto"/>
              </w:rPr>
            </w:pPr>
          </w:p>
        </w:tc>
        <w:tc>
          <w:tcPr>
            <w:tcW w:w="7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Option</w:t>
            </w:r>
          </w:p>
        </w:tc>
        <w:tc>
          <w:tcPr>
            <w:tcW w:w="0" w:type="dxa"/>
            <w:vAlign w:val="bottom"/>
          </w:tcPr>
          <w:p>
            <w:pPr>
              <w:spacing w:after="0"/>
              <w:rPr>
                <w:sz w:val="1"/>
                <w:szCs w:val="1"/>
                <w:color w:val="auto"/>
              </w:rPr>
            </w:pPr>
          </w:p>
        </w:tc>
      </w:tr>
      <w:tr>
        <w:trPr>
          <w:trHeight w:val="213"/>
        </w:trPr>
        <w:tc>
          <w:tcPr>
            <w:tcW w:w="2160" w:type="dxa"/>
            <w:vAlign w:val="bottom"/>
            <w:tcBorders>
              <w:left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Name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Grant Date</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6"/>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w:t>
            </w:r>
          </w:p>
        </w:tc>
        <w:tc>
          <w:tcPr>
            <w:tcW w:w="98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Awards (3)</w:t>
            </w:r>
          </w:p>
        </w:tc>
        <w:tc>
          <w:tcPr>
            <w:tcW w:w="0" w:type="dxa"/>
            <w:vAlign w:val="bottom"/>
          </w:tcPr>
          <w:p>
            <w:pPr>
              <w:spacing w:after="0"/>
              <w:rPr>
                <w:sz w:val="1"/>
                <w:szCs w:val="1"/>
                <w:color w:val="auto"/>
              </w:rPr>
            </w:pPr>
          </w:p>
        </w:tc>
      </w:tr>
      <w:tr>
        <w:trPr>
          <w:trHeight w:val="199"/>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John H. Batten</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Cash Incentive</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267,750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535,500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1,071,000</w:t>
            </w: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line="196" w:lineRule="exact"/>
              <w:rPr>
                <w:sz w:val="20"/>
                <w:szCs w:val="20"/>
                <w:color w:val="auto"/>
              </w:rPr>
            </w:pPr>
            <w:r>
              <w:rPr>
                <w:rFonts w:ascii="Times New Roman" w:cs="Times New Roman" w:eastAsia="Times New Roman" w:hAnsi="Times New Roman"/>
                <w:sz w:val="14"/>
                <w:szCs w:val="14"/>
                <w:color w:val="auto"/>
              </w:rPr>
              <w:t xml:space="preserve">Performance Stock Award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8/4/2021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24,444</w:t>
            </w: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48,887</w:t>
            </w: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73,331</w:t>
            </w: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767,526</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Restricted Stock Unit Award</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8/4/2021</w:t>
            </w:r>
          </w:p>
        </w:tc>
        <w:tc>
          <w:tcPr>
            <w:tcW w:w="2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20,952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328,946</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Jeffrey S. Knutson</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Cash Incentive</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101,063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202,125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404,250</w:t>
            </w: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line="196" w:lineRule="exact"/>
              <w:rPr>
                <w:sz w:val="20"/>
                <w:szCs w:val="20"/>
                <w:color w:val="auto"/>
              </w:rPr>
            </w:pPr>
            <w:r>
              <w:rPr>
                <w:rFonts w:ascii="Times New Roman" w:cs="Times New Roman" w:eastAsia="Times New Roman" w:hAnsi="Times New Roman"/>
                <w:sz w:val="14"/>
                <w:szCs w:val="14"/>
                <w:color w:val="auto"/>
              </w:rPr>
              <w:t xml:space="preserve">Performance Stock Award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8/4/2021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9,429</w:t>
            </w: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18,857</w:t>
            </w:r>
          </w:p>
        </w:tc>
        <w:tc>
          <w:tcPr>
            <w:tcW w:w="9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28,286</w:t>
            </w: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296,055</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Restricted Stock Unit Award</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8/4/2021</w:t>
            </w:r>
          </w:p>
        </w:tc>
        <w:tc>
          <w:tcPr>
            <w:tcW w:w="2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12,571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197,365</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James E. Feiertag</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Cash Incentive</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line="196" w:lineRule="exact"/>
              <w:rPr>
                <w:sz w:val="20"/>
                <w:szCs w:val="20"/>
                <w:color w:val="auto"/>
              </w:rPr>
            </w:pPr>
            <w:r>
              <w:rPr>
                <w:rFonts w:ascii="Times New Roman" w:cs="Times New Roman" w:eastAsia="Times New Roman" w:hAnsi="Times New Roman"/>
                <w:sz w:val="14"/>
                <w:szCs w:val="14"/>
                <w:color w:val="auto"/>
              </w:rPr>
              <w:t xml:space="preserve">Performance Stock Award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180"/>
              <w:spacing w:after="0" w:line="196" w:lineRule="exact"/>
              <w:rPr>
                <w:sz w:val="20"/>
                <w:szCs w:val="20"/>
                <w:color w:val="auto"/>
              </w:rPr>
            </w:pPr>
            <w:r>
              <w:rPr>
                <w:rFonts w:ascii="Times New Roman" w:cs="Times New Roman" w:eastAsia="Times New Roman" w:hAnsi="Times New Roman"/>
                <w:sz w:val="14"/>
                <w:szCs w:val="14"/>
                <w:color w:val="auto"/>
              </w:rPr>
              <w:t xml:space="preserve">Restricted Stock Award </w:t>
            </w:r>
            <w:r>
              <w:rPr>
                <w:rFonts w:ascii="Times New Roman" w:cs="Times New Roman" w:eastAsia="Times New Roman" w:hAnsi="Times New Roman"/>
                <w:sz w:val="22"/>
                <w:szCs w:val="22"/>
                <w:color w:val="auto"/>
                <w:vertAlign w:val="superscript"/>
              </w:rPr>
              <w:t>(2)</w:t>
            </w:r>
          </w:p>
        </w:tc>
        <w:tc>
          <w:tcPr>
            <w:tcW w:w="10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awards with performance-based vesting criteria, as discussed in the “Long-Term Incentive Compensation” section of the Executive Compensation discussion; eligible for vesting in 2024.</w:t>
      </w:r>
    </w:p>
    <w:p>
      <w:pPr>
        <w:ind w:left="340" w:right="6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 awards with a vesting date of August 4, 2024. These stock awards will vest if the executive remains employed through the vesting date.</w:t>
      </w: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are calculated using the closing price of Twin Disc shares on August 4, 2021 (the grant date) of $15.70.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restricted stock, performance stock and restricted stock unit awards held by our Named Executive Officers on June 30, 2022. The Named Executive Officers had no outstanding exercisable or unexercisable options outstanding on June 30, 2022.</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4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320" w:type="dxa"/>
            <w:vAlign w:val="bottom"/>
            <w:tcBorders>
              <w:top w:val="single" w:sz="8" w:color="auto"/>
              <w:bottom w:val="single" w:sz="8" w:color="auto"/>
            </w:tcBorders>
          </w:tcPr>
          <w:p>
            <w:pPr>
              <w:spacing w:after="0"/>
              <w:rPr>
                <w:sz w:val="19"/>
                <w:szCs w:val="19"/>
                <w:color w:val="auto"/>
              </w:rPr>
            </w:pPr>
          </w:p>
        </w:tc>
        <w:tc>
          <w:tcPr>
            <w:tcW w:w="4620" w:type="dxa"/>
            <w:vAlign w:val="bottom"/>
            <w:tcBorders>
              <w:top w:val="single" w:sz="8" w:color="auto"/>
              <w:bottom w:val="single" w:sz="8" w:color="auto"/>
              <w:right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Stock Awards</w:t>
            </w:r>
          </w:p>
        </w:tc>
        <w:tc>
          <w:tcPr>
            <w:tcW w:w="1920" w:type="dxa"/>
            <w:vAlign w:val="bottom"/>
            <w:tcBorders>
              <w:top w:val="single" w:sz="8" w:color="auto"/>
              <w:bottom w:val="single" w:sz="8" w:color="auto"/>
              <w:right w:val="single" w:sz="8" w:color="auto"/>
            </w:tcBorders>
          </w:tcPr>
          <w:p>
            <w:pPr>
              <w:spacing w:after="0"/>
              <w:rPr>
                <w:sz w:val="19"/>
                <w:szCs w:val="19"/>
                <w:color w:val="auto"/>
              </w:rPr>
            </w:pPr>
          </w:p>
        </w:tc>
      </w:tr>
      <w:tr>
        <w:trPr>
          <w:trHeight w:val="194"/>
        </w:trPr>
        <w:tc>
          <w:tcPr>
            <w:tcW w:w="240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Equity Incentive Plan</w:t>
            </w:r>
          </w:p>
        </w:tc>
      </w:tr>
      <w:tr>
        <w:trPr>
          <w:trHeight w:val="216"/>
        </w:trPr>
        <w:tc>
          <w:tcPr>
            <w:tcW w:w="24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Awards: Market or</w:t>
            </w:r>
          </w:p>
        </w:tc>
      </w:tr>
      <w:tr>
        <w:trPr>
          <w:trHeight w:val="216"/>
        </w:trPr>
        <w:tc>
          <w:tcPr>
            <w:tcW w:w="24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 Incentive Plan</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Payout Value of</w:t>
            </w:r>
          </w:p>
        </w:tc>
      </w:tr>
      <w:tr>
        <w:trPr>
          <w:trHeight w:val="216"/>
        </w:trPr>
        <w:tc>
          <w:tcPr>
            <w:tcW w:w="24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 Value of</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Awards: Number of</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Unearned Shares,</w:t>
            </w:r>
          </w:p>
        </w:tc>
      </w:tr>
      <w:tr>
        <w:trPr>
          <w:trHeight w:val="216"/>
        </w:trPr>
        <w:tc>
          <w:tcPr>
            <w:tcW w:w="24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or</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or Units of</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Unearned Shares,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or Other Rights</w:t>
            </w:r>
          </w:p>
        </w:tc>
      </w:tr>
      <w:tr>
        <w:trPr>
          <w:trHeight w:val="216"/>
        </w:trPr>
        <w:tc>
          <w:tcPr>
            <w:tcW w:w="24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of Stock That Have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That Have Not Vested</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or Other Rights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That Have Not Vested</w:t>
            </w:r>
          </w:p>
        </w:tc>
      </w:tr>
      <w:tr>
        <w:trPr>
          <w:trHeight w:val="234"/>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 and Grant Date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Not Vested</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That Have Not Vested</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John H. Batten</w:t>
            </w:r>
          </w:p>
        </w:tc>
        <w:tc>
          <w:tcPr>
            <w:tcW w:w="232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r>
      <w:tr>
        <w:trPr>
          <w:trHeight w:val="209"/>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10/31/2019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44,986 (1)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$407,573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29,054 (3)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$263,225</w:t>
            </w:r>
          </w:p>
        </w:tc>
      </w:tr>
      <w:tr>
        <w:trPr>
          <w:trHeight w:val="209"/>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8/6/2020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51,994 (1)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$471,066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60,659 (4)</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$549,571</w:t>
            </w: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8/4/2021</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20,952 (2)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$189,825</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24,444 (5)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$221,458</w:t>
            </w:r>
          </w:p>
        </w:tc>
      </w:tr>
      <w:tr>
        <w:trPr>
          <w:trHeight w:val="209"/>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Jeffrey S. Knutson</w:t>
            </w:r>
          </w:p>
        </w:tc>
        <w:tc>
          <w:tcPr>
            <w:tcW w:w="232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13,192 (1)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$119,520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6,596 (3)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$59,760</w:t>
            </w:r>
          </w:p>
        </w:tc>
      </w:tr>
      <w:tr>
        <w:trPr>
          <w:trHeight w:val="209"/>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10/31/2019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1,874 (1)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$16,978</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937 (3)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$8,489</w:t>
            </w:r>
          </w:p>
        </w:tc>
      </w:tr>
      <w:tr>
        <w:trPr>
          <w:trHeight w:val="209"/>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8/6/2020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24,264 (1)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$219,832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18,198 (4)</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$164,874</w:t>
            </w: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8/4/2021</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12,571 (2)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$113,893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9,429 (5)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$85,422</w:t>
            </w: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James E. Feiertag</w:t>
            </w:r>
          </w:p>
        </w:tc>
        <w:tc>
          <w:tcPr>
            <w:tcW w:w="232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8/1/2019</w:t>
            </w:r>
          </w:p>
        </w:tc>
        <w:tc>
          <w:tcPr>
            <w:tcW w:w="232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7,031 (3)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$63,696</w:t>
            </w:r>
          </w:p>
        </w:tc>
      </w:tr>
      <w:tr>
        <w:trPr>
          <w:trHeight w:val="210"/>
        </w:trPr>
        <w:tc>
          <w:tcPr>
            <w:tcW w:w="24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8/6/2020</w:t>
            </w:r>
          </w:p>
        </w:tc>
        <w:tc>
          <w:tcPr>
            <w:tcW w:w="232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10,797 (4)</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$97,821</w:t>
            </w:r>
          </w:p>
        </w:tc>
      </w:tr>
    </w:tbl>
    <w:p>
      <w:pPr>
        <w:spacing w:after="0" w:line="19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awards that are scheduled to vest three years from the date of grant.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unit awards that are scheduled to vest three years from the date of grant.</w:t>
      </w:r>
    </w:p>
    <w:p>
      <w:pPr>
        <w:spacing w:after="0" w:line="9" w:lineRule="exact"/>
        <w:rPr>
          <w:rFonts w:ascii="Times New Roman" w:cs="Times New Roman" w:eastAsia="Times New Roman" w:hAnsi="Times New Roman"/>
          <w:sz w:val="18"/>
          <w:szCs w:val="18"/>
          <w:color w:val="auto"/>
        </w:rPr>
      </w:pPr>
    </w:p>
    <w:p>
      <w:pPr>
        <w:ind w:left="340" w:right="32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in FY2023 based on three-year performance period ending June 30, 2022. Figures shown are based on achieving threshold performance goals.</w:t>
      </w:r>
    </w:p>
    <w:p>
      <w:pPr>
        <w:ind w:left="340" w:right="32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in FY2024 based on three-year performance period ending June 30, 2023. Figures shown are based on achieving threshold performance goals.</w:t>
      </w:r>
    </w:p>
    <w:p>
      <w:pPr>
        <w:ind w:left="340" w:right="6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in FY2025 based on three-year performance period ending June 30, 2024. Figures are shown based on achieving threshold performance goals.</w:t>
      </w:r>
    </w:p>
    <w:p>
      <w:pPr>
        <w:ind w:left="340" w:hanging="332"/>
        <w:spacing w:after="0" w:line="26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using $9.06 per share, the closing price of the Corporation’s common stock as of June 30, 2022, the last trading day of the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Qualified Retirement Plans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Savings Plan for Salaried Employees</w:t>
      </w:r>
      <w:r>
        <w:rPr>
          <w:rFonts w:ascii="Times New Roman" w:cs="Times New Roman" w:eastAsia="Times New Roman" w:hAnsi="Times New Roman"/>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Savings Plan does not allow employee contributions. Employer contributions, which are made annually, are 100% vested.</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Plan for Salaried Employees</w:t>
      </w:r>
      <w:r>
        <w:rPr>
          <w:rFonts w:ascii="Times New Roman" w:cs="Times New Roman" w:eastAsia="Times New Roman" w:hAnsi="Times New Roman"/>
          <w:sz w:val="18"/>
          <w:szCs w:val="18"/>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not eligible for retirement as of June 30,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Retirement Plan was amended to freeze all future benefit accruals, effective August 1, 2009.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2020, 2021, and 2022 the annual limits were $285,000, $290,000, and $305,000, respectively.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 The Accelerator 401(k) Savings Plan (“401(k) Plan”)</w:t>
      </w:r>
      <w:r>
        <w:rPr>
          <w:rFonts w:ascii="Times New Roman" w:cs="Times New Roman" w:eastAsia="Times New Roman" w:hAnsi="Times New Roman"/>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matches 50% of the first 8% of pay that is contributed to the 401(k) Plan. All contributions to the 401(k) Plan, as well as any matching contributions, are fully vested upon contribution.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(only Mr. Batten)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Executive Life Insurance</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100"/>
        <w:spacing w:after="0" w:line="282" w:lineRule="auto"/>
        <w:rPr>
          <w:sz w:val="20"/>
          <w:szCs w:val="20"/>
          <w:color w:val="auto"/>
        </w:rPr>
      </w:pPr>
      <w:r>
        <w:rPr>
          <w:rFonts w:ascii="Times New Roman" w:cs="Times New Roman" w:eastAsia="Times New Roman" w:hAnsi="Times New Roman"/>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Providing Payments Following Termination or Change in Control</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has change in control severance agreements with each of its executive officers, which were most recently updated in August 2022.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Normal or Early Retirement</w:t>
      </w:r>
      <w:r>
        <w:rPr>
          <w:rFonts w:ascii="Times New Roman" w:cs="Times New Roman" w:eastAsia="Times New Roman" w:hAnsi="Times New Roman"/>
          <w:sz w:val="18"/>
          <w:szCs w:val="18"/>
          <w:color w:val="auto"/>
        </w:rPr>
        <w:t>. For purposes of the following discussion, retirement means termination of employment after the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86"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62" w:lineRule="exact"/>
        <w:rPr>
          <w:sz w:val="20"/>
          <w:szCs w:val="20"/>
          <w:color w:val="auto"/>
        </w:rPr>
      </w:pPr>
    </w:p>
    <w:p>
      <w:pPr>
        <w:ind w:left="20" w:right="18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without performance conditions are forfeited if retirement occurs before the restrictions on such shares or units have ended.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80"/>
        <w:spacing w:after="0" w:line="312" w:lineRule="auto"/>
        <w:rPr>
          <w:sz w:val="20"/>
          <w:szCs w:val="20"/>
          <w:color w:val="auto"/>
        </w:rPr>
      </w:pPr>
      <w:r>
        <w:rPr>
          <w:rFonts w:ascii="Times New Roman" w:cs="Times New Roman" w:eastAsia="Times New Roman" w:hAnsi="Times New Roman"/>
          <w:sz w:val="17"/>
          <w:szCs w:val="17"/>
          <w:color w:val="auto"/>
        </w:rPr>
        <w:t>Performance stock, performance stock units, and restricted stock units with performance conditions, will be paid after the end of the relevant performance period, but only if the performance objective is achieved. The stock or units are prorated based on actual employment during the performance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must be exercised within 30 days of termination or they expire.</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Supplemental Executive Retirement Plan (SERP) is available for certain Named Executive Officers who qualify for a retirement benefit under the Corporation’s pension plans. Mr. Batten is currently the only participant.</w:t>
      </w:r>
    </w:p>
    <w:p>
      <w:pPr>
        <w:spacing w:after="0" w:line="162"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8"/>
          <w:szCs w:val="18"/>
          <w:color w:val="auto"/>
        </w:rPr>
        <w:t>For those executives eligible for an endorsement split-dollar life insurance policy, the ownership of the life insurance will be transferred from the Corporation to the executive at the later of retirement or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Death while Employed</w:t>
      </w:r>
      <w:r>
        <w:rPr>
          <w:rFonts w:ascii="Times New Roman" w:cs="Times New Roman" w:eastAsia="Times New Roman" w:hAnsi="Times New Roman"/>
          <w:sz w:val="18"/>
          <w:szCs w:val="18"/>
          <w:color w:val="auto"/>
        </w:rPr>
        <w:t>. In the event of death of a Named Executive Officer while actively employed, the executive’s estate would receive payment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base salary earned, but not yet paid. In addition, any vacation accrual not used would also be paid to the estate.</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vest and become payable per the terms of the individual grant agreement. The estate would receive the payment of shares.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will fully vest and may pass to the estate, or as directed by a will, and must be exercised within one year from date of death.</w:t>
      </w:r>
    </w:p>
    <w:p>
      <w:pPr>
        <w:spacing w:after="0" w:line="221"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pension eligibility.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and restricted stock units vest and become payable per the terms of the individual grant agreement.</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An executive is not eligible for any additional benefits at termination, unless the Compensation and Executive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would determine that severance payments are appropriate.</w:t>
      </w:r>
    </w:p>
    <w:p>
      <w:pPr>
        <w:spacing w:after="0" w:line="15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Voluntary Termination Prior to Retirement</w:t>
      </w:r>
      <w:r>
        <w:rPr>
          <w:rFonts w:ascii="Times New Roman" w:cs="Times New Roman" w:eastAsia="Times New Roman" w:hAnsi="Times New Roman"/>
          <w:sz w:val="18"/>
          <w:szCs w:val="18"/>
          <w:color w:val="auto"/>
        </w:rPr>
        <w:t>. An executive is not entitled to any additional forms of severance payments in the event of a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prior to becoming eligible for retirement.</w:t>
      </w:r>
    </w:p>
    <w:p>
      <w:pPr>
        <w:spacing w:after="0" w:line="1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Involuntary Termination (or Resignation for Good Cause) Following Change in Control</w:t>
      </w:r>
      <w:r>
        <w:rPr>
          <w:rFonts w:ascii="Times New Roman" w:cs="Times New Roman" w:eastAsia="Times New Roman" w:hAnsi="Times New Roman"/>
          <w:sz w:val="18"/>
          <w:szCs w:val="18"/>
          <w:color w:val="auto"/>
        </w:rPr>
        <w:t>. The Corporation has entered into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Agreements with each of our Named Executive Officers. The agreements provide that if the executive experiences an involuntary termination (or resigns for good reason, as defined) within two years following a change in control of the Corporation, the executive will receive the following benefits:</w:t>
      </w:r>
    </w:p>
    <w:p>
      <w:pPr>
        <w:spacing w:after="0" w:line="175" w:lineRule="exact"/>
        <w:rPr>
          <w:sz w:val="20"/>
          <w:szCs w:val="20"/>
          <w:color w:val="auto"/>
        </w:rPr>
      </w:pPr>
    </w:p>
    <w:p>
      <w:pPr>
        <w:ind w:left="660" w:right="100" w:hanging="328"/>
        <w:spacing w:after="0" w:line="268"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months of benefit continuation,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value of all outstanding stock options,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will immediately vest,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immediately vest and shares will be issued, and</w:t>
      </w:r>
    </w:p>
    <w:p>
      <w:pPr>
        <w:spacing w:after="0" w:line="9"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compensation received by each of our non-employee Directors during FY2022: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140" w:type="dxa"/>
            <w:vAlign w:val="bottom"/>
            <w:tcBorders>
              <w:top w:val="single" w:sz="8" w:color="auto"/>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Fees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5"/>
              </w:rPr>
              <w:t>Value of</w:t>
            </w:r>
          </w:p>
        </w:tc>
        <w:tc>
          <w:tcPr>
            <w:tcW w:w="132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r>
      <w:tr>
        <w:trPr>
          <w:trHeight w:val="216"/>
        </w:trPr>
        <w:tc>
          <w:tcPr>
            <w:tcW w:w="41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Earned or</w:t>
            </w:r>
          </w:p>
        </w:tc>
        <w:tc>
          <w:tcPr>
            <w:tcW w:w="240" w:type="dxa"/>
            <w:vAlign w:val="bottom"/>
          </w:tcPr>
          <w:p>
            <w:pPr>
              <w:spacing w:after="0"/>
              <w:rPr>
                <w:sz w:val="18"/>
                <w:szCs w:val="18"/>
                <w:color w:val="auto"/>
              </w:rPr>
            </w:pPr>
          </w:p>
        </w:tc>
        <w:tc>
          <w:tcPr>
            <w:tcW w:w="112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All Other</w:t>
            </w:r>
          </w:p>
        </w:tc>
        <w:tc>
          <w:tcPr>
            <w:tcW w:w="3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4140" w:type="dxa"/>
            <w:vAlign w:val="bottom"/>
            <w:tcBorders>
              <w:left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Paid in Cash</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Awards (1)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Doar (2)</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134,991</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134,991</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Janet Giesselman</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77,500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72,498</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149,998</w:t>
            </w:r>
          </w:p>
        </w:tc>
      </w:tr>
      <w:tr>
        <w:trPr>
          <w:trHeight w:val="209"/>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David Johnson (2)</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41,250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103,743</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144,993</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David Rayburn</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116,500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72,498</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188,998</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Smiley</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82,500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72,498</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154,998</w:t>
            </w:r>
          </w:p>
        </w:tc>
      </w:tr>
      <w:tr>
        <w:trPr>
          <w:trHeight w:val="21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Harold Stratton II (2)</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135.000</w:t>
            </w:r>
          </w:p>
        </w:tc>
      </w:tr>
      <w:tr>
        <w:trPr>
          <w:trHeight w:val="209"/>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Juliann Larimer</w:t>
            </w:r>
          </w:p>
        </w:tc>
        <w:tc>
          <w:tcPr>
            <w:tcW w:w="174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15,625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54,376</w:t>
            </w: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70,001</w:t>
            </w:r>
          </w:p>
        </w:tc>
      </w:tr>
    </w:tbl>
    <w:p>
      <w:pPr>
        <w:spacing w:after="0" w:line="198" w:lineRule="exact"/>
        <w:rPr>
          <w:sz w:val="20"/>
          <w:szCs w:val="20"/>
          <w:color w:val="auto"/>
        </w:rPr>
      </w:pPr>
    </w:p>
    <w:p>
      <w:pPr>
        <w:ind w:left="500" w:right="60" w:hanging="330"/>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Stock Awards is computed as of the date of grant in accordance with Financial Accounting Standards Board ASC Topic 718. Mr. Doar held 11,248 shares of restricted stock, Mr. Johnson held 8,866 shares of restricted stock, Mr. Stratton held 9,724 shares of restricted stock, and Ms. Larimer held 4.642 shares of restricted stock as of the end of FY2022. Each other director held 6,484 shares of restricted stock as of the end of FY2022.</w:t>
      </w:r>
    </w:p>
    <w:p>
      <w:pPr>
        <w:spacing w:after="0" w:line="179" w:lineRule="exact"/>
        <w:rPr>
          <w:rFonts w:ascii="Times New Roman" w:cs="Times New Roman" w:eastAsia="Times New Roman" w:hAnsi="Times New Roman"/>
          <w:sz w:val="18"/>
          <w:szCs w:val="18"/>
          <w:color w:val="auto"/>
        </w:rPr>
      </w:pPr>
    </w:p>
    <w:p>
      <w:pPr>
        <w:jc w:val="both"/>
        <w:ind w:left="500" w:right="1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Mssrs. Doar, Johnson and Stratton’s stock awards includes shares of restricted stock issued in lieu of quarterly cash retainers, pursuant to an irrevocable election made under the Twin Disc, Incorporated 2020 Stock Incentive Plan for Non-Employee Directors. Such shares will vest on the first anniversary of the date of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 Plan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Outside Directors of the Corporation (i.e. non-Corporation employees) are paid an annual retainer fee composed of both cash and restricted shares of Twin Disc stock. The restricted shares are issued under the Twin Disc, Incorporated 2020 Stock Incentive Plan for Non-Employee Directors (the “2020 Directors’ Plan”). The mix of cash and stock is determined by the Board of Directors on an annual basis. The cash portion is paid quarterly, which the stock portion of the retainer is awarded annually, at the annual shareholders meeting in October. The restricted shares awarded at a shareholders meeting will vest as of the subsequent annual shareholders meeting.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2020 Directors’ Plan, Directors have the option to elect to receive all or a portion of their quarterly base cash retainer in restricted shares of Twin Disc stock. The restricted shares will vest one year after the date that the quarterly cash retainer payment would have been made.</w:t>
      </w:r>
    </w:p>
    <w:p>
      <w:pPr>
        <w:spacing w:after="0" w:line="162"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Committee chairs are paid an annual fee in addition to the annual retainer. The chair of the Audit Committee receives $20,000, the chair of the Compensation and Executive Development Committee receives $15,000 and the chair of the Governance Committee receives $10,000. The annual Chairman’s fee is $54,000.</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2022.</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22" w:lineRule="exact"/>
        <w:rPr>
          <w:sz w:val="20"/>
          <w:szCs w:val="20"/>
          <w:color w:val="auto"/>
        </w:rPr>
      </w:pPr>
      <w:r>
        <w:rPr>
          <w:rFonts w:ascii="Times New Roman" w:cs="Times New Roman" w:eastAsia="Times New Roman" w:hAnsi="Times New Roman"/>
          <w:sz w:val="18"/>
          <w:szCs w:val="18"/>
          <w:color w:val="auto"/>
        </w:rPr>
        <w:t>On the basis of these reviews and discussions, the Committee recommended to the Board of Directors that the Board approve the inclusion of the Corporation's audited financial statements in the Corporation’s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30, 2022, for filing with the Securities and Exchange Commission.</w:t>
      </w:r>
    </w:p>
    <w:p>
      <w:pPr>
        <w:spacing w:after="0" w:line="19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Michael C. Smiley, Chair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Janet P. Giesselman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David W. Johnson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Juliann Larimer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Harold M. Stratton</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August 3, 2022</w:t>
      </w:r>
    </w:p>
    <w:p>
      <w:pPr>
        <w:spacing w:after="0" w:line="2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37" w:name="page38"/>
    <w:bookmarkEnd w:id="37"/>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the Corporation’s equity-based compensation plans as of the end of the most recently completed fiscal year:</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160" w:type="dxa"/>
            <w:vAlign w:val="bottom"/>
            <w:tcBorders>
              <w:top w:val="single" w:sz="8" w:color="auto"/>
              <w:left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 to be Issued</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Weighted Average Price of</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 Remaining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Upon Exercise of</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Available for Future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Issuance Under Equity</w:t>
            </w:r>
          </w:p>
        </w:tc>
        <w:tc>
          <w:tcPr>
            <w:tcW w:w="0" w:type="dxa"/>
            <w:vAlign w:val="bottom"/>
          </w:tcPr>
          <w:p>
            <w:pPr>
              <w:spacing w:after="0"/>
              <w:rPr>
                <w:sz w:val="1"/>
                <w:szCs w:val="1"/>
                <w:color w:val="auto"/>
              </w:rPr>
            </w:pPr>
          </w:p>
        </w:tc>
      </w:tr>
      <w:tr>
        <w:trPr>
          <w:trHeight w:val="231"/>
        </w:trPr>
        <w:tc>
          <w:tcPr>
            <w:tcW w:w="3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 Category</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82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Compensation Plans</w:t>
            </w:r>
          </w:p>
        </w:tc>
        <w:tc>
          <w:tcPr>
            <w:tcW w:w="0" w:type="dxa"/>
            <w:vAlign w:val="bottom"/>
          </w:tcPr>
          <w:p>
            <w:pPr>
              <w:spacing w:after="0"/>
              <w:rPr>
                <w:sz w:val="1"/>
                <w:szCs w:val="1"/>
                <w:color w:val="auto"/>
              </w:rPr>
            </w:pPr>
          </w:p>
        </w:tc>
      </w:tr>
      <w:tr>
        <w:trPr>
          <w:trHeight w:val="194"/>
        </w:trPr>
        <w:tc>
          <w:tcPr>
            <w:tcW w:w="3160" w:type="dxa"/>
            <w:vAlign w:val="bottom"/>
            <w:tcBorders>
              <w:left w:val="single" w:sz="8" w:color="auto"/>
              <w:right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800" w:type="dxa"/>
            <w:vAlign w:val="bottom"/>
            <w:tcBorders>
              <w:right w:val="single" w:sz="8" w:color="auto"/>
            </w:tcBorders>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601,168(1)</w:t>
            </w: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1,083,333 (2)</w:t>
            </w:r>
          </w:p>
        </w:tc>
        <w:tc>
          <w:tcPr>
            <w:tcW w:w="0" w:type="dxa"/>
            <w:vAlign w:val="bottom"/>
          </w:tcPr>
          <w:p>
            <w:pPr>
              <w:spacing w:after="0"/>
              <w:rPr>
                <w:sz w:val="1"/>
                <w:szCs w:val="1"/>
                <w:color w:val="auto"/>
              </w:rPr>
            </w:pPr>
          </w:p>
        </w:tc>
      </w:tr>
      <w:tr>
        <w:trPr>
          <w:trHeight w:val="126"/>
        </w:trPr>
        <w:tc>
          <w:tcPr>
            <w:tcW w:w="316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by Shareholders</w:t>
            </w:r>
          </w:p>
        </w:tc>
        <w:tc>
          <w:tcPr>
            <w:tcW w:w="280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6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316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80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601,168 (1)</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1,083,333 (2)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382,286 shares of performance stock that may be issued as of June 30, 2023 and 155,366 shares of performance stock that may be issued as of June 30, 2024 under the Twin Disc, Incorporated 2018 Long-Term Incentive Compensation Plan, assuming the maximum performance goals are achieved. As of June 30, 2022, the Corporation believes that it is likely that the performance goals for the awards that may be issued as of June 30, 2023 and June 30, 2024 will be achieved at or near target. Also includes 3,633 restricted stock units that vested on September 1, 2022, 58,040 restricted stock units that are scheduled to vest on June 30, 2024 and 1,843 restricted stock units scheduled to vest on October 18, 2023 issued under the Twin Disc, Incorporated 2018 Long-Term Incentive Compensation Plan.</w:t>
      </w:r>
    </w:p>
    <w:p>
      <w:pPr>
        <w:spacing w:after="0" w:line="187" w:lineRule="exact"/>
        <w:rPr>
          <w:sz w:val="20"/>
          <w:szCs w:val="20"/>
          <w:color w:val="auto"/>
        </w:rPr>
      </w:pPr>
    </w:p>
    <w:p>
      <w:pPr>
        <w:ind w:left="340" w:right="16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612,981 shares of the Corporation’s common stock issuable under the Twin Disc, Incorporated 2020 Stock Incentive Plan for Non-Employee Directors and 470,352 shares issuable under the Twin Disc, Incorporated Long Term Incentive Compensation Plan. Assumes that outstanding performance stock awards under the Twin Disc, Incorporated 2021 Long-Term Incentive Compensation Plan will be issued at maximum, which may not reflect the most probable outcome.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such securities. To our knowledge, based solely on a review of such reports filed with the SEC and written representations that no other reports were required, during fiscal 2022, we believe that all required reports were timely filed, except that, due to administrative error the following forms were filed late:</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3 to report initial ownership of equity securities of the Company by Juliann Larimer, a non-employee director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to report an award of restricted stock on February 7, 2022, to Ms. Larimer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Corporation will bear the cost of the solicitation of proxies. The firm of Georgeson Inc., New York, NY has been retained to assist in solicitation of proxies for the Annual Meeting at a fee not to exceed $10,000 plus expenses.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3319780</wp:posOffset>
            </wp:positionH>
            <wp:positionV relativeFrom="page">
              <wp:posOffset>380365</wp:posOffset>
            </wp:positionV>
            <wp:extent cx="908685"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908685" cy="445770"/>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 xml:space="preserve">If you do not contemplate attending the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TWIN DISC, INCORPORATED 2022 ANNUAL REPORT | PROXY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8872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lvl>
    <w:lvl w:ilvl="1">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lvl w:ilvl="1">
      <w:lvlJc w:val="left"/>
      <w:lvlText w:val="%2."/>
      <w:numFmt w:val="lowerRoman"/>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3"/>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2022-09-08T07:32:55Z</dcterms:created>
  <dcterms:modified xsi:type="dcterms:W3CDTF">2022-09-08T07:32:55Z</dcterms:modified>
</cp:coreProperties>
</file>