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2"/>
          <w:szCs w:val="12"/>
          <w:color w:val="auto"/>
        </w:rPr>
        <w:t>UNITED STATES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Current Report Pursuant to Section 13 or 15(d) of</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Securities Exchange Act of 1934</w:t>
      </w:r>
    </w:p>
    <w:p>
      <w:pPr>
        <w:spacing w:after="0" w:line="27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1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360" w:type="dxa"/>
            <w:vAlign w:val="bottom"/>
            <w:gridSpan w:val="11"/>
          </w:tcPr>
          <w:p>
            <w:pPr>
              <w:jc w:val="center"/>
              <w:ind w:right="3960"/>
              <w:spacing w:after="0"/>
              <w:rPr>
                <w:sz w:val="20"/>
                <w:szCs w:val="20"/>
                <w:color w:val="auto"/>
              </w:rPr>
            </w:pPr>
            <w:r>
              <w:rPr>
                <w:rFonts w:ascii="Times New Roman" w:cs="Times New Roman" w:eastAsia="Times New Roman" w:hAnsi="Times New Roman"/>
                <w:sz w:val="12"/>
                <w:szCs w:val="12"/>
                <w:color w:val="auto"/>
                <w:w w:val="99"/>
              </w:rPr>
              <w:t xml:space="preserve">Date of Report (Date of Earliest Event Reported) </w:t>
            </w:r>
            <w:r>
              <w:rPr>
                <w:rFonts w:ascii="Times New Roman" w:cs="Times New Roman" w:eastAsia="Times New Roman" w:hAnsi="Times New Roman"/>
                <w:sz w:val="12"/>
                <w:szCs w:val="12"/>
                <w:b w:val="1"/>
                <w:bCs w:val="1"/>
                <w:color w:val="auto"/>
                <w:w w:val="99"/>
              </w:rPr>
              <w:t>May 6, 2026</w:t>
            </w:r>
          </w:p>
        </w:tc>
      </w:tr>
      <w:tr>
        <w:trPr>
          <w:trHeight w:val="439"/>
        </w:trPr>
        <w:tc>
          <w:tcPr>
            <w:tcW w:w="1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80" w:type="dxa"/>
            <w:vAlign w:val="bottom"/>
            <w:gridSpan w:val="4"/>
          </w:tcPr>
          <w:p>
            <w:pPr>
              <w:jc w:val="center"/>
              <w:ind w:left="760"/>
              <w:spacing w:after="0"/>
              <w:rPr>
                <w:sz w:val="20"/>
                <w:szCs w:val="20"/>
                <w:color w:val="auto"/>
              </w:rPr>
            </w:pPr>
            <w:r>
              <w:rPr>
                <w:rFonts w:ascii="Times New Roman" w:cs="Times New Roman" w:eastAsia="Times New Roman" w:hAnsi="Times New Roman"/>
                <w:sz w:val="12"/>
                <w:szCs w:val="12"/>
                <w:color w:val="auto"/>
                <w:w w:val="99"/>
              </w:rPr>
              <w:t>TWIN DISC, INCORPORATED</w:t>
            </w: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88"/>
        </w:trPr>
        <w:tc>
          <w:tcPr>
            <w:tcW w:w="1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360" w:type="dxa"/>
            <w:vAlign w:val="bottom"/>
            <w:gridSpan w:val="11"/>
          </w:tcPr>
          <w:p>
            <w:pPr>
              <w:jc w:val="center"/>
              <w:ind w:right="396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r>
      <w:tr>
        <w:trPr>
          <w:trHeight w:val="405"/>
        </w:trPr>
        <w:tc>
          <w:tcPr>
            <w:tcW w:w="1900" w:type="dxa"/>
            <w:vAlign w:val="bottom"/>
          </w:tcPr>
          <w:p>
            <w:pPr>
              <w:spacing w:after="0"/>
              <w:rPr>
                <w:sz w:val="24"/>
                <w:szCs w:val="24"/>
                <w:color w:val="auto"/>
              </w:rPr>
            </w:pPr>
          </w:p>
        </w:tc>
        <w:tc>
          <w:tcPr>
            <w:tcW w:w="150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9"/>
              </w:rPr>
              <w:t>WISCONSIN</w:t>
            </w:r>
          </w:p>
        </w:tc>
        <w:tc>
          <w:tcPr>
            <w:tcW w:w="3120" w:type="dxa"/>
            <w:vAlign w:val="bottom"/>
            <w:gridSpan w:val="5"/>
          </w:tcPr>
          <w:p>
            <w:pPr>
              <w:jc w:val="center"/>
              <w:ind w:left="1320"/>
              <w:spacing w:after="0"/>
              <w:rPr>
                <w:sz w:val="20"/>
                <w:szCs w:val="20"/>
                <w:color w:val="auto"/>
              </w:rPr>
            </w:pPr>
            <w:r>
              <w:rPr>
                <w:rFonts w:ascii="Times New Roman" w:cs="Times New Roman" w:eastAsia="Times New Roman" w:hAnsi="Times New Roman"/>
                <w:sz w:val="12"/>
                <w:szCs w:val="12"/>
                <w:b w:val="1"/>
                <w:bCs w:val="1"/>
                <w:color w:val="auto"/>
                <w:w w:val="99"/>
              </w:rPr>
              <w:t>001-7635</w:t>
            </w:r>
          </w:p>
        </w:tc>
        <w:tc>
          <w:tcPr>
            <w:tcW w:w="120" w:type="dxa"/>
            <w:vAlign w:val="bottom"/>
          </w:tcPr>
          <w:p>
            <w:pPr>
              <w:spacing w:after="0"/>
              <w:rPr>
                <w:sz w:val="24"/>
                <w:szCs w:val="24"/>
                <w:color w:val="auto"/>
              </w:rPr>
            </w:pPr>
          </w:p>
        </w:tc>
        <w:tc>
          <w:tcPr>
            <w:tcW w:w="4660" w:type="dxa"/>
            <w:vAlign w:val="bottom"/>
            <w:gridSpan w:val="6"/>
          </w:tcPr>
          <w:p>
            <w:pPr>
              <w:jc w:val="center"/>
              <w:ind w:left="80"/>
              <w:spacing w:after="0"/>
              <w:rPr>
                <w:sz w:val="20"/>
                <w:szCs w:val="20"/>
                <w:color w:val="auto"/>
              </w:rPr>
            </w:pPr>
            <w:r>
              <w:rPr>
                <w:rFonts w:ascii="Times New Roman" w:cs="Times New Roman" w:eastAsia="Times New Roman" w:hAnsi="Times New Roman"/>
                <w:sz w:val="12"/>
                <w:szCs w:val="12"/>
                <w:b w:val="1"/>
                <w:bCs w:val="1"/>
                <w:color w:val="auto"/>
                <w:w w:val="96"/>
              </w:rPr>
              <w:t>39-0667110</w:t>
            </w:r>
          </w:p>
        </w:tc>
      </w:tr>
      <w:tr>
        <w:trPr>
          <w:trHeight w:val="20"/>
        </w:trPr>
        <w:tc>
          <w:tcPr>
            <w:tcW w:w="1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84"/>
        </w:trPr>
        <w:tc>
          <w:tcPr>
            <w:tcW w:w="3400" w:type="dxa"/>
            <w:vAlign w:val="bottom"/>
            <w:gridSpan w:val="3"/>
          </w:tcPr>
          <w:p>
            <w:pPr>
              <w:jc w:val="center"/>
              <w:ind w:left="1040"/>
              <w:spacing w:after="0"/>
              <w:rPr>
                <w:sz w:val="20"/>
                <w:szCs w:val="20"/>
                <w:color w:val="auto"/>
              </w:rPr>
            </w:pPr>
            <w:r>
              <w:rPr>
                <w:rFonts w:ascii="Times New Roman" w:cs="Times New Roman" w:eastAsia="Times New Roman" w:hAnsi="Times New Roman"/>
                <w:sz w:val="12"/>
                <w:szCs w:val="12"/>
                <w:color w:val="auto"/>
                <w:w w:val="99"/>
              </w:rPr>
              <w:t>(State or other jurisdiction</w:t>
            </w:r>
          </w:p>
        </w:tc>
        <w:tc>
          <w:tcPr>
            <w:tcW w:w="540" w:type="dxa"/>
            <w:vAlign w:val="bottom"/>
          </w:tcPr>
          <w:p>
            <w:pPr>
              <w:spacing w:after="0"/>
              <w:rPr>
                <w:sz w:val="24"/>
                <w:szCs w:val="24"/>
                <w:color w:val="auto"/>
              </w:rPr>
            </w:pPr>
          </w:p>
        </w:tc>
        <w:tc>
          <w:tcPr>
            <w:tcW w:w="2700" w:type="dxa"/>
            <w:vAlign w:val="bottom"/>
            <w:gridSpan w:val="5"/>
          </w:tcPr>
          <w:p>
            <w:pPr>
              <w:jc w:val="center"/>
              <w:ind w:left="660"/>
              <w:spacing w:after="0"/>
              <w:rPr>
                <w:sz w:val="20"/>
                <w:szCs w:val="20"/>
                <w:color w:val="auto"/>
              </w:rPr>
            </w:pPr>
            <w:r>
              <w:rPr>
                <w:rFonts w:ascii="Times New Roman" w:cs="Times New Roman" w:eastAsia="Times New Roman" w:hAnsi="Times New Roman"/>
                <w:sz w:val="12"/>
                <w:szCs w:val="12"/>
                <w:color w:val="auto"/>
              </w:rPr>
              <w:t>(Commission</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00" w:type="dxa"/>
            <w:vAlign w:val="bottom"/>
            <w:gridSpan w:val="3"/>
          </w:tcPr>
          <w:p>
            <w:pPr>
              <w:jc w:val="center"/>
              <w:ind w:right="620"/>
              <w:spacing w:after="0"/>
              <w:rPr>
                <w:sz w:val="20"/>
                <w:szCs w:val="20"/>
                <w:color w:val="auto"/>
              </w:rPr>
            </w:pPr>
            <w:r>
              <w:rPr>
                <w:rFonts w:ascii="Times New Roman" w:cs="Times New Roman" w:eastAsia="Times New Roman" w:hAnsi="Times New Roman"/>
                <w:sz w:val="12"/>
                <w:szCs w:val="12"/>
                <w:color w:val="auto"/>
                <w:w w:val="98"/>
              </w:rPr>
              <w:t>(IRS Employer</w:t>
            </w:r>
          </w:p>
        </w:tc>
      </w:tr>
      <w:tr>
        <w:trPr>
          <w:trHeight w:val="155"/>
        </w:trPr>
        <w:tc>
          <w:tcPr>
            <w:tcW w:w="3400" w:type="dxa"/>
            <w:vAlign w:val="bottom"/>
            <w:gridSpan w:val="3"/>
          </w:tcPr>
          <w:p>
            <w:pPr>
              <w:jc w:val="center"/>
              <w:ind w:left="1040"/>
              <w:spacing w:after="0"/>
              <w:rPr>
                <w:sz w:val="20"/>
                <w:szCs w:val="20"/>
                <w:color w:val="auto"/>
              </w:rPr>
            </w:pPr>
            <w:r>
              <w:rPr>
                <w:rFonts w:ascii="Times New Roman" w:cs="Times New Roman" w:eastAsia="Times New Roman" w:hAnsi="Times New Roman"/>
                <w:sz w:val="12"/>
                <w:szCs w:val="12"/>
                <w:color w:val="auto"/>
              </w:rPr>
              <w:t>of incorporation)</w:t>
            </w:r>
          </w:p>
        </w:tc>
        <w:tc>
          <w:tcPr>
            <w:tcW w:w="540" w:type="dxa"/>
            <w:vAlign w:val="bottom"/>
          </w:tcPr>
          <w:p>
            <w:pPr>
              <w:spacing w:after="0"/>
              <w:rPr>
                <w:sz w:val="13"/>
                <w:szCs w:val="13"/>
                <w:color w:val="auto"/>
              </w:rPr>
            </w:pPr>
          </w:p>
        </w:tc>
        <w:tc>
          <w:tcPr>
            <w:tcW w:w="2700" w:type="dxa"/>
            <w:vAlign w:val="bottom"/>
            <w:gridSpan w:val="5"/>
          </w:tcPr>
          <w:p>
            <w:pPr>
              <w:jc w:val="center"/>
              <w:ind w:left="660"/>
              <w:spacing w:after="0"/>
              <w:rPr>
                <w:sz w:val="20"/>
                <w:szCs w:val="20"/>
                <w:color w:val="auto"/>
              </w:rPr>
            </w:pPr>
            <w:r>
              <w:rPr>
                <w:rFonts w:ascii="Times New Roman" w:cs="Times New Roman" w:eastAsia="Times New Roman" w:hAnsi="Times New Roman"/>
                <w:sz w:val="12"/>
                <w:szCs w:val="12"/>
                <w:color w:val="auto"/>
              </w:rPr>
              <w:t>File Number)</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900" w:type="dxa"/>
            <w:vAlign w:val="bottom"/>
            <w:gridSpan w:val="3"/>
          </w:tcPr>
          <w:p>
            <w:pPr>
              <w:jc w:val="center"/>
              <w:ind w:right="620"/>
              <w:spacing w:after="0"/>
              <w:rPr>
                <w:sz w:val="20"/>
                <w:szCs w:val="20"/>
                <w:color w:val="auto"/>
              </w:rPr>
            </w:pPr>
            <w:r>
              <w:rPr>
                <w:rFonts w:ascii="Times New Roman" w:cs="Times New Roman" w:eastAsia="Times New Roman" w:hAnsi="Times New Roman"/>
                <w:sz w:val="12"/>
                <w:szCs w:val="12"/>
                <w:color w:val="auto"/>
                <w:w w:val="98"/>
              </w:rPr>
              <w:t>Identification No.)</w:t>
            </w:r>
          </w:p>
        </w:tc>
      </w:tr>
      <w:tr>
        <w:trPr>
          <w:trHeight w:val="405"/>
        </w:trPr>
        <w:tc>
          <w:tcPr>
            <w:tcW w:w="1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w w:val="99"/>
              </w:rPr>
              <w:t>222 East Erie Street, Suite 400</w:t>
            </w:r>
          </w:p>
        </w:tc>
        <w:tc>
          <w:tcPr>
            <w:tcW w:w="380" w:type="dxa"/>
            <w:vAlign w:val="bottom"/>
          </w:tcPr>
          <w:p>
            <w:pPr>
              <w:spacing w:after="0"/>
              <w:rPr>
                <w:sz w:val="24"/>
                <w:szCs w:val="24"/>
                <w:color w:val="auto"/>
              </w:rPr>
            </w:pPr>
          </w:p>
        </w:tc>
        <w:tc>
          <w:tcPr>
            <w:tcW w:w="14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2"/>
                <w:szCs w:val="12"/>
                <w:b w:val="1"/>
                <w:bCs w:val="1"/>
                <w:color w:val="auto"/>
                <w:w w:val="97"/>
              </w:rPr>
              <w:t>Milwaukee, Wisconsin 53202</w:t>
            </w:r>
          </w:p>
        </w:tc>
        <w:tc>
          <w:tcPr>
            <w:tcW w:w="3960" w:type="dxa"/>
            <w:vAlign w:val="bottom"/>
            <w:gridSpan w:val="4"/>
          </w:tcPr>
          <w:p>
            <w:pPr>
              <w:spacing w:after="0"/>
              <w:rPr>
                <w:sz w:val="24"/>
                <w:szCs w:val="24"/>
                <w:color w:val="auto"/>
              </w:rPr>
            </w:pPr>
          </w:p>
        </w:tc>
      </w:tr>
      <w:tr>
        <w:trPr>
          <w:trHeight w:val="295"/>
        </w:trPr>
        <w:tc>
          <w:tcPr>
            <w:tcW w:w="1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00" w:type="dxa"/>
            <w:vAlign w:val="bottom"/>
            <w:gridSpan w:val="5"/>
          </w:tcPr>
          <w:p>
            <w:pPr>
              <w:jc w:val="center"/>
              <w:ind w:left="66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61"/>
        </w:trPr>
        <w:tc>
          <w:tcPr>
            <w:tcW w:w="1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40" w:type="dxa"/>
            <w:vAlign w:val="bottom"/>
            <w:gridSpan w:val="6"/>
          </w:tcPr>
          <w:p>
            <w:pPr>
              <w:ind w:left="50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(262) 638-4000</w:t>
            </w:r>
          </w:p>
        </w:tc>
        <w:tc>
          <w:tcPr>
            <w:tcW w:w="1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187"/>
        </w:trPr>
        <w:tc>
          <w:tcPr>
            <w:tcW w:w="19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r>
    </w:tbl>
    <w:p>
      <w:pPr>
        <w:spacing w:after="0" w:line="16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20" w:hanging="208"/>
        <w:spacing w:after="0"/>
        <w:tabs>
          <w:tab w:leader="none" w:pos="2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20" w:hanging="208"/>
        <w:spacing w:after="0"/>
        <w:tabs>
          <w:tab w:leader="none" w:pos="2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20" w:hanging="208"/>
        <w:spacing w:after="0"/>
        <w:tabs>
          <w:tab w:leader="none" w:pos="2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0" w:right="5740" w:hanging="8"/>
        <w:spacing w:after="0" w:line="505" w:lineRule="auto"/>
        <w:tabs>
          <w:tab w:leader="none" w:pos="236"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54"/>
        </w:trPr>
        <w:tc>
          <w:tcPr>
            <w:tcW w:w="4560" w:type="dxa"/>
            <w:vAlign w:val="bottom"/>
            <w:tcBorders>
              <w:top w:val="single" w:sz="8" w:color="auto"/>
              <w:left w:val="single" w:sz="8" w:color="auto"/>
              <w:bottom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color w:val="auto"/>
                <w:w w:val="98"/>
              </w:rPr>
              <w:t>Title of each class</w:t>
            </w:r>
          </w:p>
        </w:tc>
        <w:tc>
          <w:tcPr>
            <w:tcW w:w="2240" w:type="dxa"/>
            <w:vAlign w:val="bottom"/>
            <w:tcBorders>
              <w:top w:val="single" w:sz="8" w:color="auto"/>
              <w:bottom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color w:val="auto"/>
                <w:w w:val="98"/>
              </w:rPr>
              <w:t>Trading Symbol(s)</w:t>
            </w:r>
          </w:p>
        </w:tc>
        <w:tc>
          <w:tcPr>
            <w:tcW w:w="4520" w:type="dxa"/>
            <w:vAlign w:val="bottom"/>
            <w:tcBorders>
              <w:top w:val="single" w:sz="8" w:color="auto"/>
              <w:bottom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18"/>
        </w:trPr>
        <w:tc>
          <w:tcPr>
            <w:tcW w:w="4560" w:type="dxa"/>
            <w:vAlign w:val="bottom"/>
            <w:tcBorders>
              <w:left w:val="single" w:sz="8" w:color="auto"/>
              <w:bottom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2"/>
                <w:szCs w:val="12"/>
                <w:color w:val="auto"/>
                <w:w w:val="99"/>
              </w:rPr>
              <w:t>Common Stock (No Par Value)</w:t>
            </w:r>
          </w:p>
        </w:tc>
        <w:tc>
          <w:tcPr>
            <w:tcW w:w="2240" w:type="dxa"/>
            <w:vAlign w:val="bottom"/>
            <w:tcBorders>
              <w:bottom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2"/>
                <w:szCs w:val="12"/>
                <w:color w:val="auto"/>
              </w:rPr>
              <w:t>TWIN</w:t>
            </w:r>
          </w:p>
        </w:tc>
        <w:tc>
          <w:tcPr>
            <w:tcW w:w="4520" w:type="dxa"/>
            <w:vAlign w:val="bottom"/>
            <w:tcBorders>
              <w:bottom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133" w:lineRule="exact"/>
        <w:rPr>
          <w:sz w:val="24"/>
          <w:szCs w:val="24"/>
          <w:color w:val="auto"/>
        </w:rPr>
      </w:pPr>
    </w:p>
    <w:p>
      <w:pPr>
        <w:ind w:left="20"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95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20" w:right="100"/>
        <w:spacing w:after="0" w:line="257" w:lineRule="auto"/>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10900"/>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257175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20"/>
          </w:cols>
          <w:pgMar w:left="280" w:top="345" w:right="299" w:bottom="1440" w:gutter="0" w:footer="0" w:header="0"/>
        </w:sectPr>
      </w:pPr>
    </w:p>
    <w:bookmarkStart w:id="1" w:name="page2"/>
    <w:bookmarkEnd w:id="1"/>
    <w:p>
      <w:pPr>
        <w:spacing w:after="0"/>
        <w:tabs>
          <w:tab w:leader="none" w:pos="72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2"/>
          <w:szCs w:val="12"/>
          <w:b w:val="1"/>
          <w:bCs w:val="1"/>
          <w:color w:val="auto"/>
        </w:rPr>
        <w:t>Regulation FD Disclosure</w:t>
      </w:r>
    </w:p>
    <w:p>
      <w:pPr>
        <w:spacing w:after="0" w:line="154"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2"/>
          <w:szCs w:val="12"/>
          <w:color w:val="auto"/>
        </w:rPr>
        <w:t xml:space="preserve">The executive officers of Twin Disc intend to present materials at meetings with investors and analysts and at investor conferences on or after May 6, 2026. A copy of the presentation materials to be used at those meetings and from time to time thereafter is filed as Exhibit 99.1 hereto. The presentation materials will also be posted on the Company’s website, </w:t>
      </w:r>
      <w:r>
        <w:rPr>
          <w:rFonts w:ascii="Times New Roman" w:cs="Times New Roman" w:eastAsia="Times New Roman" w:hAnsi="Times New Roman"/>
          <w:sz w:val="12"/>
          <w:szCs w:val="12"/>
          <w:u w:val="single" w:color="auto"/>
          <w:color w:val="auto"/>
        </w:rPr>
        <w:t>www.twindisc.com</w:t>
      </w:r>
      <w:r>
        <w:rPr>
          <w:rFonts w:ascii="Times New Roman" w:cs="Times New Roman" w:eastAsia="Times New Roman" w:hAnsi="Times New Roman"/>
          <w:sz w:val="12"/>
          <w:szCs w:val="12"/>
          <w:color w:val="auto"/>
        </w:rPr>
        <w:t xml:space="preserve"> The Company does not intend to file any update of these presentation materials. The fact that these presentation materials are being furnished should not be deemed an admission as to the materiality of any information contained in the materials.</w:t>
      </w:r>
    </w:p>
    <w:p>
      <w:pPr>
        <w:spacing w:after="0" w:line="119"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2"/>
          <w:szCs w:val="12"/>
          <w:color w:val="auto"/>
        </w:rPr>
        <w:t>The information included in the presentation includes financial information determined by methods other than in accordance with accounting principles generally accepted in the United States of America (“GAAP”). The Company’s management uses these non-GAAP measures in its analysis of the Company’s performance. The Company believes that the presentation of certain non-GAAP measures provides useful supplemental information that is essential to a proper understanding of the operating results of the Company’s core businesses. These non-GAAP disclosures should not be viewed as a substitute for operating results determined in accordance with GAAP, nor are they necessarily comparable to non-GAAP performance measures that may be presented by other companies.</w:t>
      </w:r>
    </w:p>
    <w:p>
      <w:pPr>
        <w:spacing w:after="0" w:line="12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information in this Form 8-K being furnished under Item 7.01 shall not be deemed to be “filed” for the purposes of Section 18 of the Securities and Exchange Act of 1934 (the “Exchange Act”), or otherwise subject to the liabilities of such section, nor shall such information be deemed incorporated by reference in any filing under the Securities Act of 1933 or the Exchange Act, except as shall be expressly set forth by specific reference in such a filing.</w:t>
      </w:r>
    </w:p>
    <w:p>
      <w:pPr>
        <w:spacing w:after="0" w:line="1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The presentation contains forward-looking statements within the meaning of the Private Securities Litigation Reform Act of 1995. The words “believes,” “expects,” “intends,” “plans,” “anticipates,” “hopes,” “likely,” “will,” and similar expressions identify such forward-looking statements. These statements are based on the Company’s expectations and involve risks, uncertainties and other important factors that could cause the actual results performance or achievements of the Company (or entities in which the Company has interests), or industry results, to differ materially from future results, performance or achievements expressed or implied by such forward-looking statements. Certain factors that could cause the Company’s actual future results to differ materially from those discussed are noted in connection with such statements, but other unanticipated factors could arise. Certain risks regarding the Company’s forward-looking statements are discussed in the Company’s filings with the Securities and Exchange Commission, including an extensive discussion of these risks in the Company’s Annual Report on Form 10-K for the year ended June 30, 2025. Readers are cautioned not to place undue reliance on these forward-looking statements which reflect management’s view only as of the date of this Form 8-K. The Company undertakes no obligation to publicly release any revisions to these forward-looking statements to reflect events or circumstances after the date hereof or to reflect the occurrence of unanticipated events, conditions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235585</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431" w:right="319" w:bottom="1440" w:gutter="0" w:footer="0" w:header="0"/>
        </w:sectPr>
      </w:pPr>
    </w:p>
    <w:bookmarkStart w:id="2" w:name="page3"/>
    <w:bookmarkEnd w:id="2"/>
    <w:p>
      <w:pPr>
        <w:spacing w:after="0"/>
        <w:tabs>
          <w:tab w:leader="none" w:pos="72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2"/>
          <w:szCs w:val="12"/>
          <w:b w:val="1"/>
          <w:bCs w:val="1"/>
          <w:color w:val="auto"/>
        </w:rPr>
        <w:t>Financial Statements and Exhibits.</w:t>
      </w:r>
    </w:p>
    <w:p>
      <w:pPr>
        <w:spacing w:after="0" w:line="154" w:lineRule="exact"/>
        <w:rPr>
          <w:sz w:val="20"/>
          <w:szCs w:val="20"/>
          <w:color w:val="auto"/>
        </w:rPr>
      </w:pPr>
    </w:p>
    <w:p>
      <w:pPr>
        <w:ind w:left="500" w:hanging="400"/>
        <w:spacing w:after="0"/>
        <w:tabs>
          <w:tab w:leader="none" w:pos="50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60" w:type="dxa"/>
            <w:vAlign w:val="bottom"/>
          </w:tcPr>
          <w:p>
            <w:pPr>
              <w:spacing w:after="0"/>
              <w:rPr>
                <w:sz w:val="20"/>
                <w:szCs w:val="20"/>
                <w:color w:val="auto"/>
              </w:rPr>
            </w:pPr>
            <w:r>
              <w:rPr>
                <w:rFonts w:ascii="Times New Roman" w:cs="Times New Roman" w:eastAsia="Times New Roman" w:hAnsi="Times New Roman"/>
                <w:sz w:val="12"/>
                <w:szCs w:val="12"/>
                <w:color w:val="auto"/>
              </w:rPr>
              <w:t>EXHIBIT NUMBER</w:t>
            </w:r>
          </w:p>
        </w:tc>
        <w:tc>
          <w:tcPr>
            <w:tcW w:w="3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61"/>
        </w:trPr>
        <w:tc>
          <w:tcPr>
            <w:tcW w:w="14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386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Presentation Materials</w:t>
            </w:r>
          </w:p>
        </w:tc>
      </w:tr>
      <w:tr>
        <w:trPr>
          <w:trHeight w:val="20"/>
        </w:trPr>
        <w:tc>
          <w:tcPr>
            <w:tcW w:w="14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95"/>
        </w:trPr>
        <w:tc>
          <w:tcPr>
            <w:tcW w:w="14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386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9"/>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the registrant has duly caused this report to be signed on its behalf by the undersigned hereunto duly authorized.</w:t>
      </w:r>
    </w:p>
    <w:p>
      <w:pPr>
        <w:spacing w:after="0" w:line="294"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2"/>
          <w:szCs w:val="12"/>
          <w:color w:val="auto"/>
        </w:rPr>
        <w:t>Date: May 6, 2026</w:t>
      </w:r>
      <w:r>
        <w:rPr>
          <w:sz w:val="20"/>
          <w:szCs w:val="20"/>
          <w:color w:val="auto"/>
        </w:rPr>
        <w:tab/>
      </w:r>
      <w:r>
        <w:rPr>
          <w:rFonts w:ascii="Times New Roman" w:cs="Times New Roman" w:eastAsia="Times New Roman" w:hAnsi="Times New Roman"/>
          <w:sz w:val="11"/>
          <w:szCs w:val="11"/>
          <w:color w:val="auto"/>
        </w:rPr>
        <w:t>Twin Disc, Incorporated</w:t>
      </w:r>
    </w:p>
    <w:p>
      <w:pPr>
        <w:spacing w:after="0" w:line="1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2"/>
          <w:szCs w:val="12"/>
          <w:color w:val="auto"/>
        </w:rPr>
        <w:t>/s/ Jeffrey S. Knutson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10795</wp:posOffset>
            </wp:positionV>
            <wp:extent cx="27260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2"/>
          <w:szCs w:val="12"/>
          <w:color w:val="auto"/>
        </w:rPr>
        <w:t>Jeffrey S. Knutson</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Vice President-Finance, Chief Financial</w:t>
      </w:r>
    </w:p>
    <w:p>
      <w:pPr>
        <w:spacing w:after="0" w:line="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Officer, Treasurer &amp; Secretary</w:t>
      </w:r>
    </w:p>
    <w:p>
      <w:pPr>
        <w:sectPr>
          <w:pgSz w:w="11900" w:h="16838" w:orient="portrait"/>
          <w:cols w:equalWidth="0" w:num="1">
            <w:col w:w="10220"/>
          </w:cols>
          <w:pgMar w:left="300" w:top="431" w:right="1379" w:bottom="1440" w:gutter="0" w:footer="0" w:header="0"/>
        </w:sectPr>
      </w:pPr>
    </w:p>
    <w:bookmarkStart w:id="3" w:name="page4"/>
    <w:bookmarkEnd w:id="3"/>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294640</wp:posOffset>
            </wp:positionV>
            <wp:extent cx="7218680" cy="4274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66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366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114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2026-05-06T07:32:15Z</dcterms:created>
  <dcterms:modified xsi:type="dcterms:W3CDTF">2026-05-06T07:32:15Z</dcterms:modified>
</cp:coreProperties>
</file>