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1)</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Section 240.14a-2.</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Twin Disc, Incorporated</w:t>
      </w:r>
    </w:p>
    <w:p>
      <w:pPr>
        <w:spacing w:after="0" w:line="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0" w:lineRule="exact"/>
        <w:rPr>
          <w:sz w:val="24"/>
          <w:szCs w:val="24"/>
          <w:color w:val="auto"/>
        </w:rPr>
      </w:pPr>
    </w:p>
    <w:p>
      <w:pPr>
        <w:spacing w:after="0" w:line="228"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3260090</wp:posOffset>
            </wp:positionH>
            <wp:positionV relativeFrom="page">
              <wp:posOffset>88900</wp:posOffset>
            </wp:positionV>
            <wp:extent cx="102870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28625"/>
                    </a:xfrm>
                    <a:prstGeom prst="rect">
                      <a:avLst/>
                    </a:prstGeom>
                    <a:noFill/>
                  </pic:spPr>
                </pic:pic>
              </a:graphicData>
            </a:graphic>
          </wp:anchor>
        </w:drawing>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150495</wp:posOffset>
            </wp:positionV>
            <wp:extent cx="1722755"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222 East Erie Street, Suite 400, Milwaukee, Wisconsin 53202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TO THE PROXY STATEMENT FOR THE ANNUAL MEETING OF SHAREHOLDERS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Amendment (“Amendment”) amends the definitive proxy statement filed on September 13, 2024 (the “Proxy Statement”) of Twin Disc, Incorporated (“Twin Disc”) in connection with its Annual Meeting of Shareholders to be held on October 31, 2024 at 2:00 p.m. Central Time (the “Annual Meeting”). This Amendment modifies certain disclosures in the Proxy Statement related to the effect of abstentions on certain proposals set forth in the Proxy Statement and clarifies that an abstention will have no effect on the outcome of Proposals 2, 3, and 4. This Amendment should be read in conjunction with the Proxy Statement. Except as specifically amended herein, all information in the Proxy Statement remains unchanged.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the Proxy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text under the caption “Votes Required for Proposals and How Votes Will be Counted” is hereby revised in its entirety to read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PROPOSALS AND HOW VOTES WILL BE COUNTED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the advisory vote on the compensation of the Corporation’s Named Executive Officers (Proposal No. 2), votes may be cast “For” or “Against,” or a shareholder may abstain from casting a vote. Votes “For” must exceed votes “Against” in order for the resolution on compensation of the Named Executive Officers to be considered approved by the shareholders. Abstentions and broker non-votes, as defined below, will not be counted as votes cast in connection with this proposal, and will have no effect on the outcome of the approval of this proposal. This vote is not binding on the Corporation. The Compensation and Human Capital Committee of the Board of Directors will take the results of the vote into consideration in addressing future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 w:name="page3"/>
    <w:bookmarkEnd w:id="2"/>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3260090</wp:posOffset>
            </wp:positionH>
            <wp:positionV relativeFrom="page">
              <wp:posOffset>88900</wp:posOffset>
            </wp:positionV>
            <wp:extent cx="102870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28625"/>
                    </a:xfrm>
                    <a:prstGeom prst="rect">
                      <a:avLst/>
                    </a:prstGeom>
                    <a:noFill/>
                  </pic:spPr>
                </pic:pic>
              </a:graphicData>
            </a:graphic>
          </wp:anchor>
        </w:drawing>
        <w:t>With respect to approval of the Twin Disc, Incorporated Amended and Restated 2021 Omnibus Incentive Plan (“the Plan”) (Proposal No. 3), votes may be cast “For” or “Against,” or a shareholder may abstain from casting a vote. The affirmative vote of a majority of votes cast at the annual meeting (assuming a quorum is present) shall be required for the approval of the Plan. Abstentions and broker non-votes, as defined below, will not be counted as votes cast in connection with this proposal, and will have no effect on the outcome of the approval of the Plan.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respect to the ratification of the appointment of independent auditors (Proposal No. 4), votes may be cast “For” or “Against,” or a shareholder may abstain from casting a vote. Abstentions will not be counted as votes cast in connection with this proposal, and will have no effect on the outcome of the approval of this proposal.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Abstentions may be specified on all proposals submitted to shareholders, other than for the election of Directors. In accordance with Wisconsin law and the Corporation’s Restated Bylaws, abstentions will be counted for purposes of determining the presence or absence of a quorum for the transaction of business at the Annual Meeting, but will not be counted as votes cast with respect to any of the proposals.</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Brokers and other nominees may vote on the ratification of the appointment of RSM US LLP as our independent auditors for the fiscal year ending June 30, 2025 (Proposal No. 4) without specific instructions from beneficial owners. Therefore, no broker non-votes are expected to exist in connection with this proposal. However, brokers or other nominees may not vote on the election of Directors (Proposal No. 1), the advisory vote on Named Executive Officer compensation (Proposal No. 2) or the approval of the Twin Disc, Incorporated Amended and Restated 2021 Omnibus Incentive Plan (Proposal No. 3), without specific instructions from the beneficial owners of the shares. Therefore, an undetermined number of broker non-votes may occur on Proposals No. 1, 2 and 3.</w:t>
      </w:r>
    </w:p>
    <w:sectPr>
      <w:pgSz w:w="11900" w:h="16838" w:orient="portrait"/>
      <w:cols w:equalWidth="0" w:num="1">
        <w:col w:w="11220"/>
      </w:cols>
      <w:pgMar w:left="320" w:top="10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2024-09-18T07:35:38Z</dcterms:created>
  <dcterms:modified xsi:type="dcterms:W3CDTF">2024-09-18T07:35:38Z</dcterms:modified>
</cp:coreProperties>
</file>