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6, 2026</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TWIN DISC, INCORPORATED</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5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001-7635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268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39-0667110</w:t>
            </w:r>
          </w:p>
        </w:tc>
      </w:tr>
      <w:tr>
        <w:trPr>
          <w:trHeight w:val="20"/>
        </w:trPr>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4"/>
        </w:trPr>
        <w:tc>
          <w:tcPr>
            <w:tcW w:w="37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rPr>
              <w:t>(Commission</w:t>
            </w:r>
          </w:p>
        </w:tc>
        <w:tc>
          <w:tcPr>
            <w:tcW w:w="1180" w:type="dxa"/>
            <w:vAlign w:val="bottom"/>
          </w:tcPr>
          <w:p>
            <w:pPr>
              <w:spacing w:after="0"/>
              <w:rPr>
                <w:sz w:val="24"/>
                <w:szCs w:val="24"/>
                <w:color w:val="auto"/>
              </w:rPr>
            </w:pPr>
          </w:p>
        </w:tc>
        <w:tc>
          <w:tcPr>
            <w:tcW w:w="294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7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rPr>
              <w:t>File Number)</w:t>
            </w:r>
          </w:p>
        </w:tc>
        <w:tc>
          <w:tcPr>
            <w:tcW w:w="1180" w:type="dxa"/>
            <w:vAlign w:val="bottom"/>
          </w:tcPr>
          <w:p>
            <w:pPr>
              <w:spacing w:after="0"/>
              <w:rPr>
                <w:sz w:val="20"/>
                <w:szCs w:val="20"/>
                <w:color w:val="auto"/>
              </w:rPr>
            </w:pPr>
          </w:p>
        </w:tc>
        <w:tc>
          <w:tcPr>
            <w:tcW w:w="29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8"/>
        </w:trPr>
        <w:tc>
          <w:tcPr>
            <w:tcW w:w="29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222 East Erie Street, Suite 400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Milwaukee, Wisconsin 53202</w:t>
            </w:r>
          </w:p>
        </w:tc>
      </w:tr>
      <w:tr>
        <w:trPr>
          <w:trHeight w:val="20"/>
        </w:trPr>
        <w:tc>
          <w:tcPr>
            <w:tcW w:w="2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53"/>
        </w:trPr>
        <w:tc>
          <w:tcPr>
            <w:tcW w:w="2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2"/>
        </w:trPr>
        <w:tc>
          <w:tcPr>
            <w:tcW w:w="2940" w:type="dxa"/>
            <w:vAlign w:val="bottom"/>
          </w:tcPr>
          <w:p>
            <w:pPr>
              <w:spacing w:after="0"/>
              <w:rPr>
                <w:sz w:val="24"/>
                <w:szCs w:val="24"/>
                <w:color w:val="auto"/>
              </w:rPr>
            </w:pPr>
          </w:p>
        </w:tc>
        <w:tc>
          <w:tcPr>
            <w:tcW w:w="41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(262) 638-4000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90"/>
        </w:trPr>
        <w:tc>
          <w:tcPr>
            <w:tcW w:w="2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0" w:type="dxa"/>
        <w:tblCellMar>
          <w:top w:w="0" w:type="dxa"/>
          <w:left w:w="0" w:type="dxa"/>
          <w:bottom w:w="0" w:type="dxa"/>
          <w:right w:w="0" w:type="dxa"/>
        </w:tblCellMar>
      </w:tblPr>
      <w:tr>
        <w:trPr>
          <w:trHeight w:val="196"/>
        </w:trPr>
        <w:tc>
          <w:tcPr>
            <w:tcW w:w="412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Name of each exchange on</w:t>
            </w:r>
          </w:p>
        </w:tc>
      </w:tr>
      <w:tr>
        <w:trPr>
          <w:trHeight w:val="251"/>
        </w:trPr>
        <w:tc>
          <w:tcPr>
            <w:tcW w:w="4120" w:type="dxa"/>
            <w:vAlign w:val="bottom"/>
            <w:tcBorders>
              <w:left w:val="single" w:sz="8" w:color="auto"/>
              <w:bottom w:val="single" w:sz="8" w:color="auto"/>
              <w:right w:val="single" w:sz="8" w:color="auto"/>
            </w:tcBorders>
          </w:tcPr>
          <w:p>
            <w:pPr>
              <w:spacing w:after="0"/>
              <w:rPr>
                <w:sz w:val="21"/>
                <w:szCs w:val="21"/>
                <w:color w:val="auto"/>
              </w:rPr>
            </w:pPr>
          </w:p>
        </w:tc>
        <w:tc>
          <w:tcPr>
            <w:tcW w:w="33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193"/>
        </w:trPr>
        <w:tc>
          <w:tcPr>
            <w:tcW w:w="41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(No Par Value)</w:t>
            </w:r>
          </w:p>
        </w:tc>
        <w:tc>
          <w:tcPr>
            <w:tcW w:w="3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TWIN</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6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Twin Disc, Incorporated (the “Company”) has reported its third quarter 2026 financial results. The Company's press release dated May 6, 2026 announcing the results is attached hereto as Exhibit 99.1 and is incorporated herein in its entirety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2.02 of Form 8-K, including Exhibit 99.1, is furnished pursuant to Item 2.02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spacing w:after="0" w:line="3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 solely for the purposes of this Item 7.01.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of Form 8-K is furnished pursuant to Item 7.01 and shall not be deemed "filed" for the purposes of Section 18 of the Securities Exchange Act of 1934, as amended (the “Exchange Act”), or otherwise subject to the liabilities of that section, nor shall such information be deemed incorporated by reference in any filing under the Securities Act of 1933 or the Exchange Act, except as shall be expressly set forth by specific reference in such a filing.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 are discussed in the Company’s filings with the Securities and Exchange Commission, including an extensive discussion of these risks in the Company’s Annual Report on Form 10-K for the year ended June 30, 2025.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announcing third quarter 2026 financial results.</w:t>
            </w:r>
          </w:p>
        </w:tc>
        <w:tc>
          <w:tcPr>
            <w:tcW w:w="4880" w:type="dxa"/>
            <w:vAlign w:val="bottom"/>
          </w:tcPr>
          <w:p>
            <w:pPr>
              <w:spacing w:after="0"/>
              <w:rPr>
                <w:sz w:val="24"/>
                <w:szCs w:val="24"/>
                <w:color w:val="auto"/>
              </w:rPr>
            </w:pPr>
          </w:p>
        </w:tc>
      </w:tr>
      <w:tr>
        <w:trPr>
          <w:trHeight w:val="45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0"/>
        </w:trPr>
        <w:tc>
          <w:tcPr>
            <w:tcW w:w="1920" w:type="dxa"/>
            <w:vAlign w:val="bottom"/>
            <w:tcBorders>
              <w:bottom w:val="single" w:sz="8" w:color="auto"/>
            </w:tcBorders>
          </w:tcPr>
          <w:p>
            <w:pPr>
              <w:spacing w:after="0"/>
              <w:rPr>
                <w:sz w:val="23"/>
                <w:szCs w:val="23"/>
                <w:color w:val="auto"/>
              </w:rPr>
            </w:pPr>
          </w:p>
        </w:tc>
        <w:tc>
          <w:tcPr>
            <w:tcW w:w="4440" w:type="dxa"/>
            <w:vAlign w:val="bottom"/>
            <w:tcBorders>
              <w:bottom w:val="single" w:sz="8" w:color="auto"/>
            </w:tcBorders>
          </w:tcPr>
          <w:p>
            <w:pPr>
              <w:spacing w:after="0"/>
              <w:rPr>
                <w:sz w:val="23"/>
                <w:szCs w:val="23"/>
                <w:color w:val="auto"/>
              </w:rPr>
            </w:pPr>
          </w:p>
        </w:tc>
        <w:tc>
          <w:tcPr>
            <w:tcW w:w="488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Twin Disc,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JEFFREY S. KNUTSON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President-Finance, Chief Financial Officer, Treasurer &amp; Secretary</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97355" cy="779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Twin Disc Announces Third Quarter Results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MILWAUKEE, Wis., May 6, 2026 (GLOBE NEWSWIRE) -- </w:t>
      </w:r>
      <w:r>
        <w:rPr>
          <w:rFonts w:ascii="Times New Roman" w:cs="Times New Roman" w:eastAsia="Times New Roman" w:hAnsi="Times New Roman"/>
          <w:sz w:val="18"/>
          <w:szCs w:val="18"/>
          <w:b w:val="1"/>
          <w:bCs w:val="1"/>
          <w:color w:val="auto"/>
        </w:rPr>
        <w:t>Twin Disc, Inc. (NASDAQ: TWIN)</w:t>
      </w:r>
      <w:r>
        <w:rPr>
          <w:rFonts w:ascii="Times New Roman" w:cs="Times New Roman" w:eastAsia="Times New Roman" w:hAnsi="Times New Roman"/>
          <w:sz w:val="18"/>
          <w:szCs w:val="18"/>
          <w:color w:val="auto"/>
        </w:rPr>
        <w:t xml:space="preserve"> today reported results for the third quarter ended March 27,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Third Quarter 2026 Highlights</w:t>
      </w:r>
    </w:p>
    <w:p>
      <w:pPr>
        <w:spacing w:after="0" w:line="227"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increased 19.0% year-over-year to $96.7 million</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28.1%, expanded 134 basis points over prior year</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 attributable to Twin Disc was $3.3 million and EBITDA* of $9.4 million</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Delivered positive Operating Cash Flow of $5.3 million and Free Cash Flow* of $1.8 million during the quarter</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six-month backlog of $179.5 million supported by healthy ongoing demand</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momentum in defense, supporting Finland facility expansion to deliver long-term growth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CEO Perspective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third quarter results marked the beginning of the strong second-half performance we anticipated. We delivered meaningful sales growth, margin expansion and improved free cash flow generation, driven by solid execution and healthy demand across our end markets. Marine and propulsion systems remained a key driver of both top- and bottom-line expansion, supported by continued demand for our Veth products,” commented John H. Batten, President and Chief Executive Officer of Twin Disc.</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“Looking ahead, strong demand continues to support healthy order momentum and a growing, record backlog, including increased activity from our defense-related programs. At the same time, we remain focused on advancing internal initiatives that optimize our manufacturing footprint and support future growth, including relocating production to mitigate tariff exposure and adding capacity to support our expanding defense business. Together with improving profitability, these actions position Twin Disc well to capitalize efficiently on robust end market demand and drive long-term growth,” Mr. Batten concluded.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Results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Sales for the fiscal 2026 third quarter increased 19.0% year-over-year to $96.7 million, driven largely by strength in the Company’s Veth products in Marine and Propulsion Systems. On an organic basis*, which excludes the impacts of acquisitions and foreign currency exchange, fiscal third quarter 2026 sales increased 7.0% year-over-year.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by product group (certain amounts have been reclassified from Marine and Propulsion to Other):</w:t>
      </w:r>
    </w:p>
    <w:p>
      <w:pPr>
        <w:spacing w:after="0" w:line="220" w:lineRule="exact"/>
        <w:rPr>
          <w:sz w:val="20"/>
          <w:szCs w:val="20"/>
          <w:color w:val="auto"/>
        </w:rPr>
      </w:pPr>
    </w:p>
    <w:tbl>
      <w:tblPr>
        <w:tblLayout w:type="fixed"/>
        <w:tblInd w:w="590" w:type="dxa"/>
        <w:tblCellMar>
          <w:top w:w="0" w:type="dxa"/>
          <w:left w:w="0" w:type="dxa"/>
          <w:bottom w:w="0" w:type="dxa"/>
          <w:right w:w="0" w:type="dxa"/>
        </w:tblCellMar>
      </w:tblPr>
      <w:tr>
        <w:trPr>
          <w:trHeight w:val="210"/>
        </w:trPr>
        <w:tc>
          <w:tcPr>
            <w:tcW w:w="49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Product Group</w:t>
            </w: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Q3 FY26 Sales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Q3 FY25 Sales</w:t>
            </w:r>
          </w:p>
        </w:tc>
        <w:tc>
          <w:tcPr>
            <w:tcW w:w="1760" w:type="dxa"/>
            <w:vAlign w:val="bottom"/>
            <w:tcBorders>
              <w:top w:val="single" w:sz="8" w:color="auto"/>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130"/>
        </w:trPr>
        <w:tc>
          <w:tcPr>
            <w:tcW w:w="49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(Thousands of $):</w:t>
            </w:r>
          </w:p>
        </w:tc>
        <w:tc>
          <w:tcPr>
            <w:tcW w:w="28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9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980" w:type="dxa"/>
            <w:vAlign w:val="bottom"/>
            <w:tcBorders>
              <w:top w:val="single" w:sz="8" w:color="auto"/>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28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59,146</w:t>
            </w:r>
          </w:p>
        </w:tc>
        <w:tc>
          <w:tcPr>
            <w:tcW w:w="32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49,297</w:t>
            </w:r>
          </w:p>
        </w:tc>
        <w:tc>
          <w:tcPr>
            <w:tcW w:w="1760" w:type="dxa"/>
            <w:vAlign w:val="bottom"/>
            <w:tcBorders>
              <w:top w:val="single" w:sz="8" w:color="CCEEFF"/>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Land-Based Transmissions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21,715</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17,776</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11,215</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9,734</w:t>
            </w:r>
          </w:p>
        </w:tc>
        <w:tc>
          <w:tcPr>
            <w:tcW w:w="1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4,618</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4,435</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81,242</w:t>
            </w:r>
          </w:p>
        </w:tc>
        <w:tc>
          <w:tcPr>
            <w:tcW w:w="1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Twin Disc delivered double-digit growth year-over-year in the North American region which drove a shift in the distribution of sales across geographical regions. A greater proportion of sales came from the North American region, with a lower proportion of sales coming from the Middle East and Asia Pacific.</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Gross profit increased 25.0% to $27.1 million compared to $21.7 million for the third quarter of fiscal 2025. Third quarter gross margin increased approximately 134 basis points to 28.1% from the prior year period, reflecting the benefit of incremental volume and successful margin improvement initiatives.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Marketing, engineering and administrative (ME&amp;A) expense increased by $1.5 million, or 7.6%, to $21.3 million, compared to $19.8 million in the prior year quarter. As a percentage of sales, ME&amp;A expenses decreased by 230 basis points primarily driven by operational leverage, partially offset by the addition of Kobelt along with an inflationary impact on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60"/>
        <w:spacing w:after="0" w:line="261" w:lineRule="auto"/>
        <w:rPr>
          <w:sz w:val="20"/>
          <w:szCs w:val="20"/>
          <w:color w:val="auto"/>
        </w:rPr>
      </w:pPr>
      <w:r>
        <w:rPr>
          <w:rFonts w:ascii="Times New Roman" w:cs="Times New Roman" w:eastAsia="Times New Roman" w:hAnsi="Times New Roman"/>
          <w:sz w:val="18"/>
          <w:szCs w:val="18"/>
          <w:color w:val="auto"/>
        </w:rPr>
        <w:t>Net income attributable to Twin Disc for the third quarter of fiscal 2026 was $3.3 million, or $0.23 per diluted share, compared to net loss attributable to Twin Disc of ($1.5) million, or ($0.11) per diluted share for the third fiscal quarter of 2025. The year-over-year change was driven by an increase in operating income and a decrease in other expense of $2.8 million when compared to the prior year period. Earnings before interest, taxes, depreciation, and amortization (EBITDA) were $9.4 million in the third quarter, up 135.1% compared to the third quarter of fiscal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items impacting EBITDA for the third quarter 2026 include:</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3"/>
        </w:trPr>
        <w:tc>
          <w:tcPr>
            <w:tcW w:w="860" w:type="dxa"/>
            <w:vAlign w:val="bottom"/>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8"/>
        </w:trPr>
        <w:tc>
          <w:tcPr>
            <w:tcW w:w="860" w:type="dxa"/>
            <w:vAlign w:val="bottom"/>
            <w:tcBorders>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rPr>
              <w:t>(Thousands of $):</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Q3 FY26</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Q3 FY25</w:t>
            </w:r>
          </w:p>
        </w:tc>
      </w:tr>
      <w:tr>
        <w:trPr>
          <w:trHeight w:val="206"/>
        </w:trPr>
        <w:tc>
          <w:tcPr>
            <w:tcW w:w="860" w:type="dxa"/>
            <w:vAlign w:val="bottom"/>
            <w:tcBorders>
              <w:right w:val="single" w:sz="8" w:color="auto"/>
            </w:tcBorders>
          </w:tcPr>
          <w:p>
            <w:pPr>
              <w:spacing w:after="0"/>
              <w:rPr>
                <w:sz w:val="17"/>
                <w:szCs w:val="17"/>
                <w:color w:val="auto"/>
              </w:rPr>
            </w:pPr>
          </w:p>
        </w:tc>
        <w:tc>
          <w:tcPr>
            <w:tcW w:w="6120" w:type="dxa"/>
            <w:vAlign w:val="bottom"/>
            <w:tcBorders>
              <w:top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w:t>
            </w:r>
          </w:p>
        </w:tc>
        <w:tc>
          <w:tcPr>
            <w:tcW w:w="540" w:type="dxa"/>
            <w:vAlign w:val="bottom"/>
            <w:tcBorders>
              <w:top w:val="single" w:sz="8" w:color="CCEEFF"/>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560" w:type="dxa"/>
            <w:vAlign w:val="bottom"/>
            <w:tcBorders>
              <w:top w:val="single" w:sz="8" w:color="CCEEFF"/>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860" w:type="dxa"/>
            <w:vAlign w:val="bottom"/>
            <w:tcBorders>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60" w:type="dxa"/>
            <w:vAlign w:val="bottom"/>
            <w:tcBorders>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costs</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860" w:type="dxa"/>
            <w:vAlign w:val="bottom"/>
            <w:tcBorders>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Currency translation (gain)/loss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1,301</w:t>
            </w:r>
          </w:p>
        </w:tc>
      </w:tr>
      <w:tr>
        <w:trPr>
          <w:trHeight w:val="223"/>
        </w:trPr>
        <w:tc>
          <w:tcPr>
            <w:tcW w:w="860" w:type="dxa"/>
            <w:vAlign w:val="bottom"/>
            <w:tcBorders>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defined benefit pension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bl>
    <w:p>
      <w:pPr>
        <w:spacing w:after="0" w:line="200" w:lineRule="exact"/>
        <w:rPr>
          <w:sz w:val="20"/>
          <w:szCs w:val="20"/>
          <w:color w:val="auto"/>
        </w:rPr>
      </w:pPr>
    </w:p>
    <w:p>
      <w:pPr>
        <w:spacing w:after="0" w:line="21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a consolidated basis, the backlog of orders to be shipped over the next six months is approximately $179.5 million, compared to $175.3 million at the end of the second quarter. As a percentage of six-month backlog, inventory decreased from 93.1% at the end of the second quarter, to 89.3% at the end of the third quarter. Compared to the third fiscal quarter of 2025, cash decreased 0.8% to $16.1 million, total debt increased 10.5% to $45.1 million, and net debt* increased $4.4 million to $29.0 million. The increase was primarily attributable to higher long-term debt related to the Kobelt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CFO Perspective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Jeffrey S. Knutson, Vice President of Finance, Chief Financial Officer, Treasurer and Secretary stated, “Our third quarter results reflected strong year-over-year sales growth, improved profitability and higher free cash flow generation. Margin performance benefited from incremental volumes and stronger operating execution, while free cash flow generation improved significantly from the prior-year period due to effective inventory management and enhanced profitability. Moving forward, we remain focused on disciplined execution across the business, efficient backlog conversion and continued working capital improvements as we progress closer toward our long-term targets.”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Discussion of Results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Twin Disc will host a conference call to discuss these results and to answer questions at 9:00 a.m. Eastern time on May 6, 2026. The live audio webcast will be available on Twin Disc’s website at </w:t>
      </w:r>
      <w:r>
        <w:rPr>
          <w:rFonts w:ascii="Times New Roman" w:cs="Times New Roman" w:eastAsia="Times New Roman" w:hAnsi="Times New Roman"/>
          <w:sz w:val="18"/>
          <w:szCs w:val="18"/>
          <w:u w:val="single" w:color="auto"/>
          <w:color w:val="auto"/>
        </w:rPr>
        <w:t>https://ir.twindisc.com</w:t>
      </w:r>
      <w:r>
        <w:rPr>
          <w:rFonts w:ascii="Times New Roman" w:cs="Times New Roman" w:eastAsia="Times New Roman" w:hAnsi="Times New Roman"/>
          <w:sz w:val="18"/>
          <w:szCs w:val="18"/>
          <w:color w:val="auto"/>
        </w:rPr>
        <w:t xml:space="preserve">. To participate in the conference call, please dial (646) 307-1963 approximately ten minutes before the call is scheduled to begin. A replay of the webcast will be available at </w:t>
      </w:r>
      <w:r>
        <w:rPr>
          <w:rFonts w:ascii="Times New Roman" w:cs="Times New Roman" w:eastAsia="Times New Roman" w:hAnsi="Times New Roman"/>
          <w:sz w:val="18"/>
          <w:szCs w:val="18"/>
          <w:u w:val="single" w:color="auto"/>
          <w:color w:val="auto"/>
        </w:rPr>
        <w:t>https://ir.twindisc.com</w:t>
      </w:r>
      <w:r>
        <w:rPr>
          <w:rFonts w:ascii="Times New Roman" w:cs="Times New Roman" w:eastAsia="Times New Roman" w:hAnsi="Times New Roman"/>
          <w:sz w:val="18"/>
          <w:szCs w:val="18"/>
          <w:color w:val="auto"/>
        </w:rPr>
        <w:t xml:space="preserve"> shortly after the call until May 7,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Twin Disc</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Twin Disc, Inc. designs, manufactures, and sells marine and heavy-duty off-highway power transmission equipment. Products offered include: marine transmissions, azimuth drives, surface drives, propellers, and boat management systems, as well as power-shift transmissions, hydraulic torque converters, power take-offs, industrial clutches, control systems, and braking systems. The Company sells its products to customers primarily in the pleasure craft, commercial and military marine markets, as well as in the energy and natural resources, government, military and industrial markets. The Company’s worldwide sales to both domestic and foreign customers are transacted through a direct sales force and a distributor network. For more information, please visit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may contain statements that are forward looking as defined by the Securities and Exchange Commission in its rules, regulations, and releases. The words “anticipates,” “believes,” “intends,” “estimates,” and “expects,” or similar anticipatory expressions, usually identify forward-looking statements. The Company intends that such forward-looking statements qualify for the safe harbors from liability established by the Private Securities Litigation Reform Act of 1995. All forward-looking statements are based on current expectations and are subject to certain risks and uncertainties that could cause actual results or outcomes to differ materially from current expectations. Such risks and uncertainties include the impact of general economic conditions and the cyclical nature of many of the Company’s product markets; foreign currency risks and other risks associated with the Company’s international sales and operations; the ability of the Company to successfully implement price increases to offset increasing commodity costs; the ability of the Company to generate sufficient cash to pay its indebtedness as it becomes due; and the possibility of unforeseen tax consequences and the impact of tax reform in the U.S. or other jurisdictions. These and other risks are described under the caption “Risk Factors” in Item 1A of the Company’s most recent Form 10-K filed with the Securities and Exchange Commission, as supplemented in subsequent periodic reports filed with the Securities and Exchange Commission. Accordingly, the making of such statements should not be regarded as a representation by the Company or any other person that the results expressed therein will be achieved. The Company assumes no obligation, and disclaims any obligation, to publicly update or revise any forward-looking statements to reflect subsequent events, new information,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Financial information excluding the impact of asset impairments, restructuring charges, foreign currency exchange rate changes and the impact of acquisitions, if any, in this press release are not measures that are defined in U.S. Generally Accepted Accounting Principles (“GAAP”). These items are measures that management believes are important to adjust for in order to have a meaningful comparison to prior and future periods and to provide a basis for future projections and for estimating our earnings growth prospects. Non-GAAP measures are used by management as a performance measure to judge profitability of our business absent the impact of foreign currency exchange rate changes and acquisitions. Management analyzes the company’s business performance and trends excluding these amounts. These measures, as well as EBITDA, provide a more consistent view of performance than the closest GAAP equivalent for management and investors. Management compensates for this by using these measures in combination with the GAAP measures. The presentation of the non-GAAP measures in this press release are made alongside the most directly comparable GAAP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net sales is defined as net sales excluding the recent acquisition of Kobelt while adjusting for the effects of foreign currency exchange.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is calculated as net earnings or loss excluding interest expense, the provision or benefit for income taxes, depreciation, and amortization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debt is calculated as total debt less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is calculated as net cash provided (used) by operating activities less acquisition of fixed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TwinDiscIR@Riveron.com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6012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01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INCOME (LOSS) </w:t>
      </w:r>
      <w:r>
        <w:rPr>
          <w:rFonts w:ascii="Times New Roman" w:cs="Times New Roman" w:eastAsia="Times New Roman" w:hAnsi="Times New Roman"/>
          <w:sz w:val="18"/>
          <w:szCs w:val="18"/>
          <w:color w:val="auto"/>
        </w:rPr>
        <w:t>(In thousands, except per-share data;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color w:val="auto"/>
              </w:rPr>
              <w:t>For the Quarter Ended</w:t>
            </w:r>
          </w:p>
        </w:tc>
        <w:tc>
          <w:tcPr>
            <w:tcW w:w="120" w:type="dxa"/>
            <w:vAlign w:val="bottom"/>
          </w:tcPr>
          <w:p>
            <w:pPr>
              <w:spacing w:after="0"/>
              <w:rPr>
                <w:sz w:val="18"/>
                <w:szCs w:val="18"/>
                <w:color w:val="auto"/>
              </w:rPr>
            </w:pPr>
          </w:p>
        </w:tc>
        <w:tc>
          <w:tcPr>
            <w:tcW w:w="2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For the Three Quarters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27,</w:t>
            </w:r>
          </w:p>
        </w:tc>
        <w:tc>
          <w:tcPr>
            <w:tcW w:w="14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March 28,</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March 27,</w:t>
            </w:r>
          </w:p>
        </w:tc>
        <w:tc>
          <w:tcPr>
            <w:tcW w:w="14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March 28,</w:t>
            </w:r>
          </w:p>
        </w:tc>
        <w:tc>
          <w:tcPr>
            <w:tcW w:w="0" w:type="dxa"/>
            <w:vAlign w:val="bottom"/>
          </w:tcPr>
          <w:p>
            <w:pPr>
              <w:spacing w:after="0"/>
              <w:rPr>
                <w:sz w:val="1"/>
                <w:szCs w:val="1"/>
                <w:color w:val="auto"/>
              </w:rPr>
            </w:pPr>
          </w:p>
        </w:tc>
      </w:tr>
      <w:tr>
        <w:trPr>
          <w:trHeight w:val="234"/>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69,563</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59,536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194,438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179,773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 other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18,958</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data: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attributable to Twin Disc, Incorporated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data: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14,416</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Benefit plan adjustments, net of income taxes of $146, $5, $146, and $3,</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(loss) on hedges, net of income taxes of ($90), $0, ($83) and $0,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Twin Disc, Incorporated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CONSOLIDATED NET INCOME (LOSS) TO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8"/>
          </w:tcPr>
          <w:p>
            <w:pPr>
              <w:jc w:val="right"/>
              <w:ind w:right="660"/>
              <w:spacing w:after="0"/>
              <w:rPr>
                <w:sz w:val="20"/>
                <w:szCs w:val="20"/>
                <w:color w:val="auto"/>
              </w:rPr>
            </w:pPr>
            <w:r>
              <w:rPr>
                <w:rFonts w:ascii="Times New Roman" w:cs="Times New Roman" w:eastAsia="Times New Roman" w:hAnsi="Times New Roman"/>
                <w:sz w:val="18"/>
                <w:szCs w:val="18"/>
                <w:color w:val="auto"/>
              </w:rPr>
              <w:t>For the Quarter Ended</w:t>
            </w:r>
          </w:p>
        </w:tc>
        <w:tc>
          <w:tcPr>
            <w:tcW w:w="60" w:type="dxa"/>
            <w:vAlign w:val="bottom"/>
          </w:tcPr>
          <w:p>
            <w:pPr>
              <w:spacing w:after="0"/>
              <w:rPr>
                <w:sz w:val="18"/>
                <w:szCs w:val="18"/>
                <w:color w:val="auto"/>
              </w:rPr>
            </w:pPr>
          </w:p>
        </w:tc>
        <w:tc>
          <w:tcPr>
            <w:tcW w:w="2480" w:type="dxa"/>
            <w:vAlign w:val="bottom"/>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For the Three Quarters 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March 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w w:val="97"/>
              </w:rPr>
              <w:t>March 27,</w:t>
            </w:r>
          </w:p>
        </w:tc>
        <w:tc>
          <w:tcPr>
            <w:tcW w:w="12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March 28,</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1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25,178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(3,317)</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10,194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60" w:type="dxa"/>
            <w:vAlign w:val="bottom"/>
            <w:gridSpan w:val="10"/>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RECONCILIATION OF TOTAL DEBT TO NET DEBT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(In thousands; 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March 27, 2026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March 28, 2025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38,774</w:t>
            </w:r>
          </w:p>
        </w:tc>
        <w:tc>
          <w:tcPr>
            <w:tcW w:w="10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40,774</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cash</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24,529</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00" w:type="dxa"/>
            <w:vAlign w:val="bottom"/>
            <w:gridSpan w:val="1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RECONCILIATION OF REPORTED NET SALES TO ORGANIC NET SALES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(In thousands; 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9"/>
          </w:tcPr>
          <w:p>
            <w:pPr>
              <w:jc w:val="right"/>
              <w:ind w:right="540"/>
              <w:spacing w:after="0"/>
              <w:rPr>
                <w:sz w:val="20"/>
                <w:szCs w:val="20"/>
                <w:color w:val="auto"/>
              </w:rPr>
            </w:pPr>
            <w:r>
              <w:rPr>
                <w:rFonts w:ascii="Times New Roman" w:cs="Times New Roman" w:eastAsia="Times New Roman" w:hAnsi="Times New Roman"/>
                <w:sz w:val="18"/>
                <w:szCs w:val="18"/>
                <w:color w:val="auto"/>
              </w:rPr>
              <w:t>For the Quarter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March 27, 2026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color w:val="auto"/>
                <w:w w:val="99"/>
              </w:rPr>
              <w:t>March 28, 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Acquisition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Foreign Currency Impact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86,928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52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60" w:type="dxa"/>
            <w:vAlign w:val="bottom"/>
            <w:gridSpan w:val="10"/>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RECONCILIATION OF NET CASH PROVIDED (USED) BY OPERATING</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60" w:type="dxa"/>
            <w:vAlign w:val="bottom"/>
            <w:gridSpan w:val="5"/>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ACTIVITIES TO FREE CASH FLOW</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(In thousands; 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9"/>
          </w:tcPr>
          <w:p>
            <w:pPr>
              <w:jc w:val="right"/>
              <w:ind w:right="260"/>
              <w:spacing w:after="0"/>
              <w:rPr>
                <w:sz w:val="20"/>
                <w:szCs w:val="20"/>
                <w:color w:val="auto"/>
              </w:rPr>
            </w:pPr>
            <w:r>
              <w:rPr>
                <w:rFonts w:ascii="Times New Roman" w:cs="Times New Roman" w:eastAsia="Times New Roman" w:hAnsi="Times New Roman"/>
                <w:sz w:val="18"/>
                <w:szCs w:val="18"/>
                <w:color w:val="auto"/>
              </w:rPr>
              <w:t>For the Quarter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March 27, 2026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March 28, 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(2,310)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27,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June 30,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58,941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160,331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151,951</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 assets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right-of-use operating lease obligations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38,745</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80,655</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obligations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Twin Disc, Incorporated 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authorized: 200,000; issued: none; no par value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authorized: 30,000,000; issued: 14,632,802; no par value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148,875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125,414</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treasury stock, at cost (209,975 and 482,181 shares, respectively)</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7,402</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Twin Disc, Incorporated shareholders' equity</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164,011</w:t>
            </w:r>
          </w:p>
        </w:tc>
        <w:tc>
          <w:tcPr>
            <w:tcW w:w="100" w:type="dxa"/>
            <w:vAlign w:val="bottom"/>
            <w:gridSpan w:val="2"/>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355,562</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color w:val="auto"/>
              </w:rPr>
              <w:t>For the Three Quarters Ended</w:t>
            </w: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March 27,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25,622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write-down of industrial product inventory</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 and other non-cash changes,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(3,410)</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Kobelt, less cash acquired</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(23,970)</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long-term debt agreement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loan arrangements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95,727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revolving loan arrangements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net share settlement of restricted stock units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withholding taxes on stock compensation</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10,189</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(3,825)</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20,070</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2026-05-06T07:32:00Z</dcterms:created>
  <dcterms:modified xsi:type="dcterms:W3CDTF">2026-05-06T07:32:00Z</dcterms:modified>
</cp:coreProperties>
</file>