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WASHINGTON, D.C. 20549</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10</w:t>
      </w:r>
      <w:r>
        <w:rPr>
          <w:rFonts w:ascii="Times New Roman" w:cs="Times New Roman" w:eastAsia="Times New Roman" w:hAnsi="Times New Roman"/>
          <w:sz w:val="25"/>
          <w:szCs w:val="25"/>
          <w:color w:val="auto"/>
        </w:rPr>
        <w:t>-</w:t>
      </w:r>
      <w:r>
        <w:rPr>
          <w:rFonts w:ascii="Times New Roman" w:cs="Times New Roman" w:eastAsia="Times New Roman" w:hAnsi="Times New Roman"/>
          <w:sz w:val="25"/>
          <w:szCs w:val="25"/>
          <w:b w:val="1"/>
          <w:bCs w:val="1"/>
          <w:color w:val="auto"/>
        </w:rPr>
        <w:t>Q</w:t>
      </w:r>
    </w:p>
    <w:p>
      <w:pPr>
        <w:spacing w:after="0" w:line="203" w:lineRule="exact"/>
        <w:rPr>
          <w:sz w:val="24"/>
          <w:szCs w:val="24"/>
          <w:color w:val="auto"/>
        </w:rPr>
      </w:pPr>
    </w:p>
    <w:p>
      <w:pPr>
        <w:ind w:left="4000" w:right="1880" w:hanging="3992"/>
        <w:spacing w:after="0" w:line="479" w:lineRule="auto"/>
        <w:tabs>
          <w:tab w:leader="none" w:pos="218"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 ended September 25, 2026</w:t>
      </w:r>
    </w:p>
    <w:p>
      <w:pPr>
        <w:spacing w:after="0" w:line="38" w:lineRule="exact"/>
        <w:rPr>
          <w:sz w:val="24"/>
          <w:szCs w:val="24"/>
          <w:color w:val="auto"/>
        </w:rPr>
      </w:pPr>
    </w:p>
    <w:p>
      <w:pPr>
        <w:ind w:left="4420" w:right="1860" w:hanging="4412"/>
        <w:spacing w:after="0" w:line="537" w:lineRule="auto"/>
        <w:tabs>
          <w:tab w:leader="none" w:pos="22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 xml:space="preserve">TRANSITION REPORT PURSUANT TO SECTION 13 OR 15(d) OF THE SECURITIES EXCHANGE ACT OF 1934 </w:t>
      </w:r>
      <w:r>
        <w:rPr>
          <w:rFonts w:ascii="Times New Roman" w:cs="Times New Roman" w:eastAsia="Times New Roman" w:hAnsi="Times New Roman"/>
          <w:sz w:val="18"/>
          <w:szCs w:val="18"/>
          <w:color w:val="auto"/>
        </w:rPr>
        <w:t>Commission File Number 1-7635</w:t>
      </w:r>
    </w:p>
    <w:p>
      <w:pPr>
        <w:spacing w:after="0" w:line="1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u w:val="single" w:color="auto"/>
          <w:color w:val="auto"/>
        </w:rPr>
        <w:t>TWIN DISC, INCORPORATED</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92" w:lineRule="exact"/>
        <w:rPr>
          <w:sz w:val="24"/>
          <w:szCs w:val="24"/>
          <w:color w:val="auto"/>
        </w:rPr>
      </w:pPr>
    </w:p>
    <w:tbl>
      <w:tblPr>
        <w:tblLayout w:type="fixed"/>
        <w:tblInd w:w="10" w:type="dxa"/>
        <w:tblCellMar>
          <w:top w:w="0" w:type="dxa"/>
          <w:left w:w="0" w:type="dxa"/>
          <w:bottom w:w="0" w:type="dxa"/>
          <w:right w:w="0" w:type="dxa"/>
        </w:tblCellMar>
      </w:tblPr>
      <w:tr>
        <w:trPr>
          <w:trHeight w:val="207"/>
        </w:trPr>
        <w:tc>
          <w:tcPr>
            <w:tcW w:w="2420" w:type="dxa"/>
            <w:vAlign w:val="bottom"/>
          </w:tcPr>
          <w:p>
            <w:pPr>
              <w:spacing w:after="0"/>
              <w:rPr>
                <w:sz w:val="17"/>
                <w:szCs w:val="17"/>
                <w:color w:val="auto"/>
              </w:rPr>
            </w:pPr>
          </w:p>
        </w:tc>
        <w:tc>
          <w:tcPr>
            <w:tcW w:w="5100" w:type="dxa"/>
            <w:vAlign w:val="bottom"/>
            <w:gridSpan w:val="8"/>
          </w:tcPr>
          <w:p>
            <w:pPr>
              <w:jc w:val="center"/>
              <w:ind w:right="4320"/>
              <w:spacing w:after="0"/>
              <w:rPr>
                <w:sz w:val="20"/>
                <w:szCs w:val="20"/>
                <w:color w:val="auto"/>
              </w:rPr>
            </w:pPr>
            <w:r>
              <w:rPr>
                <w:rFonts w:ascii="Times New Roman" w:cs="Times New Roman" w:eastAsia="Times New Roman" w:hAnsi="Times New Roman"/>
                <w:sz w:val="18"/>
                <w:szCs w:val="18"/>
                <w:b w:val="1"/>
                <w:bCs w:val="1"/>
                <w:color w:val="auto"/>
                <w:w w:val="98"/>
              </w:rPr>
              <w:t>Wisconsin</w:t>
            </w:r>
          </w:p>
        </w:tc>
        <w:tc>
          <w:tcPr>
            <w:tcW w:w="3720" w:type="dxa"/>
            <w:vAlign w:val="bottom"/>
            <w:gridSpan w:val="4"/>
          </w:tcPr>
          <w:p>
            <w:pPr>
              <w:jc w:val="center"/>
              <w:ind w:right="1900"/>
              <w:spacing w:after="0"/>
              <w:rPr>
                <w:sz w:val="20"/>
                <w:szCs w:val="20"/>
                <w:color w:val="auto"/>
              </w:rPr>
            </w:pPr>
            <w:r>
              <w:rPr>
                <w:rFonts w:ascii="Times New Roman" w:cs="Times New Roman" w:eastAsia="Times New Roman" w:hAnsi="Times New Roman"/>
                <w:sz w:val="18"/>
                <w:szCs w:val="18"/>
                <w:b w:val="1"/>
                <w:bCs w:val="1"/>
                <w:color w:val="auto"/>
                <w:w w:val="98"/>
              </w:rPr>
              <w:t>39</w:t>
            </w:r>
            <w:r>
              <w:rPr>
                <w:rFonts w:ascii="Times New Roman" w:cs="Times New Roman" w:eastAsia="Times New Roman" w:hAnsi="Times New Roman"/>
                <w:sz w:val="18"/>
                <w:szCs w:val="18"/>
                <w:color w:val="auto"/>
                <w:w w:val="98"/>
              </w:rPr>
              <w:t>-</w:t>
            </w:r>
            <w:r>
              <w:rPr>
                <w:rFonts w:ascii="Times New Roman" w:cs="Times New Roman" w:eastAsia="Times New Roman" w:hAnsi="Times New Roman"/>
                <w:sz w:val="18"/>
                <w:szCs w:val="18"/>
                <w:b w:val="1"/>
                <w:bCs w:val="1"/>
                <w:color w:val="auto"/>
                <w:w w:val="98"/>
              </w:rPr>
              <w:t>0667110</w:t>
            </w:r>
          </w:p>
        </w:tc>
      </w:tr>
      <w:tr>
        <w:trPr>
          <w:trHeight w:val="20"/>
        </w:trPr>
        <w:tc>
          <w:tcPr>
            <w:tcW w:w="2420" w:type="dxa"/>
            <w:vAlign w:val="bottom"/>
          </w:tcPr>
          <w:p>
            <w:pPr>
              <w:spacing w:after="0" w:line="20" w:lineRule="exact"/>
              <w:rPr>
                <w:sz w:val="1"/>
                <w:szCs w:val="1"/>
                <w:color w:val="auto"/>
              </w:rPr>
            </w:pPr>
          </w:p>
        </w:tc>
        <w:tc>
          <w:tcPr>
            <w:tcW w:w="78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218"/>
        </w:trPr>
        <w:tc>
          <w:tcPr>
            <w:tcW w:w="7520" w:type="dxa"/>
            <w:vAlign w:val="bottom"/>
            <w:gridSpan w:val="9"/>
          </w:tcPr>
          <w:p>
            <w:pPr>
              <w:jc w:val="center"/>
              <w:ind w:right="188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3720" w:type="dxa"/>
            <w:vAlign w:val="bottom"/>
            <w:gridSpan w:val="4"/>
          </w:tcPr>
          <w:p>
            <w:pPr>
              <w:jc w:val="center"/>
              <w:ind w:right="1900"/>
              <w:spacing w:after="0"/>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7520" w:type="dxa"/>
            <w:vAlign w:val="bottom"/>
            <w:gridSpan w:val="9"/>
          </w:tcPr>
          <w:p>
            <w:pPr>
              <w:jc w:val="center"/>
              <w:ind w:right="1900"/>
              <w:spacing w:after="0"/>
              <w:rPr>
                <w:sz w:val="20"/>
                <w:szCs w:val="20"/>
                <w:color w:val="auto"/>
              </w:rPr>
            </w:pPr>
            <w:r>
              <w:rPr>
                <w:rFonts w:ascii="Times New Roman" w:cs="Times New Roman" w:eastAsia="Times New Roman" w:hAnsi="Times New Roman"/>
                <w:sz w:val="18"/>
                <w:szCs w:val="18"/>
                <w:color w:val="auto"/>
              </w:rPr>
              <w:t>Incorporation or organization)</w:t>
            </w:r>
          </w:p>
        </w:tc>
        <w:tc>
          <w:tcPr>
            <w:tcW w:w="3720" w:type="dxa"/>
            <w:vAlign w:val="bottom"/>
            <w:gridSpan w:val="4"/>
          </w:tcPr>
          <w:p>
            <w:pPr>
              <w:jc w:val="center"/>
              <w:ind w:right="190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392"/>
        </w:trPr>
        <w:tc>
          <w:tcPr>
            <w:tcW w:w="2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940" w:type="dxa"/>
            <w:vAlign w:val="bottom"/>
            <w:gridSpan w:val="9"/>
          </w:tcPr>
          <w:p>
            <w:pPr>
              <w:jc w:val="center"/>
              <w:ind w:right="3300"/>
              <w:spacing w:after="0"/>
              <w:rPr>
                <w:sz w:val="20"/>
                <w:szCs w:val="20"/>
                <w:color w:val="auto"/>
              </w:rPr>
            </w:pPr>
            <w:r>
              <w:rPr>
                <w:rFonts w:ascii="Times New Roman" w:cs="Times New Roman" w:eastAsia="Times New Roman" w:hAnsi="Times New Roman"/>
                <w:sz w:val="18"/>
                <w:szCs w:val="18"/>
                <w:b w:val="1"/>
                <w:bCs w:val="1"/>
                <w:color w:val="auto"/>
                <w:w w:val="99"/>
              </w:rPr>
              <w:t>222 East Erie Street, Suite 400, Milwaukee, Wisconsin 53202</w:t>
            </w:r>
          </w:p>
        </w:tc>
      </w:tr>
      <w:tr>
        <w:trPr>
          <w:trHeight w:val="237"/>
        </w:trPr>
        <w:tc>
          <w:tcPr>
            <w:tcW w:w="24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3900" w:type="dxa"/>
            <w:vAlign w:val="bottom"/>
            <w:tcBorders>
              <w:top w:val="single" w:sz="8" w:color="auto"/>
            </w:tcBorders>
            <w:gridSpan w:val="4"/>
          </w:tcPr>
          <w:p>
            <w:pPr>
              <w:jc w:val="center"/>
              <w:ind w:left="3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42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380" w:type="dxa"/>
            <w:vAlign w:val="bottom"/>
          </w:tcPr>
          <w:p>
            <w:pPr>
              <w:spacing w:after="0"/>
              <w:rPr>
                <w:sz w:val="20"/>
                <w:szCs w:val="20"/>
                <w:color w:val="auto"/>
              </w:rPr>
            </w:pPr>
          </w:p>
        </w:tc>
      </w:tr>
      <w:tr>
        <w:trPr>
          <w:trHeight w:val="391"/>
        </w:trPr>
        <w:tc>
          <w:tcPr>
            <w:tcW w:w="2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0" w:type="dxa"/>
            <w:vAlign w:val="bottom"/>
            <w:gridSpan w:val="4"/>
          </w:tcPr>
          <w:p>
            <w:pPr>
              <w:spacing w:after="0"/>
              <w:rPr>
                <w:sz w:val="24"/>
                <w:szCs w:val="24"/>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(262) 638-4000</w:t>
            </w:r>
          </w:p>
        </w:tc>
        <w:tc>
          <w:tcPr>
            <w:tcW w:w="8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380" w:type="dxa"/>
            <w:vAlign w:val="bottom"/>
          </w:tcPr>
          <w:p>
            <w:pPr>
              <w:spacing w:after="0"/>
              <w:rPr>
                <w:sz w:val="24"/>
                <w:szCs w:val="24"/>
                <w:color w:val="auto"/>
              </w:rPr>
            </w:pPr>
          </w:p>
        </w:tc>
      </w:tr>
      <w:tr>
        <w:trPr>
          <w:trHeight w:val="237"/>
        </w:trPr>
        <w:tc>
          <w:tcPr>
            <w:tcW w:w="24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900" w:type="dxa"/>
            <w:vAlign w:val="bottom"/>
            <w:gridSpan w:val="4"/>
          </w:tcPr>
          <w:p>
            <w:pPr>
              <w:jc w:val="center"/>
              <w:ind w:left="1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380" w:type="dxa"/>
            <w:vAlign w:val="bottom"/>
          </w:tcPr>
          <w:p>
            <w:pPr>
              <w:spacing w:after="0"/>
              <w:rPr>
                <w:sz w:val="20"/>
                <w:szCs w:val="20"/>
                <w:color w:val="auto"/>
              </w:rPr>
            </w:pPr>
          </w:p>
        </w:tc>
      </w:tr>
      <w:tr>
        <w:trPr>
          <w:trHeight w:val="648"/>
        </w:trPr>
        <w:tc>
          <w:tcPr>
            <w:tcW w:w="2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180" w:type="dxa"/>
            <w:vAlign w:val="bottom"/>
            <w:gridSpan w:val="11"/>
          </w:tcPr>
          <w:p>
            <w:pPr>
              <w:jc w:val="center"/>
              <w:ind w:right="3040"/>
              <w:spacing w:after="0"/>
              <w:rPr>
                <w:sz w:val="20"/>
                <w:szCs w:val="20"/>
                <w:color w:val="auto"/>
              </w:rPr>
            </w:pPr>
            <w:r>
              <w:rPr>
                <w:rFonts w:ascii="Times New Roman" w:cs="Times New Roman" w:eastAsia="Times New Roman" w:hAnsi="Times New Roman"/>
                <w:sz w:val="18"/>
                <w:szCs w:val="18"/>
                <w:color w:val="auto"/>
                <w:w w:val="99"/>
              </w:rPr>
              <w:t>Securities registered pursuant to Section 12(b) of the Exchange Act:</w:t>
            </w:r>
          </w:p>
        </w:tc>
      </w:tr>
      <w:tr>
        <w:trPr>
          <w:trHeight w:val="253"/>
        </w:trPr>
        <w:tc>
          <w:tcPr>
            <w:tcW w:w="242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2380" w:type="dxa"/>
            <w:vAlign w:val="bottom"/>
            <w:tcBorders>
              <w:bottom w:val="single" w:sz="8" w:color="auto"/>
            </w:tcBorders>
          </w:tcPr>
          <w:p>
            <w:pPr>
              <w:spacing w:after="0"/>
              <w:rPr>
                <w:sz w:val="21"/>
                <w:szCs w:val="21"/>
                <w:color w:val="auto"/>
              </w:rPr>
            </w:pPr>
          </w:p>
        </w:tc>
      </w:tr>
      <w:tr>
        <w:trPr>
          <w:trHeight w:val="189"/>
        </w:trPr>
        <w:tc>
          <w:tcPr>
            <w:tcW w:w="3060" w:type="dxa"/>
            <w:vAlign w:val="bottom"/>
            <w:tcBorders>
              <w:left w:val="single" w:sz="8" w:color="auto"/>
              <w:bottom w:val="single" w:sz="8" w:color="auto"/>
            </w:tcBorders>
            <w:gridSpan w:val="2"/>
          </w:tcPr>
          <w:p>
            <w:pPr>
              <w:jc w:val="center"/>
              <w:ind w:left="470"/>
              <w:spacing w:after="0" w:line="170" w:lineRule="exact"/>
              <w:rPr>
                <w:sz w:val="20"/>
                <w:szCs w:val="20"/>
                <w:color w:val="auto"/>
              </w:rPr>
            </w:pPr>
            <w:r>
              <w:rPr>
                <w:rFonts w:ascii="Times New Roman" w:cs="Times New Roman" w:eastAsia="Times New Roman" w:hAnsi="Times New Roman"/>
                <w:sz w:val="18"/>
                <w:szCs w:val="18"/>
                <w:color w:val="auto"/>
                <w:w w:val="99"/>
              </w:rPr>
              <w:t>Title of each class</w:t>
            </w: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right w:val="single" w:sz="8" w:color="auto"/>
            </w:tcBorders>
          </w:tcPr>
          <w:p>
            <w:pPr>
              <w:spacing w:after="0"/>
              <w:rPr>
                <w:sz w:val="16"/>
                <w:szCs w:val="16"/>
                <w:color w:val="auto"/>
              </w:rPr>
            </w:pPr>
          </w:p>
        </w:tc>
        <w:tc>
          <w:tcPr>
            <w:tcW w:w="3380" w:type="dxa"/>
            <w:vAlign w:val="bottom"/>
            <w:tcBorders>
              <w:bottom w:val="single" w:sz="8" w:color="auto"/>
              <w:right w:val="single" w:sz="8" w:color="auto"/>
            </w:tcBorders>
            <w:gridSpan w:val="3"/>
          </w:tcPr>
          <w:p>
            <w:pPr>
              <w:jc w:val="center"/>
              <w:ind w:right="20"/>
              <w:spacing w:after="0" w:line="170" w:lineRule="exact"/>
              <w:rPr>
                <w:sz w:val="20"/>
                <w:szCs w:val="20"/>
                <w:color w:val="auto"/>
              </w:rPr>
            </w:pPr>
            <w:r>
              <w:rPr>
                <w:rFonts w:ascii="Times New Roman" w:cs="Times New Roman" w:eastAsia="Times New Roman" w:hAnsi="Times New Roman"/>
                <w:sz w:val="18"/>
                <w:szCs w:val="18"/>
                <w:color w:val="auto"/>
                <w:w w:val="99"/>
              </w:rPr>
              <w:t>Trading Symbol(s)</w:t>
            </w:r>
          </w:p>
        </w:tc>
        <w:tc>
          <w:tcPr>
            <w:tcW w:w="520" w:type="dxa"/>
            <w:vAlign w:val="bottom"/>
            <w:tcBorders>
              <w:bottom w:val="single" w:sz="8" w:color="auto"/>
            </w:tcBorders>
          </w:tcPr>
          <w:p>
            <w:pPr>
              <w:spacing w:after="0"/>
              <w:rPr>
                <w:sz w:val="16"/>
                <w:szCs w:val="16"/>
                <w:color w:val="auto"/>
              </w:rPr>
            </w:pPr>
          </w:p>
        </w:tc>
        <w:tc>
          <w:tcPr>
            <w:tcW w:w="3720" w:type="dxa"/>
            <w:vAlign w:val="bottom"/>
            <w:tcBorders>
              <w:bottom w:val="single" w:sz="8" w:color="auto"/>
              <w:right w:val="single" w:sz="8" w:color="auto"/>
            </w:tcBorders>
            <w:gridSpan w:val="4"/>
          </w:tcPr>
          <w:p>
            <w:pPr>
              <w:jc w:val="center"/>
              <w:ind w:right="540"/>
              <w:spacing w:after="0" w:line="170" w:lineRule="exact"/>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193"/>
        </w:trPr>
        <w:tc>
          <w:tcPr>
            <w:tcW w:w="3060" w:type="dxa"/>
            <w:vAlign w:val="bottom"/>
            <w:tcBorders>
              <w:left w:val="single" w:sz="8" w:color="auto"/>
              <w:bottom w:val="single" w:sz="8" w:color="auto"/>
            </w:tcBorders>
            <w:gridSpan w:val="2"/>
          </w:tcPr>
          <w:p>
            <w:pPr>
              <w:jc w:val="center"/>
              <w:ind w:left="490"/>
              <w:spacing w:after="0" w:line="193" w:lineRule="exact"/>
              <w:rPr>
                <w:sz w:val="20"/>
                <w:szCs w:val="20"/>
                <w:color w:val="auto"/>
              </w:rPr>
            </w:pPr>
            <w:r>
              <w:rPr>
                <w:rFonts w:ascii="Times New Roman" w:cs="Times New Roman" w:eastAsia="Times New Roman" w:hAnsi="Times New Roman"/>
                <w:sz w:val="18"/>
                <w:szCs w:val="18"/>
                <w:color w:val="auto"/>
                <w:w w:val="98"/>
              </w:rPr>
              <w:t>Common Stock (No Par Value)</w:t>
            </w: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right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1940" w:type="dxa"/>
            <w:vAlign w:val="bottom"/>
            <w:tcBorders>
              <w:bottom w:val="single" w:sz="8" w:color="auto"/>
              <w:right w:val="single" w:sz="8" w:color="auto"/>
            </w:tcBorders>
            <w:gridSpan w:val="2"/>
          </w:tcPr>
          <w:p>
            <w:pPr>
              <w:jc w:val="center"/>
              <w:ind w:right="1440"/>
              <w:spacing w:after="0" w:line="193" w:lineRule="exact"/>
              <w:rPr>
                <w:sz w:val="20"/>
                <w:szCs w:val="20"/>
                <w:color w:val="auto"/>
              </w:rPr>
            </w:pPr>
            <w:r>
              <w:rPr>
                <w:rFonts w:ascii="Times New Roman" w:cs="Times New Roman" w:eastAsia="Times New Roman" w:hAnsi="Times New Roman"/>
                <w:sz w:val="18"/>
                <w:szCs w:val="18"/>
                <w:color w:val="auto"/>
                <w:w w:val="97"/>
              </w:rPr>
              <w:t>TWIN</w:t>
            </w:r>
          </w:p>
        </w:tc>
        <w:tc>
          <w:tcPr>
            <w:tcW w:w="520" w:type="dxa"/>
            <w:vAlign w:val="bottom"/>
            <w:tcBorders>
              <w:bottom w:val="single" w:sz="8" w:color="auto"/>
            </w:tcBorders>
          </w:tcPr>
          <w:p>
            <w:pPr>
              <w:spacing w:after="0"/>
              <w:rPr>
                <w:sz w:val="16"/>
                <w:szCs w:val="16"/>
                <w:color w:val="auto"/>
              </w:rPr>
            </w:pPr>
          </w:p>
        </w:tc>
        <w:tc>
          <w:tcPr>
            <w:tcW w:w="3720" w:type="dxa"/>
            <w:vAlign w:val="bottom"/>
            <w:tcBorders>
              <w:bottom w:val="single" w:sz="8" w:color="auto"/>
              <w:right w:val="single" w:sz="8" w:color="auto"/>
            </w:tcBorders>
            <w:gridSpan w:val="4"/>
          </w:tcPr>
          <w:p>
            <w:pPr>
              <w:jc w:val="center"/>
              <w:ind w:right="520"/>
              <w:spacing w:after="0" w:line="193" w:lineRule="exact"/>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98" w:lineRule="exact"/>
        <w:rPr>
          <w:sz w:val="24"/>
          <w:szCs w:val="24"/>
          <w:color w:val="auto"/>
        </w:rPr>
      </w:pPr>
    </w:p>
    <w:p>
      <w:pPr>
        <w:ind w:right="240"/>
        <w:spacing w:after="0" w:line="255"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 (d) of the Securities Exchange Act of 1934 during the preceding 12 months (or for such shorter period that the registrant was required to file such reports) and (2) has been subject to such filing requirements for the past 90 days.</w:t>
      </w:r>
    </w:p>
    <w:p>
      <w:pPr>
        <w:spacing w:after="0" w:line="2" w:lineRule="exact"/>
        <w:rPr>
          <w:sz w:val="24"/>
          <w:szCs w:val="24"/>
          <w:color w:val="auto"/>
        </w:rPr>
      </w:pPr>
    </w:p>
    <w:p>
      <w:pPr>
        <w:ind w:left="4780"/>
        <w:spacing w:after="0" w:line="207" w:lineRule="exact"/>
        <w:tabs>
          <w:tab w:leader="none" w:pos="598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No </w:t>
      </w:r>
      <w:r>
        <w:rPr>
          <w:rFonts w:ascii="MS PGothic" w:cs="MS PGothic" w:eastAsia="MS PGothic" w:hAnsi="MS PGothic"/>
          <w:sz w:val="17"/>
          <w:szCs w:val="17"/>
          <w:color w:val="auto"/>
        </w:rPr>
        <w:t>☐</w:t>
      </w:r>
    </w:p>
    <w:p>
      <w:pPr>
        <w:spacing w:after="0" w:line="212" w:lineRule="exact"/>
        <w:rPr>
          <w:sz w:val="24"/>
          <w:szCs w:val="24"/>
          <w:color w:val="auto"/>
        </w:rPr>
      </w:pPr>
    </w:p>
    <w:p>
      <w:pPr>
        <w:ind w:right="360"/>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w:t>
      </w:r>
    </w:p>
    <w:p>
      <w:pPr>
        <w:spacing w:after="0" w:line="207" w:lineRule="exact"/>
        <w:tabs>
          <w:tab w:leader="none" w:pos="1040" w:val="left"/>
          <w:tab w:leader="none" w:pos="2260" w:val="left"/>
        </w:tabs>
        <w:rPr>
          <w:sz w:val="20"/>
          <w:szCs w:val="20"/>
          <w:color w:val="auto"/>
        </w:rPr>
      </w:pPr>
      <w:r>
        <w:rPr>
          <w:rFonts w:ascii="Times New Roman" w:cs="Times New Roman" w:eastAsia="Times New Roman" w:hAnsi="Times New Roman"/>
          <w:sz w:val="18"/>
          <w:szCs w:val="18"/>
          <w:color w:val="auto"/>
        </w:rPr>
        <w:t>files).</w:t>
      </w:r>
      <w:r>
        <w:rPr>
          <w:sz w:val="20"/>
          <w:szCs w:val="20"/>
          <w:color w:val="auto"/>
        </w:rPr>
        <w:tab/>
      </w: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No </w:t>
      </w:r>
      <w:r>
        <w:rPr>
          <w:rFonts w:ascii="MS PGothic" w:cs="MS PGothic" w:eastAsia="MS PGothic" w:hAnsi="MS PGothic"/>
          <w:sz w:val="17"/>
          <w:szCs w:val="17"/>
          <w:color w:val="auto"/>
        </w:rPr>
        <w:t>☐</w:t>
      </w:r>
    </w:p>
    <w:p>
      <w:pPr>
        <w:spacing w:after="0" w:line="212" w:lineRule="exact"/>
        <w:rPr>
          <w:sz w:val="24"/>
          <w:szCs w:val="24"/>
          <w:color w:val="auto"/>
        </w:rPr>
      </w:pPr>
    </w:p>
    <w:p>
      <w:pPr>
        <w:ind w:right="160"/>
        <w:spacing w:after="0" w:line="257"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ectPr>
          <w:pgSz w:w="11900" w:h="16838" w:orient="portrait"/>
          <w:cols w:equalWidth="0" w:num="1">
            <w:col w:w="11240"/>
          </w:cols>
          <w:pgMar w:left="320" w:top="684" w:right="339" w:bottom="1440" w:gutter="0" w:footer="0" w:header="0"/>
        </w:sectPr>
      </w:pPr>
    </w:p>
    <w:p>
      <w:pPr>
        <w:spacing w:after="0" w:line="1" w:lineRule="exact"/>
        <w:rPr>
          <w:sz w:val="24"/>
          <w:szCs w:val="24"/>
          <w:color w:val="auto"/>
        </w:rPr>
      </w:pPr>
    </w:p>
    <w:p>
      <w:pPr>
        <w:ind w:left="660"/>
        <w:spacing w:after="0" w:line="207" w:lineRule="exact"/>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rPr>
        <w:t>☐</w:t>
      </w:r>
    </w:p>
    <w:p>
      <w:pPr>
        <w:spacing w:after="0" w:line="11" w:lineRule="exact"/>
        <w:rPr>
          <w:sz w:val="24"/>
          <w:szCs w:val="24"/>
          <w:color w:val="auto"/>
        </w:rPr>
      </w:pPr>
    </w:p>
    <w:p>
      <w:pPr>
        <w:ind w:left="660"/>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p>
    <w:p>
      <w:pPr>
        <w:spacing w:after="0" w:line="9" w:lineRule="exact"/>
        <w:rPr>
          <w:sz w:val="24"/>
          <w:szCs w:val="24"/>
          <w:color w:val="auto"/>
        </w:rPr>
      </w:pPr>
    </w:p>
    <w:p>
      <w:pPr>
        <w:ind w:left="6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88"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p>
    <w:p>
      <w:pPr>
        <w:spacing w:after="0" w:line="11"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416" w:lineRule="exact"/>
        <w:rPr>
          <w:sz w:val="24"/>
          <w:szCs w:val="24"/>
          <w:color w:val="auto"/>
        </w:rPr>
      </w:pPr>
    </w:p>
    <w:p>
      <w:pPr>
        <w:sectPr>
          <w:pgSz w:w="11900" w:h="16838" w:orient="portrait"/>
          <w:cols w:equalWidth="0" w:num="2">
            <w:col w:w="4900" w:space="720"/>
            <w:col w:w="5620"/>
          </w:cols>
          <w:pgMar w:left="320" w:top="684" w:right="339" w:bottom="1440" w:gutter="0" w:footer="0" w:header="0"/>
          <w:type w:val="continuous"/>
        </w:sectPr>
      </w:pPr>
    </w:p>
    <w:p>
      <w:pPr>
        <w:spacing w:after="0" w:line="17"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22" w:lineRule="exact"/>
        <w:rPr>
          <w:sz w:val="24"/>
          <w:szCs w:val="24"/>
          <w:color w:val="auto"/>
        </w:rPr>
      </w:pPr>
    </w:p>
    <w:p>
      <w:pPr>
        <w:ind w:left="4800"/>
        <w:spacing w:after="0" w:line="207" w:lineRule="exact"/>
        <w:tabs>
          <w:tab w:leader="none" w:pos="600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No </w:t>
      </w:r>
      <w:r>
        <w:rPr>
          <w:rFonts w:ascii="MS PGothic" w:cs="MS PGothic" w:eastAsia="MS PGothic" w:hAnsi="MS PGothic"/>
          <w:sz w:val="17"/>
          <w:szCs w:val="17"/>
          <w:color w:val="auto"/>
        </w:rPr>
        <w:t>☑</w:t>
      </w:r>
    </w:p>
    <w:p>
      <w:pPr>
        <w:spacing w:after="0" w:line="21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At October 27, 2026, the registrant had 14,538,916 shares of its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7400" w:type="dxa"/>
            <w:vAlign w:val="bottom"/>
          </w:tcPr>
          <w:p>
            <w:pPr>
              <w:ind w:left="700"/>
              <w:spacing w:after="0"/>
              <w:rPr>
                <w:sz w:val="20"/>
                <w:szCs w:val="20"/>
                <w:color w:val="auto"/>
              </w:rPr>
            </w:pPr>
            <w:r>
              <w:rPr>
                <w:rFonts w:ascii="Times New Roman" w:cs="Times New Roman" w:eastAsia="Times New Roman" w:hAnsi="Times New Roman"/>
                <w:sz w:val="18"/>
                <w:szCs w:val="18"/>
                <w:b w:val="1"/>
                <w:bCs w:val="1"/>
                <w:color w:val="auto"/>
              </w:rPr>
              <w:t>FINANCIAL INFORMATION</w:t>
            </w:r>
          </w:p>
        </w:tc>
        <w:tc>
          <w:tcPr>
            <w:tcW w:w="4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74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Financial Statements</w:t>
            </w: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7400" w:type="dxa"/>
            <w:vAlign w:val="bottom"/>
          </w:tcPr>
          <w:p>
            <w:pPr>
              <w:jc w:val="center"/>
              <w:ind w:left="2550"/>
              <w:spacing w:after="0"/>
              <w:rPr>
                <w:sz w:val="20"/>
                <w:szCs w:val="20"/>
                <w:color w:val="auto"/>
              </w:rPr>
            </w:pPr>
            <w:r>
              <w:rPr>
                <w:rFonts w:ascii="Times New Roman" w:cs="Times New Roman" w:eastAsia="Times New Roman" w:hAnsi="Times New Roman"/>
                <w:sz w:val="18"/>
                <w:szCs w:val="18"/>
                <w:b w:val="1"/>
                <w:bCs w:val="1"/>
                <w:color w:val="auto"/>
                <w:w w:val="98"/>
              </w:rPr>
              <w:t>TWIN DISC, INCORPORATED</w:t>
            </w: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600" w:type="dxa"/>
            <w:vAlign w:val="bottom"/>
          </w:tcPr>
          <w:p>
            <w:pPr>
              <w:spacing w:after="0"/>
              <w:rPr>
                <w:sz w:val="19"/>
                <w:szCs w:val="19"/>
                <w:color w:val="auto"/>
              </w:rPr>
            </w:pPr>
          </w:p>
        </w:tc>
        <w:tc>
          <w:tcPr>
            <w:tcW w:w="7400" w:type="dxa"/>
            <w:vAlign w:val="bottom"/>
          </w:tcPr>
          <w:p>
            <w:pPr>
              <w:jc w:val="center"/>
              <w:ind w:left="2550"/>
              <w:spacing w:after="0"/>
              <w:rPr>
                <w:sz w:val="20"/>
                <w:szCs w:val="20"/>
                <w:color w:val="auto"/>
              </w:rPr>
            </w:pPr>
            <w:r>
              <w:rPr>
                <w:rFonts w:ascii="Times New Roman" w:cs="Times New Roman" w:eastAsia="Times New Roman" w:hAnsi="Times New Roman"/>
                <w:sz w:val="18"/>
                <w:szCs w:val="18"/>
                <w:b w:val="1"/>
                <w:bCs w:val="1"/>
                <w:color w:val="auto"/>
                <w:w w:val="99"/>
              </w:rPr>
              <w:t>CONDENSED CONSOLIDATED BALANCE SHEETS</w:t>
            </w:r>
          </w:p>
        </w:tc>
        <w:tc>
          <w:tcPr>
            <w:tcW w:w="4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7400" w:type="dxa"/>
            <w:vAlign w:val="bottom"/>
          </w:tcPr>
          <w:p>
            <w:pPr>
              <w:jc w:val="center"/>
              <w:ind w:left="2570"/>
              <w:spacing w:after="0"/>
              <w:rPr>
                <w:sz w:val="20"/>
                <w:szCs w:val="20"/>
                <w:color w:val="auto"/>
              </w:rPr>
            </w:pPr>
            <w:r>
              <w:rPr>
                <w:rFonts w:ascii="Times New Roman" w:cs="Times New Roman" w:eastAsia="Times New Roman" w:hAnsi="Times New Roman"/>
                <w:sz w:val="18"/>
                <w:szCs w:val="18"/>
                <w:color w:val="auto"/>
                <w:w w:val="99"/>
              </w:rPr>
              <w:t>(IN THOUSANDS, EXCEPT SHARE AMOUNTS)</w:t>
            </w: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00" w:type="dxa"/>
            <w:vAlign w:val="bottom"/>
          </w:tcPr>
          <w:p>
            <w:pPr>
              <w:spacing w:after="0"/>
              <w:rPr>
                <w:sz w:val="20"/>
                <w:szCs w:val="20"/>
                <w:color w:val="auto"/>
              </w:rPr>
            </w:pPr>
          </w:p>
        </w:tc>
        <w:tc>
          <w:tcPr>
            <w:tcW w:w="7400" w:type="dxa"/>
            <w:vAlign w:val="bottom"/>
          </w:tcPr>
          <w:p>
            <w:pPr>
              <w:jc w:val="center"/>
              <w:ind w:left="2570"/>
              <w:spacing w:after="0"/>
              <w:rPr>
                <w:sz w:val="20"/>
                <w:szCs w:val="20"/>
                <w:color w:val="auto"/>
              </w:rPr>
            </w:pPr>
            <w:r>
              <w:rPr>
                <w:rFonts w:ascii="Times New Roman" w:cs="Times New Roman" w:eastAsia="Times New Roman" w:hAnsi="Times New Roman"/>
                <w:sz w:val="18"/>
                <w:szCs w:val="18"/>
                <w:color w:val="auto"/>
                <w:w w:val="99"/>
              </w:rPr>
              <w:t>(UNAUDITED)</w:t>
            </w:r>
          </w:p>
        </w:tc>
        <w:tc>
          <w:tcPr>
            <w:tcW w:w="4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600" w:type="dxa"/>
            <w:vAlign w:val="bottom"/>
          </w:tcPr>
          <w:p>
            <w:pPr>
              <w:spacing w:after="0"/>
              <w:rPr>
                <w:sz w:val="24"/>
                <w:szCs w:val="24"/>
                <w:color w:val="auto"/>
              </w:rPr>
            </w:pPr>
          </w:p>
        </w:tc>
        <w:tc>
          <w:tcPr>
            <w:tcW w:w="7400" w:type="dxa"/>
            <w:vAlign w:val="bottom"/>
          </w:tcPr>
          <w:p>
            <w:pPr>
              <w:spacing w:after="0"/>
              <w:rPr>
                <w:sz w:val="24"/>
                <w:szCs w:val="24"/>
                <w:color w:val="auto"/>
              </w:rPr>
            </w:pPr>
          </w:p>
        </w:tc>
        <w:tc>
          <w:tcPr>
            <w:tcW w:w="16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September 25, 2026</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June 30, 2026</w:t>
            </w:r>
          </w:p>
        </w:tc>
        <w:tc>
          <w:tcPr>
            <w:tcW w:w="0" w:type="dxa"/>
            <w:vAlign w:val="bottom"/>
          </w:tcPr>
          <w:p>
            <w:pPr>
              <w:spacing w:after="0"/>
              <w:rPr>
                <w:sz w:val="1"/>
                <w:szCs w:val="1"/>
                <w:color w:val="auto"/>
              </w:rPr>
            </w:pPr>
          </w:p>
        </w:tc>
      </w:tr>
      <w:tr>
        <w:trPr>
          <w:trHeight w:val="209"/>
        </w:trPr>
        <w:tc>
          <w:tcPr>
            <w:tcW w:w="80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4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w:t>
            </w:r>
          </w:p>
        </w:tc>
        <w:tc>
          <w:tcPr>
            <w:tcW w:w="74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26,728</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16,029</w:t>
            </w:r>
          </w:p>
        </w:tc>
        <w:tc>
          <w:tcPr>
            <w:tcW w:w="0" w:type="dxa"/>
            <w:vAlign w:val="bottom"/>
          </w:tcPr>
          <w:p>
            <w:pPr>
              <w:spacing w:after="0"/>
              <w:rPr>
                <w:sz w:val="1"/>
                <w:szCs w:val="1"/>
                <w:color w:val="auto"/>
              </w:rPr>
            </w:pP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Trade accounts receivable, net</w:t>
            </w:r>
          </w:p>
        </w:tc>
        <w:tc>
          <w:tcPr>
            <w:tcW w:w="48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54,967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66,761</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Inventories, net</w:t>
            </w:r>
          </w:p>
        </w:tc>
        <w:tc>
          <w:tcPr>
            <w:tcW w:w="4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178,928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178,028</w:t>
            </w:r>
          </w:p>
        </w:tc>
        <w:tc>
          <w:tcPr>
            <w:tcW w:w="0" w:type="dxa"/>
            <w:vAlign w:val="bottom"/>
          </w:tcPr>
          <w:p>
            <w:pPr>
              <w:spacing w:after="0"/>
              <w:rPr>
                <w:sz w:val="1"/>
                <w:szCs w:val="1"/>
                <w:color w:val="auto"/>
              </w:rPr>
            </w:pPr>
          </w:p>
        </w:tc>
      </w:tr>
      <w:tr>
        <w:trPr>
          <w:trHeight w:val="229"/>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 current assets</w:t>
            </w:r>
          </w:p>
        </w:tc>
        <w:tc>
          <w:tcPr>
            <w:tcW w:w="48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19,158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17,397</w:t>
            </w:r>
          </w:p>
        </w:tc>
        <w:tc>
          <w:tcPr>
            <w:tcW w:w="0" w:type="dxa"/>
            <w:vAlign w:val="bottom"/>
          </w:tcPr>
          <w:p>
            <w:pPr>
              <w:spacing w:after="0"/>
              <w:rPr>
                <w:sz w:val="1"/>
                <w:szCs w:val="1"/>
                <w:color w:val="auto"/>
              </w:rPr>
            </w:pPr>
          </w:p>
        </w:tc>
      </w:tr>
      <w:tr>
        <w:trPr>
          <w:trHeight w:val="209"/>
        </w:trPr>
        <w:tc>
          <w:tcPr>
            <w:tcW w:w="8000" w:type="dxa"/>
            <w:vAlign w:val="bottom"/>
            <w:tcBorders>
              <w:top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current assets</w:t>
            </w:r>
          </w:p>
        </w:tc>
        <w:tc>
          <w:tcPr>
            <w:tcW w:w="4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279,781</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278,215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4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70,636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68,094</w:t>
            </w: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Right-of-use operating lease assets</w:t>
            </w:r>
          </w:p>
        </w:tc>
        <w:tc>
          <w:tcPr>
            <w:tcW w:w="48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13,754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14,730</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4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2,783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2,772</w:t>
            </w: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48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13,784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14,121</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 assets</w:t>
            </w:r>
          </w:p>
        </w:tc>
        <w:tc>
          <w:tcPr>
            <w:tcW w:w="4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22,175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21,093</w:t>
            </w:r>
          </w:p>
        </w:tc>
        <w:tc>
          <w:tcPr>
            <w:tcW w:w="0" w:type="dxa"/>
            <w:vAlign w:val="bottom"/>
          </w:tcPr>
          <w:p>
            <w:pPr>
              <w:spacing w:after="0"/>
              <w:rPr>
                <w:sz w:val="1"/>
                <w:szCs w:val="1"/>
                <w:color w:val="auto"/>
              </w:rPr>
            </w:pPr>
          </w:p>
        </w:tc>
      </w:tr>
      <w:tr>
        <w:trPr>
          <w:trHeight w:val="230"/>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48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2,276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2,220</w:t>
            </w:r>
          </w:p>
        </w:tc>
        <w:tc>
          <w:tcPr>
            <w:tcW w:w="0" w:type="dxa"/>
            <w:vAlign w:val="bottom"/>
          </w:tcPr>
          <w:p>
            <w:pPr>
              <w:spacing w:after="0"/>
              <w:rPr>
                <w:sz w:val="1"/>
                <w:szCs w:val="1"/>
                <w:color w:val="auto"/>
              </w:rPr>
            </w:pPr>
          </w:p>
        </w:tc>
      </w:tr>
      <w:tr>
        <w:trPr>
          <w:trHeight w:val="223"/>
        </w:trPr>
        <w:tc>
          <w:tcPr>
            <w:tcW w:w="80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4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405,189</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401,245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00" w:type="dxa"/>
            <w:vAlign w:val="bottom"/>
            <w:gridSpan w:val="2"/>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00" w:type="dxa"/>
            <w:vAlign w:val="bottom"/>
          </w:tcPr>
          <w:p>
            <w:pPr>
              <w:spacing w:after="0"/>
              <w:rPr>
                <w:sz w:val="17"/>
                <w:szCs w:val="17"/>
                <w:color w:val="auto"/>
              </w:rPr>
            </w:pPr>
          </w:p>
        </w:tc>
        <w:tc>
          <w:tcPr>
            <w:tcW w:w="74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 AND EQUITY</w:t>
            </w: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maturities of long-term debt</w:t>
            </w:r>
          </w:p>
        </w:tc>
        <w:tc>
          <w:tcPr>
            <w:tcW w:w="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1,500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1,500</w:t>
            </w:r>
          </w:p>
        </w:tc>
        <w:tc>
          <w:tcPr>
            <w:tcW w:w="0" w:type="dxa"/>
            <w:vAlign w:val="bottom"/>
          </w:tcPr>
          <w:p>
            <w:pPr>
              <w:spacing w:after="0"/>
              <w:rPr>
                <w:sz w:val="1"/>
                <w:szCs w:val="1"/>
                <w:color w:val="auto"/>
              </w:rPr>
            </w:pP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Current maturities of right-of-use operating lease obligations</w:t>
            </w:r>
          </w:p>
        </w:tc>
        <w:tc>
          <w:tcPr>
            <w:tcW w:w="48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3,219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3,527</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4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30,502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30,809</w:t>
            </w:r>
          </w:p>
        </w:tc>
        <w:tc>
          <w:tcPr>
            <w:tcW w:w="0" w:type="dxa"/>
            <w:vAlign w:val="bottom"/>
          </w:tcPr>
          <w:p>
            <w:pPr>
              <w:spacing w:after="0"/>
              <w:rPr>
                <w:sz w:val="1"/>
                <w:szCs w:val="1"/>
                <w:color w:val="auto"/>
              </w:rPr>
            </w:pPr>
          </w:p>
        </w:tc>
      </w:tr>
      <w:tr>
        <w:trPr>
          <w:trHeight w:val="230"/>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Accrued liabilities</w:t>
            </w:r>
          </w:p>
        </w:tc>
        <w:tc>
          <w:tcPr>
            <w:tcW w:w="48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78,682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82,739</w:t>
            </w:r>
          </w:p>
        </w:tc>
        <w:tc>
          <w:tcPr>
            <w:tcW w:w="0" w:type="dxa"/>
            <w:vAlign w:val="bottom"/>
          </w:tcPr>
          <w:p>
            <w:pPr>
              <w:spacing w:after="0"/>
              <w:rPr>
                <w:sz w:val="1"/>
                <w:szCs w:val="1"/>
                <w:color w:val="auto"/>
              </w:rPr>
            </w:pPr>
          </w:p>
        </w:tc>
      </w:tr>
      <w:tr>
        <w:trPr>
          <w:trHeight w:val="210"/>
        </w:trPr>
        <w:tc>
          <w:tcPr>
            <w:tcW w:w="8000" w:type="dxa"/>
            <w:vAlign w:val="bottom"/>
            <w:tcBorders>
              <w:top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4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113,903</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118,575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4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38,295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28,310</w:t>
            </w: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Right-of-use operating lease obligations</w:t>
            </w:r>
          </w:p>
        </w:tc>
        <w:tc>
          <w:tcPr>
            <w:tcW w:w="48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11,023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11,691</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retirement benefits</w:t>
            </w:r>
          </w:p>
        </w:tc>
        <w:tc>
          <w:tcPr>
            <w:tcW w:w="4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9,371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10,429</w:t>
            </w: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income tax liabilities</w:t>
            </w:r>
          </w:p>
        </w:tc>
        <w:tc>
          <w:tcPr>
            <w:tcW w:w="48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4,361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4,480</w:t>
            </w:r>
          </w:p>
        </w:tc>
        <w:tc>
          <w:tcPr>
            <w:tcW w:w="0" w:type="dxa"/>
            <w:vAlign w:val="bottom"/>
          </w:tcPr>
          <w:p>
            <w:pPr>
              <w:spacing w:after="0"/>
              <w:rPr>
                <w:sz w:val="1"/>
                <w:szCs w:val="1"/>
                <w:color w:val="auto"/>
              </w:rPr>
            </w:pPr>
          </w:p>
        </w:tc>
      </w:tr>
      <w:tr>
        <w:trPr>
          <w:trHeight w:val="229"/>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4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7,896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7,824</w:t>
            </w:r>
          </w:p>
        </w:tc>
        <w:tc>
          <w:tcPr>
            <w:tcW w:w="0" w:type="dxa"/>
            <w:vAlign w:val="bottom"/>
          </w:tcPr>
          <w:p>
            <w:pPr>
              <w:spacing w:after="0"/>
              <w:rPr>
                <w:sz w:val="1"/>
                <w:szCs w:val="1"/>
                <w:color w:val="auto"/>
              </w:rPr>
            </w:pPr>
          </w:p>
        </w:tc>
      </w:tr>
      <w:tr>
        <w:trPr>
          <w:trHeight w:val="210"/>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4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184,849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181,309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Twin Disc, Incorporated shareholders' equity:</w:t>
            </w: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shares authorized: 200,000; issued: none; no par value</w:t>
            </w:r>
          </w:p>
        </w:tc>
        <w:tc>
          <w:tcPr>
            <w:tcW w:w="4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Common shares authorized: 30,000,000; issued: 14,632,802; no par value</w:t>
            </w:r>
          </w:p>
        </w:tc>
        <w:tc>
          <w:tcPr>
            <w:tcW w:w="48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36,308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40,252</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4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185,043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182,340</w:t>
            </w:r>
          </w:p>
        </w:tc>
        <w:tc>
          <w:tcPr>
            <w:tcW w:w="0" w:type="dxa"/>
            <w:vAlign w:val="bottom"/>
          </w:tcPr>
          <w:p>
            <w:pPr>
              <w:spacing w:after="0"/>
              <w:rPr>
                <w:sz w:val="1"/>
                <w:szCs w:val="1"/>
                <w:color w:val="auto"/>
              </w:rPr>
            </w:pPr>
          </w:p>
        </w:tc>
      </w:tr>
      <w:tr>
        <w:trPr>
          <w:trHeight w:val="230"/>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48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288</w:t>
            </w:r>
          </w:p>
        </w:tc>
        <w:tc>
          <w:tcPr>
            <w:tcW w:w="0" w:type="dxa"/>
            <w:vAlign w:val="bottom"/>
          </w:tcPr>
          <w:p>
            <w:pPr>
              <w:spacing w:after="0"/>
              <w:rPr>
                <w:sz w:val="1"/>
                <w:szCs w:val="1"/>
                <w:color w:val="auto"/>
              </w:rPr>
            </w:pPr>
          </w:p>
        </w:tc>
      </w:tr>
      <w:tr>
        <w:trPr>
          <w:trHeight w:val="209"/>
        </w:trPr>
        <w:tc>
          <w:tcPr>
            <w:tcW w:w="600" w:type="dxa"/>
            <w:vAlign w:val="bottom"/>
            <w:tcBorders>
              <w:top w:val="single" w:sz="8" w:color="CCEEFF"/>
            </w:tcBorders>
            <w:shd w:val="clear" w:color="auto" w:fill="CCEEFF"/>
          </w:tcPr>
          <w:p>
            <w:pPr>
              <w:spacing w:after="0"/>
              <w:rPr>
                <w:sz w:val="18"/>
                <w:szCs w:val="18"/>
                <w:color w:val="auto"/>
              </w:rPr>
            </w:pPr>
          </w:p>
        </w:tc>
        <w:tc>
          <w:tcPr>
            <w:tcW w:w="74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221,305</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222,880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treasury stock, at cost (93,886 and 209,263 shares, respectively)</w:t>
            </w:r>
          </w:p>
        </w:tc>
        <w:tc>
          <w:tcPr>
            <w:tcW w:w="48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1,461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3,226</w:t>
            </w:r>
          </w:p>
        </w:tc>
        <w:tc>
          <w:tcPr>
            <w:tcW w:w="0" w:type="dxa"/>
            <w:vAlign w:val="bottom"/>
          </w:tcPr>
          <w:p>
            <w:pPr>
              <w:spacing w:after="0"/>
              <w:rPr>
                <w:sz w:val="1"/>
                <w:szCs w:val="1"/>
                <w:color w:val="auto"/>
              </w:rPr>
            </w:pPr>
          </w:p>
        </w:tc>
      </w:tr>
      <w:tr>
        <w:trPr>
          <w:trHeight w:val="210"/>
        </w:trPr>
        <w:tc>
          <w:tcPr>
            <w:tcW w:w="80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Twin Disc, Incorporated shareholders' equity</w:t>
            </w:r>
          </w:p>
        </w:tc>
        <w:tc>
          <w:tcPr>
            <w:tcW w:w="4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219,844</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219,654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Noncontrolling interest</w:t>
            </w:r>
          </w:p>
        </w:tc>
        <w:tc>
          <w:tcPr>
            <w:tcW w:w="48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496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282</w:t>
            </w:r>
          </w:p>
        </w:tc>
        <w:tc>
          <w:tcPr>
            <w:tcW w:w="0" w:type="dxa"/>
            <w:vAlign w:val="bottom"/>
          </w:tcPr>
          <w:p>
            <w:pPr>
              <w:spacing w:after="0"/>
              <w:rPr>
                <w:sz w:val="1"/>
                <w:szCs w:val="1"/>
                <w:color w:val="auto"/>
              </w:rPr>
            </w:pPr>
          </w:p>
        </w:tc>
      </w:tr>
      <w:tr>
        <w:trPr>
          <w:trHeight w:val="209"/>
        </w:trPr>
        <w:tc>
          <w:tcPr>
            <w:tcW w:w="80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equity</w:t>
            </w:r>
          </w:p>
        </w:tc>
        <w:tc>
          <w:tcPr>
            <w:tcW w:w="4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220,340</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219,936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405,189</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401,245</w:t>
            </w:r>
          </w:p>
        </w:tc>
        <w:tc>
          <w:tcPr>
            <w:tcW w:w="0" w:type="dxa"/>
            <w:vAlign w:val="bottom"/>
          </w:tcPr>
          <w:p>
            <w:pPr>
              <w:spacing w:after="0"/>
              <w:rPr>
                <w:sz w:val="1"/>
                <w:szCs w:val="1"/>
                <w:color w:val="auto"/>
              </w:rPr>
            </w:pPr>
          </w:p>
        </w:tc>
      </w:tr>
      <w:tr>
        <w:trPr>
          <w:trHeight w:val="20"/>
        </w:trPr>
        <w:tc>
          <w:tcPr>
            <w:tcW w:w="800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The notes to condensed consolidated financial statements are an integral part of these statements.</w:t>
            </w: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000" w:type="dxa"/>
            <w:vAlign w:val="bottom"/>
            <w:gridSpan w:val="2"/>
            <w:vMerge w:val="continue"/>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5"/>
        </w:trPr>
        <w:tc>
          <w:tcPr>
            <w:tcW w:w="600" w:type="dxa"/>
            <w:vAlign w:val="bottom"/>
          </w:tcPr>
          <w:p>
            <w:pPr>
              <w:spacing w:after="0"/>
              <w:rPr>
                <w:sz w:val="24"/>
                <w:szCs w:val="24"/>
                <w:color w:val="auto"/>
              </w:rPr>
            </w:pPr>
          </w:p>
        </w:tc>
        <w:tc>
          <w:tcPr>
            <w:tcW w:w="7400" w:type="dxa"/>
            <w:vAlign w:val="bottom"/>
          </w:tcPr>
          <w:p>
            <w:pPr>
              <w:jc w:val="center"/>
              <w:ind w:left="2550"/>
              <w:spacing w:after="0"/>
              <w:rPr>
                <w:sz w:val="20"/>
                <w:szCs w:val="20"/>
                <w:color w:val="auto"/>
              </w:rPr>
            </w:pPr>
            <w:r>
              <w:rPr>
                <w:rFonts w:ascii="Times New Roman" w:cs="Times New Roman" w:eastAsia="Times New Roman" w:hAnsi="Times New Roman"/>
                <w:sz w:val="18"/>
                <w:szCs w:val="18"/>
                <w:color w:val="auto"/>
                <w:w w:val="88"/>
              </w:rPr>
              <w:t>2</w:t>
            </w: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00" w:type="dxa"/>
            <w:vAlign w:val="bottom"/>
            <w:tcBorders>
              <w:bottom w:val="single" w:sz="8" w:color="auto"/>
            </w:tcBorders>
          </w:tcPr>
          <w:p>
            <w:pPr>
              <w:spacing w:after="0"/>
              <w:rPr>
                <w:sz w:val="10"/>
                <w:szCs w:val="10"/>
                <w:color w:val="auto"/>
              </w:rPr>
            </w:pPr>
          </w:p>
        </w:tc>
        <w:tc>
          <w:tcPr>
            <w:tcW w:w="74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19"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TWIN DISC, INCORPORATED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COMPREHENSIVE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0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80" w:type="dxa"/>
            <w:vAlign w:val="bottom"/>
            <w:gridSpan w:val="4"/>
          </w:tcPr>
          <w:p>
            <w:pPr>
              <w:ind w:left="340"/>
              <w:spacing w:after="0"/>
              <w:rPr>
                <w:sz w:val="20"/>
                <w:szCs w:val="20"/>
                <w:color w:val="auto"/>
              </w:rPr>
            </w:pPr>
            <w:r>
              <w:rPr>
                <w:rFonts w:ascii="Times New Roman" w:cs="Times New Roman" w:eastAsia="Times New Roman" w:hAnsi="Times New Roman"/>
                <w:sz w:val="18"/>
                <w:szCs w:val="18"/>
                <w:color w:val="auto"/>
              </w:rPr>
              <w:t>For the Quarter-Ended</w:t>
            </w: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4"/>
        </w:trPr>
        <w:tc>
          <w:tcPr>
            <w:tcW w:w="8000" w:type="dxa"/>
            <w:vAlign w:val="bottom"/>
          </w:tcPr>
          <w:p>
            <w:pPr>
              <w:spacing w:after="0"/>
              <w:rPr>
                <w:sz w:val="20"/>
                <w:szCs w:val="20"/>
                <w:color w:val="auto"/>
              </w:rPr>
            </w:pPr>
          </w:p>
        </w:tc>
        <w:tc>
          <w:tcPr>
            <w:tcW w:w="16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September 25, 2026</w:t>
            </w:r>
          </w:p>
        </w:tc>
        <w:tc>
          <w:tcPr>
            <w:tcW w:w="20" w:type="dxa"/>
            <w:vAlign w:val="bottom"/>
          </w:tcPr>
          <w:p>
            <w:pPr>
              <w:spacing w:after="0"/>
              <w:rPr>
                <w:sz w:val="20"/>
                <w:szCs w:val="20"/>
                <w:color w:val="auto"/>
              </w:rPr>
            </w:pPr>
          </w:p>
        </w:tc>
        <w:tc>
          <w:tcPr>
            <w:tcW w:w="15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September 26, 2025</w:t>
            </w:r>
          </w:p>
        </w:tc>
      </w:tr>
      <w:tr>
        <w:trPr>
          <w:trHeight w:val="210"/>
        </w:trPr>
        <w:tc>
          <w:tcPr>
            <w:tcW w:w="8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4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88,745</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79,996</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29"/>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42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63,319</w:t>
            </w: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57,062</w:t>
            </w:r>
          </w:p>
        </w:tc>
      </w:tr>
      <w:tr>
        <w:trPr>
          <w:trHeight w:val="210"/>
        </w:trPr>
        <w:tc>
          <w:tcPr>
            <w:tcW w:w="8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4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25,426</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22,934</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8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Marketing, engineering and administrative expenses</w:t>
            </w:r>
          </w:p>
        </w:tc>
        <w:tc>
          <w:tcPr>
            <w:tcW w:w="4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20,845</w:t>
            </w: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20,699</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Restructuring expenses</w:t>
            </w:r>
          </w:p>
        </w:tc>
        <w:tc>
          <w:tcPr>
            <w:tcW w:w="42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52</w:t>
            </w: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2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operating income</w:t>
            </w:r>
          </w:p>
        </w:tc>
        <w:tc>
          <w:tcPr>
            <w:tcW w:w="4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(47)</w:t>
            </w:r>
          </w:p>
        </w:tc>
        <w:tc>
          <w:tcPr>
            <w:tcW w:w="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r>
      <w:tr>
        <w:trPr>
          <w:trHeight w:val="21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4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4,576</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4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(428)</w:t>
            </w: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(800)</w:t>
            </w:r>
          </w:p>
        </w:tc>
      </w:tr>
      <w:tr>
        <w:trPr>
          <w:trHeight w:val="23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420" w:type="dxa"/>
            <w:vAlign w:val="bottom"/>
          </w:tcPr>
          <w:p>
            <w:pPr>
              <w:spacing w:after="0"/>
              <w:rPr>
                <w:sz w:val="19"/>
                <w:szCs w:val="19"/>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(246)</w:t>
            </w: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(864)</w:t>
            </w:r>
          </w:p>
        </w:tc>
      </w:tr>
      <w:tr>
        <w:trPr>
          <w:trHeight w:val="209"/>
        </w:trPr>
        <w:tc>
          <w:tcPr>
            <w:tcW w:w="80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(1,664)</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8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before income taxes and noncontrolling interest</w:t>
            </w:r>
          </w:p>
        </w:tc>
        <w:tc>
          <w:tcPr>
            <w:tcW w:w="4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3,902</w:t>
            </w: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571</w:t>
            </w:r>
          </w:p>
        </w:tc>
      </w:tr>
      <w:tr>
        <w:trPr>
          <w:trHeight w:val="23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420" w:type="dxa"/>
            <w:vAlign w:val="bottom"/>
          </w:tcPr>
          <w:p>
            <w:pPr>
              <w:spacing w:after="0"/>
              <w:rPr>
                <w:sz w:val="19"/>
                <w:szCs w:val="19"/>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(415)</w:t>
            </w: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(983)</w:t>
            </w:r>
          </w:p>
        </w:tc>
      </w:tr>
      <w:tr>
        <w:trPr>
          <w:trHeight w:val="209"/>
        </w:trPr>
        <w:tc>
          <w:tcPr>
            <w:tcW w:w="8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4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3,487</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3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Less: Net income (loss) attributable to noncontrolling interest, net of tax</w:t>
            </w:r>
          </w:p>
        </w:tc>
        <w:tc>
          <w:tcPr>
            <w:tcW w:w="42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42</w:t>
            </w: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106</w:t>
            </w:r>
          </w:p>
        </w:tc>
      </w:tr>
      <w:tr>
        <w:trPr>
          <w:trHeight w:val="210"/>
        </w:trPr>
        <w:tc>
          <w:tcPr>
            <w:tcW w:w="8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attributable to Twin Disc, Incorporated</w:t>
            </w:r>
          </w:p>
        </w:tc>
        <w:tc>
          <w:tcPr>
            <w:tcW w:w="4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3,445</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8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Dividends per share</w:t>
            </w:r>
          </w:p>
        </w:tc>
        <w:tc>
          <w:tcPr>
            <w:tcW w:w="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0.05</w:t>
            </w:r>
          </w:p>
        </w:tc>
        <w:tc>
          <w:tcPr>
            <w:tcW w:w="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0.04</w:t>
            </w:r>
          </w:p>
        </w:tc>
      </w:tr>
      <w:tr>
        <w:trPr>
          <w:trHeight w:val="216"/>
        </w:trPr>
        <w:tc>
          <w:tcPr>
            <w:tcW w:w="8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(loss) per share data:</w:t>
            </w: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Basic earnings (loss) per share attributable to Twin Disc, Incorporated common shareholders</w:t>
            </w:r>
          </w:p>
        </w:tc>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0.24</w:t>
            </w:r>
          </w:p>
        </w:tc>
        <w:tc>
          <w:tcPr>
            <w:tcW w:w="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(0.04)</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earnings (loss) per share attributable to Twin Disc, Incorporated common shareholders</w:t>
            </w:r>
          </w:p>
        </w:tc>
        <w:tc>
          <w:tcPr>
            <w:tcW w:w="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0.24</w:t>
            </w:r>
          </w:p>
        </w:tc>
        <w:tc>
          <w:tcPr>
            <w:tcW w:w="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(0.04)</w:t>
            </w:r>
          </w:p>
        </w:tc>
      </w:tr>
      <w:tr>
        <w:trPr>
          <w:trHeight w:val="216"/>
        </w:trPr>
        <w:tc>
          <w:tcPr>
            <w:tcW w:w="8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outstanding data:</w:t>
            </w: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Basic shares outstanding</w:t>
            </w:r>
          </w:p>
        </w:tc>
        <w:tc>
          <w:tcPr>
            <w:tcW w:w="42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14,238</w:t>
            </w: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13,961</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shares outstanding</w:t>
            </w:r>
          </w:p>
        </w:tc>
        <w:tc>
          <w:tcPr>
            <w:tcW w:w="4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14,634</w:t>
            </w: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13,961</w:t>
            </w:r>
          </w:p>
        </w:tc>
      </w:tr>
      <w:tr>
        <w:trPr>
          <w:trHeight w:val="216"/>
        </w:trPr>
        <w:tc>
          <w:tcPr>
            <w:tcW w:w="8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income (loss)</w:t>
            </w: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3,487</w:t>
            </w:r>
          </w:p>
        </w:tc>
        <w:tc>
          <w:tcPr>
            <w:tcW w:w="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(412)</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Benefit plan adjustments, net of income taxes of $9 and $1, respectively</w:t>
            </w:r>
          </w:p>
        </w:tc>
        <w:tc>
          <w:tcPr>
            <w:tcW w:w="4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27</w:t>
            </w: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632</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42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(189)</w:t>
            </w: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(2,431)</w:t>
            </w:r>
          </w:p>
        </w:tc>
      </w:tr>
      <w:tr>
        <w:trPr>
          <w:trHeight w:val="23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Unrealized gain (loss) on hedges, net of income taxes of $0 and $0, respectively</w:t>
            </w:r>
          </w:p>
        </w:tc>
        <w:tc>
          <w:tcPr>
            <w:tcW w:w="4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80" w:type="dxa"/>
            <w:vAlign w:val="bottom"/>
            <w:shd w:val="clear" w:color="auto" w:fill="CCEEFF"/>
          </w:tcPr>
          <w:p>
            <w:pPr>
              <w:spacing w:after="0"/>
              <w:rPr>
                <w:sz w:val="19"/>
                <w:szCs w:val="19"/>
                <w:color w:val="auto"/>
              </w:rPr>
            </w:pPr>
          </w:p>
        </w:tc>
      </w:tr>
      <w:tr>
        <w:trPr>
          <w:trHeight w:val="21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 (loss)</w:t>
            </w:r>
          </w:p>
        </w:tc>
        <w:tc>
          <w:tcPr>
            <w:tcW w:w="4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3,325</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(2,113)</w:t>
            </w:r>
          </w:p>
        </w:tc>
        <w:tc>
          <w:tcPr>
            <w:tcW w:w="100" w:type="dxa"/>
            <w:vAlign w:val="bottom"/>
            <w:gridSpan w:val="2"/>
          </w:tcPr>
          <w:p>
            <w:pPr>
              <w:spacing w:after="0"/>
              <w:rPr>
                <w:sz w:val="18"/>
                <w:szCs w:val="18"/>
                <w:color w:val="auto"/>
              </w:rPr>
            </w:pPr>
          </w:p>
        </w:tc>
      </w:tr>
      <w:tr>
        <w:trPr>
          <w:trHeight w:val="23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Comprehensive income (loss) attributable to noncontrolling interest</w:t>
            </w:r>
          </w:p>
        </w:tc>
        <w:tc>
          <w:tcPr>
            <w:tcW w:w="4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213</w:t>
            </w:r>
          </w:p>
        </w:tc>
        <w:tc>
          <w:tcPr>
            <w:tcW w:w="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7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191</w:t>
            </w:r>
          </w:p>
        </w:tc>
      </w:tr>
      <w:tr>
        <w:trPr>
          <w:trHeight w:val="223"/>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 (loss) attributable to Twin Disc, Incorporated</w:t>
            </w:r>
          </w:p>
        </w:tc>
        <w:tc>
          <w:tcPr>
            <w:tcW w:w="4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3,112</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(2,304</w:t>
            </w:r>
          </w:p>
        </w:tc>
        <w:tc>
          <w:tcPr>
            <w:tcW w:w="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80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notes to condensed consolidated financial statements are an integral part of these statements.</w:t>
      </w:r>
    </w:p>
    <w:p>
      <w:pPr>
        <w:spacing w:after="0" w:line="22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TWIN DISC, INCORPORATED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0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6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For the Quarter Ended</w:t>
            </w: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4"/>
        </w:trPr>
        <w:tc>
          <w:tcPr>
            <w:tcW w:w="8000" w:type="dxa"/>
            <w:vAlign w:val="bottom"/>
          </w:tcPr>
          <w:p>
            <w:pPr>
              <w:spacing w:after="0"/>
              <w:rPr>
                <w:sz w:val="20"/>
                <w:szCs w:val="20"/>
                <w:color w:val="auto"/>
              </w:rPr>
            </w:pPr>
          </w:p>
        </w:tc>
        <w:tc>
          <w:tcPr>
            <w:tcW w:w="16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September 25, 2026</w:t>
            </w:r>
          </w:p>
        </w:tc>
        <w:tc>
          <w:tcPr>
            <w:tcW w:w="15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September 26, 2025</w:t>
            </w:r>
          </w:p>
        </w:tc>
      </w:tr>
      <w:tr>
        <w:trPr>
          <w:trHeight w:val="210"/>
        </w:trPr>
        <w:tc>
          <w:tcPr>
            <w:tcW w:w="8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4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3,487</w:t>
            </w:r>
          </w:p>
        </w:tc>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(412)</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income (loss) to net cash provided (used) by operating activities:</w:t>
            </w: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20" w:type="dxa"/>
            <w:vAlign w:val="bottom"/>
          </w:tcPr>
          <w:p>
            <w:pPr>
              <w:spacing w:after="0"/>
              <w:rPr>
                <w:sz w:val="18"/>
                <w:szCs w:val="18"/>
                <w:color w:val="auto"/>
              </w:rPr>
            </w:pPr>
          </w:p>
        </w:tc>
        <w:tc>
          <w:tcPr>
            <w:tcW w:w="12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3,399</w:t>
            </w:r>
          </w:p>
        </w:tc>
        <w:tc>
          <w:tcPr>
            <w:tcW w:w="8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3,464</w:t>
            </w:r>
          </w:p>
        </w:tc>
        <w:tc>
          <w:tcPr>
            <w:tcW w:w="8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Gain on sale of assets</w:t>
            </w:r>
          </w:p>
        </w:tc>
        <w:tc>
          <w:tcPr>
            <w:tcW w:w="4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(4)</w:t>
            </w:r>
          </w:p>
        </w:tc>
        <w:tc>
          <w:tcPr>
            <w:tcW w:w="8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Provision for deferred income taxes</w:t>
            </w:r>
          </w:p>
        </w:tc>
        <w:tc>
          <w:tcPr>
            <w:tcW w:w="420" w:type="dxa"/>
            <w:vAlign w:val="bottom"/>
          </w:tcPr>
          <w:p>
            <w:pPr>
              <w:spacing w:after="0"/>
              <w:rPr>
                <w:sz w:val="18"/>
                <w:szCs w:val="18"/>
                <w:color w:val="auto"/>
              </w:rPr>
            </w:pPr>
          </w:p>
        </w:tc>
        <w:tc>
          <w:tcPr>
            <w:tcW w:w="12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(2,376)</w:t>
            </w:r>
          </w:p>
        </w:tc>
        <w:tc>
          <w:tcPr>
            <w:tcW w:w="800" w:type="dxa"/>
            <w:vAlign w:val="bottom"/>
          </w:tcPr>
          <w:p>
            <w:pPr>
              <w:spacing w:after="0"/>
              <w:rPr>
                <w:sz w:val="18"/>
                <w:szCs w:val="18"/>
                <w:color w:val="auto"/>
              </w:rPr>
            </w:pPr>
          </w:p>
        </w:tc>
        <w:tc>
          <w:tcPr>
            <w:tcW w:w="7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(403)</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 compensation expense and other non-cash changes, net</w:t>
            </w:r>
          </w:p>
        </w:tc>
        <w:tc>
          <w:tcPr>
            <w:tcW w:w="4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1,352</w:t>
            </w:r>
          </w:p>
        </w:tc>
        <w:tc>
          <w:tcPr>
            <w:tcW w:w="8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w:t>
            </w:r>
          </w:p>
        </w:tc>
        <w:tc>
          <w:tcPr>
            <w:tcW w:w="80" w:type="dxa"/>
            <w:vAlign w:val="bottom"/>
            <w:shd w:val="clear" w:color="auto" w:fill="CCEEFF"/>
          </w:tcPr>
          <w:p>
            <w:pPr>
              <w:spacing w:after="0"/>
              <w:rPr>
                <w:sz w:val="18"/>
                <w:szCs w:val="18"/>
                <w:color w:val="auto"/>
              </w:rPr>
            </w:pPr>
          </w:p>
        </w:tc>
      </w:tr>
      <w:tr>
        <w:trPr>
          <w:trHeight w:val="229"/>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change in operating assets and liabilities</w:t>
            </w:r>
          </w:p>
        </w:tc>
        <w:tc>
          <w:tcPr>
            <w:tcW w:w="420" w:type="dxa"/>
            <w:vAlign w:val="bottom"/>
          </w:tcPr>
          <w:p>
            <w:pPr>
              <w:spacing w:after="0"/>
              <w:rPr>
                <w:sz w:val="19"/>
                <w:szCs w:val="19"/>
                <w:color w:val="auto"/>
              </w:rPr>
            </w:pPr>
          </w:p>
        </w:tc>
        <w:tc>
          <w:tcPr>
            <w:tcW w:w="12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5,674</w:t>
            </w:r>
          </w:p>
        </w:tc>
        <w:tc>
          <w:tcPr>
            <w:tcW w:w="800" w:type="dxa"/>
            <w:vAlign w:val="bottom"/>
          </w:tcPr>
          <w:p>
            <w:pPr>
              <w:spacing w:after="0"/>
              <w:rPr>
                <w:sz w:val="19"/>
                <w:szCs w:val="19"/>
                <w:color w:val="auto"/>
              </w:rPr>
            </w:pPr>
          </w:p>
        </w:tc>
        <w:tc>
          <w:tcPr>
            <w:tcW w:w="7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(11,035)</w:t>
            </w:r>
          </w:p>
        </w:tc>
      </w:tr>
      <w:tr>
        <w:trPr>
          <w:trHeight w:val="209"/>
        </w:trPr>
        <w:tc>
          <w:tcPr>
            <w:tcW w:w="8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(used) by operating activities</w:t>
            </w: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11,532</w:t>
            </w:r>
          </w:p>
        </w:tc>
        <w:tc>
          <w:tcPr>
            <w:tcW w:w="2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(7,524</w:t>
            </w:r>
          </w:p>
        </w:tc>
        <w:tc>
          <w:tcPr>
            <w:tcW w:w="100" w:type="dxa"/>
            <w:vAlign w:val="bottom"/>
            <w:tcBorders>
              <w:top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8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Acquisition of property, plant, and equipment</w:t>
            </w:r>
          </w:p>
        </w:tc>
        <w:tc>
          <w:tcPr>
            <w:tcW w:w="420" w:type="dxa"/>
            <w:vAlign w:val="bottom"/>
          </w:tcPr>
          <w:p>
            <w:pPr>
              <w:spacing w:after="0"/>
              <w:rPr>
                <w:sz w:val="18"/>
                <w:szCs w:val="18"/>
                <w:color w:val="auto"/>
              </w:rPr>
            </w:pPr>
          </w:p>
        </w:tc>
        <w:tc>
          <w:tcPr>
            <w:tcW w:w="12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(5,784)</w:t>
            </w:r>
          </w:p>
        </w:tc>
        <w:tc>
          <w:tcPr>
            <w:tcW w:w="800" w:type="dxa"/>
            <w:vAlign w:val="bottom"/>
          </w:tcPr>
          <w:p>
            <w:pPr>
              <w:spacing w:after="0"/>
              <w:rPr>
                <w:sz w:val="18"/>
                <w:szCs w:val="18"/>
                <w:color w:val="auto"/>
              </w:rPr>
            </w:pPr>
          </w:p>
        </w:tc>
        <w:tc>
          <w:tcPr>
            <w:tcW w:w="7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(3,430)</w:t>
            </w:r>
          </w:p>
        </w:tc>
      </w:tr>
      <w:tr>
        <w:trPr>
          <w:trHeight w:val="23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net</w:t>
            </w:r>
          </w:p>
        </w:tc>
        <w:tc>
          <w:tcPr>
            <w:tcW w:w="4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4</w:t>
            </w:r>
          </w:p>
        </w:tc>
        <w:tc>
          <w:tcPr>
            <w:tcW w:w="800" w:type="dxa"/>
            <w:vAlign w:val="bottom"/>
            <w:shd w:val="clear" w:color="auto" w:fill="CCEEFF"/>
          </w:tcPr>
          <w:p>
            <w:pPr>
              <w:spacing w:after="0"/>
              <w:rPr>
                <w:sz w:val="19"/>
                <w:szCs w:val="19"/>
                <w:color w:val="auto"/>
              </w:rPr>
            </w:pPr>
          </w:p>
        </w:tc>
        <w:tc>
          <w:tcPr>
            <w:tcW w:w="7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w:t>
            </w:r>
          </w:p>
        </w:tc>
      </w:tr>
      <w:tr>
        <w:trPr>
          <w:trHeight w:val="209"/>
        </w:trPr>
        <w:tc>
          <w:tcPr>
            <w:tcW w:w="8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cash provided (used) by investing activities</w:t>
            </w:r>
          </w:p>
        </w:tc>
        <w:tc>
          <w:tcPr>
            <w:tcW w:w="4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(5,780</w:t>
            </w:r>
          </w:p>
        </w:tc>
        <w:tc>
          <w:tcPr>
            <w:tcW w:w="200" w:type="dxa"/>
            <w:vAlign w:val="bottom"/>
            <w:tcBorders>
              <w:bottom w:val="single" w:sz="8" w:color="CCEEFF"/>
            </w:tcBorders>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(3,439</w:t>
            </w:r>
          </w:p>
        </w:tc>
        <w:tc>
          <w:tcPr>
            <w:tcW w:w="100" w:type="dxa"/>
            <w:vAlign w:val="bottom"/>
            <w:tcBorders>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09"/>
        </w:trPr>
        <w:tc>
          <w:tcPr>
            <w:tcW w:w="80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Borrowings under revolving loan arrangements</w:t>
            </w:r>
          </w:p>
        </w:tc>
        <w:tc>
          <w:tcPr>
            <w:tcW w:w="4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22,765</w:t>
            </w:r>
          </w:p>
        </w:tc>
        <w:tc>
          <w:tcPr>
            <w:tcW w:w="8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40,375</w:t>
            </w:r>
          </w:p>
        </w:tc>
        <w:tc>
          <w:tcPr>
            <w:tcW w:w="8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Repayments of revolving loan arrangements</w:t>
            </w:r>
          </w:p>
        </w:tc>
        <w:tc>
          <w:tcPr>
            <w:tcW w:w="420" w:type="dxa"/>
            <w:vAlign w:val="bottom"/>
          </w:tcPr>
          <w:p>
            <w:pPr>
              <w:spacing w:after="0"/>
              <w:rPr>
                <w:sz w:val="18"/>
                <w:szCs w:val="18"/>
                <w:color w:val="auto"/>
              </w:rPr>
            </w:pPr>
          </w:p>
        </w:tc>
        <w:tc>
          <w:tcPr>
            <w:tcW w:w="12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(12,765)</w:t>
            </w:r>
          </w:p>
        </w:tc>
        <w:tc>
          <w:tcPr>
            <w:tcW w:w="800" w:type="dxa"/>
            <w:vAlign w:val="bottom"/>
          </w:tcPr>
          <w:p>
            <w:pPr>
              <w:spacing w:after="0"/>
              <w:rPr>
                <w:sz w:val="18"/>
                <w:szCs w:val="18"/>
                <w:color w:val="auto"/>
              </w:rPr>
            </w:pPr>
          </w:p>
        </w:tc>
        <w:tc>
          <w:tcPr>
            <w:tcW w:w="7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(27,971)</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Payments for debt issuance costs</w:t>
            </w:r>
          </w:p>
        </w:tc>
        <w:tc>
          <w:tcPr>
            <w:tcW w:w="4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(27)</w:t>
            </w:r>
          </w:p>
        </w:tc>
        <w:tc>
          <w:tcPr>
            <w:tcW w:w="8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Dividends paid to shareholders</w:t>
            </w:r>
          </w:p>
        </w:tc>
        <w:tc>
          <w:tcPr>
            <w:tcW w:w="420" w:type="dxa"/>
            <w:vAlign w:val="bottom"/>
          </w:tcPr>
          <w:p>
            <w:pPr>
              <w:spacing w:after="0"/>
              <w:rPr>
                <w:sz w:val="18"/>
                <w:szCs w:val="18"/>
                <w:color w:val="auto"/>
              </w:rPr>
            </w:pPr>
          </w:p>
        </w:tc>
        <w:tc>
          <w:tcPr>
            <w:tcW w:w="12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(742)</w:t>
            </w:r>
          </w:p>
        </w:tc>
        <w:tc>
          <w:tcPr>
            <w:tcW w:w="800" w:type="dxa"/>
            <w:vAlign w:val="bottom"/>
          </w:tcPr>
          <w:p>
            <w:pPr>
              <w:spacing w:after="0"/>
              <w:rPr>
                <w:sz w:val="18"/>
                <w:szCs w:val="18"/>
                <w:color w:val="auto"/>
              </w:rPr>
            </w:pPr>
          </w:p>
        </w:tc>
        <w:tc>
          <w:tcPr>
            <w:tcW w:w="7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(566)</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Payments of finance lease obligations</w:t>
            </w:r>
          </w:p>
        </w:tc>
        <w:tc>
          <w:tcPr>
            <w:tcW w:w="4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(328)</w:t>
            </w:r>
          </w:p>
        </w:tc>
        <w:tc>
          <w:tcPr>
            <w:tcW w:w="8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(284)</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Cash used in net share settlement of restricted stock units</w:t>
            </w:r>
          </w:p>
        </w:tc>
        <w:tc>
          <w:tcPr>
            <w:tcW w:w="420" w:type="dxa"/>
            <w:vAlign w:val="bottom"/>
          </w:tcPr>
          <w:p>
            <w:pPr>
              <w:spacing w:after="0"/>
              <w:rPr>
                <w:sz w:val="18"/>
                <w:szCs w:val="18"/>
                <w:color w:val="auto"/>
              </w:rPr>
            </w:pPr>
          </w:p>
        </w:tc>
        <w:tc>
          <w:tcPr>
            <w:tcW w:w="12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(431)</w:t>
            </w:r>
          </w:p>
        </w:tc>
        <w:tc>
          <w:tcPr>
            <w:tcW w:w="800" w:type="dxa"/>
            <w:vAlign w:val="bottom"/>
          </w:tcPr>
          <w:p>
            <w:pPr>
              <w:spacing w:after="0"/>
              <w:rPr>
                <w:sz w:val="18"/>
                <w:szCs w:val="18"/>
                <w:color w:val="auto"/>
              </w:rPr>
            </w:pPr>
          </w:p>
        </w:tc>
        <w:tc>
          <w:tcPr>
            <w:tcW w:w="7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(11)</w:t>
            </w:r>
          </w:p>
        </w:tc>
      </w:tr>
      <w:tr>
        <w:trPr>
          <w:trHeight w:val="23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Payments of withholding taxes on stock compensation</w:t>
            </w:r>
          </w:p>
        </w:tc>
        <w:tc>
          <w:tcPr>
            <w:tcW w:w="4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(2,811)</w:t>
            </w:r>
          </w:p>
        </w:tc>
        <w:tc>
          <w:tcPr>
            <w:tcW w:w="800" w:type="dxa"/>
            <w:vAlign w:val="bottom"/>
            <w:shd w:val="clear" w:color="auto" w:fill="CCEEFF"/>
          </w:tcPr>
          <w:p>
            <w:pPr>
              <w:spacing w:after="0"/>
              <w:rPr>
                <w:sz w:val="19"/>
                <w:szCs w:val="19"/>
                <w:color w:val="auto"/>
              </w:rPr>
            </w:pPr>
          </w:p>
        </w:tc>
        <w:tc>
          <w:tcPr>
            <w:tcW w:w="7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(1,675)</w:t>
            </w:r>
          </w:p>
        </w:tc>
      </w:tr>
      <w:tr>
        <w:trPr>
          <w:trHeight w:val="210"/>
        </w:trPr>
        <w:tc>
          <w:tcPr>
            <w:tcW w:w="8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cash provided (used) by financing activities</w:t>
            </w:r>
          </w:p>
        </w:tc>
        <w:tc>
          <w:tcPr>
            <w:tcW w:w="4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5,661</w:t>
            </w:r>
          </w:p>
        </w:tc>
        <w:tc>
          <w:tcPr>
            <w:tcW w:w="200" w:type="dxa"/>
            <w:vAlign w:val="bottom"/>
            <w:tcBorders>
              <w:bottom w:val="single" w:sz="8" w:color="CCEEFF"/>
            </w:tcBorders>
          </w:tcPr>
          <w:p>
            <w:pPr>
              <w:spacing w:after="0"/>
              <w:rPr>
                <w:sz w:val="18"/>
                <w:szCs w:val="18"/>
                <w:color w:val="auto"/>
              </w:rPr>
            </w:pPr>
          </w:p>
        </w:tc>
        <w:tc>
          <w:tcPr>
            <w:tcW w:w="80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9,868</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4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w:t>
            </w:r>
          </w:p>
        </w:tc>
        <w:tc>
          <w:tcPr>
            <w:tcW w:w="20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w:t>
            </w:r>
          </w:p>
        </w:tc>
        <w:tc>
          <w:tcPr>
            <w:tcW w:w="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Net change in cash</w:t>
            </w:r>
          </w:p>
        </w:tc>
        <w:tc>
          <w:tcPr>
            <w:tcW w:w="4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10,699</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(1,868)</w:t>
            </w:r>
          </w:p>
        </w:tc>
        <w:tc>
          <w:tcPr>
            <w:tcW w:w="100" w:type="dxa"/>
            <w:vAlign w:val="bottom"/>
            <w:gridSpan w:val="2"/>
          </w:tcPr>
          <w:p>
            <w:pPr>
              <w:spacing w:after="0"/>
              <w:rPr>
                <w:sz w:val="18"/>
                <w:szCs w:val="18"/>
                <w:color w:val="auto"/>
              </w:rPr>
            </w:pPr>
          </w:p>
        </w:tc>
      </w:tr>
      <w:tr>
        <w:trPr>
          <w:trHeight w:val="216"/>
        </w:trPr>
        <w:tc>
          <w:tcPr>
            <w:tcW w:w="80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Cash:</w:t>
            </w: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of period</w:t>
            </w:r>
          </w:p>
        </w:tc>
        <w:tc>
          <w:tcPr>
            <w:tcW w:w="4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16,029</w:t>
            </w:r>
          </w:p>
        </w:tc>
        <w:tc>
          <w:tcPr>
            <w:tcW w:w="8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16,109</w:t>
            </w:r>
          </w:p>
        </w:tc>
        <w:tc>
          <w:tcPr>
            <w:tcW w:w="80" w:type="dxa"/>
            <w:vAlign w:val="bottom"/>
            <w:shd w:val="clear" w:color="auto" w:fill="CCEEFF"/>
          </w:tcPr>
          <w:p>
            <w:pPr>
              <w:spacing w:after="0"/>
              <w:rPr>
                <w:sz w:val="18"/>
                <w:szCs w:val="18"/>
                <w:color w:val="auto"/>
              </w:rPr>
            </w:pPr>
          </w:p>
        </w:tc>
      </w:tr>
      <w:tr>
        <w:trPr>
          <w:trHeight w:val="243"/>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End of period</w:t>
            </w:r>
          </w:p>
        </w:tc>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26,728</w:t>
            </w:r>
          </w:p>
        </w:tc>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14,241</w:t>
            </w:r>
          </w:p>
        </w:tc>
        <w:tc>
          <w:tcPr>
            <w:tcW w:w="80" w:type="dxa"/>
            <w:vAlign w:val="bottom"/>
          </w:tcPr>
          <w:p>
            <w:pPr>
              <w:spacing w:after="0"/>
              <w:rPr>
                <w:sz w:val="21"/>
                <w:szCs w:val="21"/>
                <w:color w:val="auto"/>
              </w:rPr>
            </w:pPr>
          </w:p>
        </w:tc>
      </w:tr>
      <w:tr>
        <w:trPr>
          <w:trHeight w:val="20"/>
        </w:trPr>
        <w:tc>
          <w:tcPr>
            <w:tcW w:w="80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notes to condensed consolidated financial statements are an integral part of these statements.</w:t>
      </w:r>
    </w:p>
    <w:p>
      <w:pPr>
        <w:spacing w:after="0" w:line="22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TWIN DISC, INCORPORATED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(AMOUNTS IN THOUSANDS, EXCEPT PER SHARE DATA)</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Basis of Presentation and Other Information</w:t>
      </w:r>
    </w:p>
    <w:p>
      <w:pPr>
        <w:spacing w:after="0" w:line="22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The unaudited condensed consolidated financial statements have been prepared by Twin Disc, Incorporated (the “Company”) pursuant to the rules and regulations of the Securities and Exchange Commission (“SEC”) and, in the opinion of the Company, include adjustments, consisting primarily of normal recurring items, necessary for a fair statement of results for each period. Certain information and footnote disclosures normally included in financial statements prepared in accordance with generally accepted accounting principles have been condensed or omitted pursuant to such SEC rules and regulations. The Company believes that the disclosures made are adequate to make the information presented not misleading. These financial statements should be read in conjunction with the consolidated financial statements and the notes thereto included in the Company’s Annual Report filed on Form 10</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K for June 30, 2026. The prior year-end condensed consolidated balance sheet data was derived from audited financial statements but does not include all disclosures required by accounting principles generally accepted in the United States.</w:t>
      </w:r>
    </w:p>
    <w:p>
      <w:pPr>
        <w:spacing w:after="0" w:line="192"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Company’s condensed consolidated financial statements include the accounts of Twin Disc, Incorporated and its wholly-owned domestic and foreign subsidiaries. The Company's reporting period ends on the last Friday of the quarterly calendar period. The Company's fiscal year ends on June 30, regardless of the day of the week on which June 30 falls. All significant intercompany transactions have been eliminated.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Recently Issued Not Yet Adopted Accounting Standards</w:t>
      </w:r>
    </w:p>
    <w:p>
      <w:pPr>
        <w:spacing w:after="0" w:line="227"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In November 2024, the Financial Accounting Standards Board ("FASB") issued Accounting Standards Update ("ASU") No. 2024-03, “Income Statement —Reporting Comprehensive Income—Expense Disaggregation Disclosures” (“ASU 2024-03”) to expand expense disclosures by requiring disaggregated disclosure of certain income statement expense line items, including those that contain purchases of inventory, employee compensation, depreciation and amortization. ASU 2024-03 is effective for fiscal years beginning after December 15, 2026, or the Company’s fiscal 2028, and subsequent interim periods, with early adoption permitted. The amendments should be applied prospectively, but retrospective application is permitted. The Company is currently assessing the impact of the requirements on our Condensed Consolidated Financial Statements.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Recently Adopted Accounting Standards</w:t>
      </w:r>
    </w:p>
    <w:p>
      <w:pPr>
        <w:spacing w:after="0" w:line="227"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In November 2023, the FASB issued guidance ASU 2023-07, "Segment Reporting (Topic 280): Improvements to Reportable Segment Disclosures," which is intended to improve reportable segment disclosures, primarily through enhanced disclosures about significant segment expenses. In addition, the amendments enhance interim disclosure requirements, clarify circumstances in which an entity can disclose multiple segment measures of profit or loss, provide new segment disclosure requirements for entities with a single reportable segment and contain other disclosure requirements. The Company adopted the new annual disclosures as required for fiscal 2025 and adopted the interim disclosures as required beginning with the first quarter of fiscal 2026.</w:t>
      </w:r>
    </w:p>
    <w:p>
      <w:pPr>
        <w:spacing w:after="0" w:line="18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December 2023, the FASB issued guidance ASU 2023-09, Improvements to Income Tax Disclosures (“ASU 2023-09”), which includes requirements that an entity disclose specific categories in the rate reconciliation and provide additional information for reconciling items that are greater than five percent of the amount computed by multiplying pretax income (or loss) by the applicable statutory income rate. The standard also requires that entities disclose income (or loss) from continuing operations before income tax expense (or benefit) and income tax expense (or benefit) disaggregated between domestic and foreign. ASU 2023-09 is effective for annual periods beginning after December 15, 2024. The Company has adopted ASU 2023-09 on a prospective basis for its 2026 annual report filed on Form 10-K, which resulted in additional disclosures related to income tax but did not impact the Company’s results of operations or financial position.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Special Note Regarding Smaller Reporting Company Status</w:t>
      </w:r>
    </w:p>
    <w:p>
      <w:pPr>
        <w:spacing w:after="0" w:line="22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Under SEC Release 33-10513; 34-83550, Amendments to Smaller Reporting Company Definition, the Company qualifies as a smaller reporting company and accordingly, it has scaled some of its disclosures of financial and non-financial information in this quarterly report. The Company will continue to determine whether to provide additional scaled disclosures of financial or non-financial information in future quarterly reports, annual reports and/or proxy statements if it remains a smaller reporting company under SEC rules.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76" w:right="359" w:bottom="1440" w:gutter="0" w:footer="0" w:header="0"/>
        </w:sectPr>
      </w:pPr>
    </w:p>
    <w:bookmarkStart w:id="5" w:name="page6"/>
    <w:bookmarkEnd w:id="5"/>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B.</w:t>
      </w:r>
      <w:r>
        <w:rPr>
          <w:sz w:val="20"/>
          <w:szCs w:val="20"/>
          <w:color w:val="auto"/>
        </w:rPr>
        <w:tab/>
      </w:r>
      <w:r>
        <w:rPr>
          <w:rFonts w:ascii="Times New Roman" w:cs="Times New Roman" w:eastAsia="Times New Roman" w:hAnsi="Times New Roman"/>
          <w:sz w:val="17"/>
          <w:szCs w:val="17"/>
          <w:b w:val="1"/>
          <w:bCs w:val="1"/>
          <w:color w:val="auto"/>
        </w:rPr>
        <w:t>Contract Assets and Contract Liabilities</w:t>
      </w:r>
    </w:p>
    <w:p>
      <w:pPr>
        <w:spacing w:after="0" w:line="229"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The Company reported the following contract assets and liabilities, which are presented within trade accounts receivable, net, other current assets and accrued liabilities on the condensed consolidated balance sheets, respectively. Deferred revenue represents billings in excess of cost based on milestone billings in the contract and customer deposits represent cash received from customers before performance obligations are fulfilled.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8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8"/>
              </w:rPr>
              <w:t>Contract Assets</w:t>
            </w:r>
          </w:p>
        </w:tc>
        <w:tc>
          <w:tcPr>
            <w:tcW w:w="3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Contract Liabilities</w:t>
            </w: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3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center"/>
              <w:ind w:right="130"/>
              <w:spacing w:after="0" w:line="191" w:lineRule="exact"/>
              <w:rPr>
                <w:sz w:val="20"/>
                <w:szCs w:val="20"/>
                <w:color w:val="auto"/>
              </w:rPr>
            </w:pPr>
            <w:r>
              <w:rPr>
                <w:rFonts w:ascii="Times New Roman" w:cs="Times New Roman" w:eastAsia="Times New Roman" w:hAnsi="Times New Roman"/>
                <w:sz w:val="18"/>
                <w:szCs w:val="18"/>
                <w:color w:val="auto"/>
                <w:w w:val="95"/>
              </w:rPr>
              <w:t>Trade</w:t>
            </w:r>
          </w:p>
        </w:tc>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3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Accounts</w:t>
            </w: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80" w:type="dxa"/>
            <w:vAlign w:val="bottom"/>
          </w:tcPr>
          <w:p>
            <w:pPr>
              <w:spacing w:after="0"/>
              <w:rPr>
                <w:sz w:val="18"/>
                <w:szCs w:val="18"/>
                <w:color w:val="auto"/>
              </w:rPr>
            </w:pPr>
          </w:p>
        </w:tc>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Costs in Excess</w:t>
            </w:r>
          </w:p>
        </w:tc>
        <w:tc>
          <w:tcPr>
            <w:tcW w:w="220" w:type="dxa"/>
            <w:vAlign w:val="bottom"/>
          </w:tcPr>
          <w:p>
            <w:pPr>
              <w:spacing w:after="0"/>
              <w:rPr>
                <w:sz w:val="18"/>
                <w:szCs w:val="18"/>
                <w:color w:val="auto"/>
              </w:rPr>
            </w:pPr>
          </w:p>
        </w:tc>
        <w:tc>
          <w:tcPr>
            <w:tcW w:w="114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Receivable,</w:t>
            </w:r>
          </w:p>
        </w:tc>
        <w:tc>
          <w:tcPr>
            <w:tcW w:w="148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color w:val="auto"/>
                <w:w w:val="99"/>
              </w:rPr>
              <w:t>Total Contract</w:t>
            </w:r>
          </w:p>
        </w:tc>
        <w:tc>
          <w:tcPr>
            <w:tcW w:w="140" w:type="dxa"/>
            <w:vAlign w:val="bottom"/>
          </w:tcPr>
          <w:p>
            <w:pPr>
              <w:spacing w:after="0"/>
              <w:rPr>
                <w:sz w:val="18"/>
                <w:szCs w:val="18"/>
                <w:color w:val="auto"/>
              </w:rPr>
            </w:pPr>
          </w:p>
        </w:tc>
        <w:tc>
          <w:tcPr>
            <w:tcW w:w="10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Customer</w:t>
            </w:r>
          </w:p>
        </w:tc>
        <w:tc>
          <w:tcPr>
            <w:tcW w:w="340" w:type="dxa"/>
            <w:vAlign w:val="bottom"/>
          </w:tcPr>
          <w:p>
            <w:pPr>
              <w:spacing w:after="0"/>
              <w:rPr>
                <w:sz w:val="18"/>
                <w:szCs w:val="18"/>
                <w:color w:val="auto"/>
              </w:rPr>
            </w:pPr>
          </w:p>
        </w:tc>
        <w:tc>
          <w:tcPr>
            <w:tcW w:w="11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Deferred</w:t>
            </w:r>
          </w:p>
        </w:tc>
        <w:tc>
          <w:tcPr>
            <w:tcW w:w="126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Total Contract</w:t>
            </w:r>
          </w:p>
        </w:tc>
      </w:tr>
      <w:tr>
        <w:trPr>
          <w:trHeight w:val="234"/>
        </w:trPr>
        <w:tc>
          <w:tcPr>
            <w:tcW w:w="3280" w:type="dxa"/>
            <w:vAlign w:val="bottom"/>
          </w:tcPr>
          <w:p>
            <w:pPr>
              <w:spacing w:after="0"/>
              <w:rPr>
                <w:sz w:val="20"/>
                <w:szCs w:val="20"/>
                <w:color w:val="auto"/>
              </w:rPr>
            </w:pPr>
          </w:p>
        </w:tc>
        <w:tc>
          <w:tcPr>
            <w:tcW w:w="12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of Billings, Net</w:t>
            </w: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color w:val="auto"/>
                <w:w w:val="99"/>
              </w:rPr>
              <w:t>Net</w:t>
            </w:r>
          </w:p>
        </w:tc>
        <w:tc>
          <w:tcPr>
            <w:tcW w:w="3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rPr>
              <w:t>Assets</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Deposits</w:t>
            </w: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Revenue</w:t>
            </w: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Liabilities</w:t>
            </w:r>
          </w:p>
        </w:tc>
        <w:tc>
          <w:tcPr>
            <w:tcW w:w="100" w:type="dxa"/>
            <w:vAlign w:val="bottom"/>
          </w:tcPr>
          <w:p>
            <w:pPr>
              <w:spacing w:after="0"/>
              <w:rPr>
                <w:sz w:val="20"/>
                <w:szCs w:val="20"/>
                <w:color w:val="auto"/>
              </w:rPr>
            </w:pPr>
          </w:p>
        </w:tc>
      </w:tr>
      <w:tr>
        <w:trPr>
          <w:trHeight w:val="210"/>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June 30, 2025</w:t>
            </w:r>
          </w:p>
        </w:tc>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6,988</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58,941</w:t>
            </w:r>
          </w:p>
        </w:tc>
        <w:tc>
          <w:tcPr>
            <w:tcW w:w="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65,929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13,538</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29,664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43,202</w:t>
            </w: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June 30, 2026</w:t>
            </w:r>
          </w:p>
        </w:tc>
        <w:tc>
          <w:tcPr>
            <w:tcW w:w="400" w:type="dxa"/>
            <w:vAlign w:val="bottom"/>
          </w:tcPr>
          <w:p>
            <w:pPr>
              <w:spacing w:after="0"/>
              <w:rPr>
                <w:sz w:val="18"/>
                <w:szCs w:val="18"/>
                <w:color w:val="auto"/>
              </w:rPr>
            </w:pPr>
          </w:p>
        </w:tc>
        <w:tc>
          <w:tcPr>
            <w:tcW w:w="8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4,617</w:t>
            </w:r>
          </w:p>
        </w:tc>
        <w:tc>
          <w:tcPr>
            <w:tcW w:w="22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66,761</w:t>
            </w:r>
          </w:p>
        </w:tc>
        <w:tc>
          <w:tcPr>
            <w:tcW w:w="3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71,378</w:t>
            </w: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14,538</w:t>
            </w:r>
          </w:p>
        </w:tc>
        <w:tc>
          <w:tcPr>
            <w:tcW w:w="340" w:type="dxa"/>
            <w:vAlign w:val="bottom"/>
          </w:tcPr>
          <w:p>
            <w:pPr>
              <w:spacing w:after="0"/>
              <w:rPr>
                <w:sz w:val="18"/>
                <w:szCs w:val="18"/>
                <w:color w:val="auto"/>
              </w:rPr>
            </w:pPr>
          </w:p>
        </w:tc>
        <w:tc>
          <w:tcPr>
            <w:tcW w:w="11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36,211</w:t>
            </w:r>
          </w:p>
        </w:tc>
        <w:tc>
          <w:tcPr>
            <w:tcW w:w="1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50,749</w:t>
            </w: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25, 2026</w:t>
            </w:r>
          </w:p>
        </w:tc>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4,656</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54,967</w:t>
            </w:r>
          </w:p>
        </w:tc>
        <w:tc>
          <w:tcPr>
            <w:tcW w:w="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59,623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17,382</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30,731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48,113</w:t>
            </w:r>
          </w:p>
        </w:tc>
      </w:tr>
    </w:tbl>
    <w:p>
      <w:pPr>
        <w:spacing w:after="0" w:line="198"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The Company’s contracts are generally short term in nature, and therefore, the amount included in contract liabilities at the beginning of the year was recognized as revenue in the reporting period.</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  Inventories, Net</w:t>
            </w:r>
          </w:p>
        </w:tc>
        <w:tc>
          <w:tcPr>
            <w:tcW w:w="5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6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major classes of inventories were as follows:</w:t>
            </w:r>
          </w:p>
        </w:tc>
        <w:tc>
          <w:tcPr>
            <w:tcW w:w="5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46"/>
        </w:trPr>
        <w:tc>
          <w:tcPr>
            <w:tcW w:w="660" w:type="dxa"/>
            <w:vAlign w:val="bottom"/>
          </w:tcPr>
          <w:p>
            <w:pPr>
              <w:spacing w:after="0"/>
              <w:rPr>
                <w:sz w:val="24"/>
                <w:szCs w:val="24"/>
                <w:color w:val="auto"/>
              </w:rPr>
            </w:pPr>
          </w:p>
        </w:tc>
        <w:tc>
          <w:tcPr>
            <w:tcW w:w="5660" w:type="dxa"/>
            <w:vAlign w:val="bottom"/>
          </w:tcPr>
          <w:p>
            <w:pPr>
              <w:spacing w:after="0"/>
              <w:rPr>
                <w:sz w:val="24"/>
                <w:szCs w:val="24"/>
                <w:color w:val="auto"/>
              </w:rPr>
            </w:pPr>
          </w:p>
        </w:tc>
        <w:tc>
          <w:tcPr>
            <w:tcW w:w="17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September 25, 2026</w:t>
            </w:r>
          </w:p>
        </w:tc>
        <w:tc>
          <w:tcPr>
            <w:tcW w:w="180" w:type="dxa"/>
            <w:vAlign w:val="bottom"/>
          </w:tcPr>
          <w:p>
            <w:pPr>
              <w:spacing w:after="0"/>
              <w:rPr>
                <w:sz w:val="24"/>
                <w:szCs w:val="24"/>
                <w:color w:val="auto"/>
              </w:rPr>
            </w:pPr>
          </w:p>
        </w:tc>
        <w:tc>
          <w:tcPr>
            <w:tcW w:w="14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June 30, 2026</w:t>
            </w:r>
          </w:p>
        </w:tc>
      </w:tr>
      <w:tr>
        <w:trPr>
          <w:trHeight w:val="209"/>
        </w:trPr>
        <w:tc>
          <w:tcPr>
            <w:tcW w:w="660" w:type="dxa"/>
            <w:vAlign w:val="bottom"/>
          </w:tcPr>
          <w:p>
            <w:pPr>
              <w:spacing w:after="0"/>
              <w:rPr>
                <w:sz w:val="18"/>
                <w:szCs w:val="18"/>
                <w:color w:val="auto"/>
              </w:rPr>
            </w:pPr>
          </w:p>
        </w:tc>
        <w:tc>
          <w:tcPr>
            <w:tcW w:w="5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Inventories:</w:t>
            </w:r>
          </w:p>
        </w:tc>
        <w:tc>
          <w:tcPr>
            <w:tcW w:w="5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56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Finished parts</w:t>
            </w: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79,470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79,297</w:t>
            </w:r>
          </w:p>
        </w:tc>
      </w:tr>
      <w:tr>
        <w:trPr>
          <w:trHeight w:val="216"/>
        </w:trPr>
        <w:tc>
          <w:tcPr>
            <w:tcW w:w="660" w:type="dxa"/>
            <w:vAlign w:val="bottom"/>
          </w:tcPr>
          <w:p>
            <w:pPr>
              <w:spacing w:after="0"/>
              <w:rPr>
                <w:sz w:val="18"/>
                <w:szCs w:val="18"/>
                <w:color w:val="auto"/>
              </w:rPr>
            </w:pPr>
          </w:p>
        </w:tc>
        <w:tc>
          <w:tcPr>
            <w:tcW w:w="56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Work in process</w:t>
            </w:r>
          </w:p>
        </w:tc>
        <w:tc>
          <w:tcPr>
            <w:tcW w:w="5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39,627</w:t>
            </w: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38,830</w:t>
            </w:r>
          </w:p>
        </w:tc>
      </w:tr>
      <w:tr>
        <w:trPr>
          <w:trHeight w:val="230"/>
        </w:trPr>
        <w:tc>
          <w:tcPr>
            <w:tcW w:w="660" w:type="dxa"/>
            <w:vAlign w:val="bottom"/>
          </w:tcPr>
          <w:p>
            <w:pPr>
              <w:spacing w:after="0"/>
              <w:rPr>
                <w:sz w:val="19"/>
                <w:szCs w:val="19"/>
                <w:color w:val="auto"/>
              </w:rPr>
            </w:pPr>
          </w:p>
        </w:tc>
        <w:tc>
          <w:tcPr>
            <w:tcW w:w="56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Raw materials</w:t>
            </w:r>
          </w:p>
        </w:tc>
        <w:tc>
          <w:tcPr>
            <w:tcW w:w="52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59,832</w:t>
            </w:r>
          </w:p>
        </w:tc>
        <w:tc>
          <w:tcPr>
            <w:tcW w:w="180" w:type="dxa"/>
            <w:vAlign w:val="bottom"/>
          </w:tcPr>
          <w:p>
            <w:pPr>
              <w:spacing w:after="0"/>
              <w:rPr>
                <w:sz w:val="19"/>
                <w:szCs w:val="19"/>
                <w:color w:val="auto"/>
              </w:rPr>
            </w:pP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59,901</w:t>
            </w:r>
          </w:p>
        </w:tc>
      </w:tr>
      <w:tr>
        <w:trPr>
          <w:trHeight w:val="223"/>
        </w:trPr>
        <w:tc>
          <w:tcPr>
            <w:tcW w:w="660" w:type="dxa"/>
            <w:vAlign w:val="bottom"/>
          </w:tcPr>
          <w:p>
            <w:pPr>
              <w:spacing w:after="0"/>
              <w:rPr>
                <w:sz w:val="19"/>
                <w:szCs w:val="19"/>
                <w:color w:val="auto"/>
              </w:rPr>
            </w:pPr>
          </w:p>
        </w:tc>
        <w:tc>
          <w:tcPr>
            <w:tcW w:w="5660" w:type="dxa"/>
            <w:vAlign w:val="bottom"/>
            <w:tcBorders>
              <w:top w:val="single" w:sz="8" w:color="CCEEFF"/>
              <w:bottom w:val="single" w:sz="8" w:color="CCEEFF"/>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178,928</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178,028</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6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During the fourth quarter of 2026, the Company changed its methodology for valuing the majority of inventories located in the United States to the first-in, first-out (“FIFO”) cost method from the last-in, first-out (“LIFO”) cost method. The Company concluded that the FIFO basis of accounting is preferable as it provides a better matching of costs and revenues, more closely resembles the physical flow of inventory, better reflects the acquisition cost of inventory on the balance sheet, and results in improved comparability with industry peers.</w:t>
      </w:r>
    </w:p>
    <w:p>
      <w:pPr>
        <w:spacing w:after="0" w:line="180"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following tables reflect the effect of the change in accounting method on the condensed consolidated balance sheet and statement of changes in equity for the year ended June 30,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114300</wp:posOffset>
            </wp:positionV>
            <wp:extent cx="30600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8"/>
              </w:rPr>
              <w:t>As Computed</w:t>
            </w:r>
          </w:p>
        </w:tc>
        <w:tc>
          <w:tcPr>
            <w:tcW w:w="320" w:type="dxa"/>
            <w:vAlign w:val="bottom"/>
          </w:tcPr>
          <w:p>
            <w:pPr>
              <w:spacing w:after="0"/>
              <w:rPr>
                <w:sz w:val="18"/>
                <w:szCs w:val="18"/>
                <w:color w:val="auto"/>
              </w:rPr>
            </w:pPr>
          </w:p>
        </w:tc>
        <w:tc>
          <w:tcPr>
            <w:tcW w:w="138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7"/>
              </w:rPr>
              <w:t>Effect of</w:t>
            </w:r>
          </w:p>
        </w:tc>
        <w:tc>
          <w:tcPr>
            <w:tcW w:w="260" w:type="dxa"/>
            <w:vAlign w:val="bottom"/>
          </w:tcPr>
          <w:p>
            <w:pPr>
              <w:spacing w:after="0"/>
              <w:rPr>
                <w:sz w:val="18"/>
                <w:szCs w:val="18"/>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As Reported</w:t>
            </w:r>
          </w:p>
        </w:tc>
      </w:tr>
      <w:tr>
        <w:trPr>
          <w:trHeight w:val="216"/>
        </w:trPr>
        <w:tc>
          <w:tcPr>
            <w:tcW w:w="38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Under Previous</w:t>
            </w:r>
          </w:p>
        </w:tc>
        <w:tc>
          <w:tcPr>
            <w:tcW w:w="320" w:type="dxa"/>
            <w:vAlign w:val="bottom"/>
          </w:tcPr>
          <w:p>
            <w:pPr>
              <w:spacing w:after="0"/>
              <w:rPr>
                <w:sz w:val="18"/>
                <w:szCs w:val="18"/>
                <w:color w:val="auto"/>
              </w:rPr>
            </w:pPr>
          </w:p>
        </w:tc>
        <w:tc>
          <w:tcPr>
            <w:tcW w:w="138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99"/>
              </w:rPr>
              <w:t>Accounting</w:t>
            </w:r>
          </w:p>
        </w:tc>
        <w:tc>
          <w:tcPr>
            <w:tcW w:w="260" w:type="dxa"/>
            <w:vAlign w:val="bottom"/>
          </w:tcPr>
          <w:p>
            <w:pPr>
              <w:spacing w:after="0"/>
              <w:rPr>
                <w:sz w:val="18"/>
                <w:szCs w:val="18"/>
                <w:color w:val="auto"/>
              </w:rPr>
            </w:pPr>
          </w:p>
        </w:tc>
        <w:tc>
          <w:tcPr>
            <w:tcW w:w="13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8"/>
              </w:rPr>
              <w:t>Under New</w:t>
            </w:r>
          </w:p>
        </w:tc>
      </w:tr>
      <w:tr>
        <w:trPr>
          <w:trHeight w:val="234"/>
        </w:trPr>
        <w:tc>
          <w:tcPr>
            <w:tcW w:w="3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Consolidated Balance Sheet</w:t>
            </w:r>
          </w:p>
        </w:tc>
        <w:tc>
          <w:tcPr>
            <w:tcW w:w="24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color w:val="auto"/>
                <w:w w:val="99"/>
              </w:rPr>
              <w:t>Method</w:t>
            </w:r>
          </w:p>
        </w:tc>
        <w:tc>
          <w:tcPr>
            <w:tcW w:w="3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color w:val="auto"/>
                <w:w w:val="98"/>
              </w:rPr>
              <w:t>Change</w:t>
            </w:r>
          </w:p>
        </w:tc>
        <w:tc>
          <w:tcPr>
            <w:tcW w:w="2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w w:val="99"/>
              </w:rPr>
              <w:t>Method</w:t>
            </w:r>
          </w:p>
        </w:tc>
        <w:tc>
          <w:tcPr>
            <w:tcW w:w="100" w:type="dxa"/>
            <w:vAlign w:val="bottom"/>
          </w:tcPr>
          <w:p>
            <w:pPr>
              <w:spacing w:after="0"/>
              <w:rPr>
                <w:sz w:val="20"/>
                <w:szCs w:val="20"/>
                <w:color w:val="auto"/>
              </w:rPr>
            </w:pPr>
          </w:p>
        </w:tc>
      </w:tr>
      <w:tr>
        <w:trPr>
          <w:trHeight w:val="209"/>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Inventories, net</w:t>
            </w:r>
          </w:p>
        </w:tc>
        <w:tc>
          <w:tcPr>
            <w:tcW w:w="2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145,407</w:t>
            </w:r>
          </w:p>
        </w:tc>
        <w:tc>
          <w:tcPr>
            <w:tcW w:w="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32,621</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178,028</w:t>
            </w:r>
          </w:p>
        </w:tc>
      </w:tr>
      <w:tr>
        <w:trPr>
          <w:trHeight w:val="216"/>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 assets</w:t>
            </w:r>
          </w:p>
        </w:tc>
        <w:tc>
          <w:tcPr>
            <w:tcW w:w="2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28,669</w:t>
            </w:r>
          </w:p>
        </w:tc>
        <w:tc>
          <w:tcPr>
            <w:tcW w:w="3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(7,576)</w:t>
            </w:r>
          </w:p>
        </w:tc>
        <w:tc>
          <w:tcPr>
            <w:tcW w:w="26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21,093</w:t>
            </w:r>
          </w:p>
        </w:tc>
      </w:tr>
      <w:tr>
        <w:trPr>
          <w:trHeight w:val="216"/>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2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157,295</w:t>
            </w:r>
          </w:p>
        </w:tc>
        <w:tc>
          <w:tcPr>
            <w:tcW w:w="3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25,045</w:t>
            </w: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182,340</w:t>
            </w:r>
          </w:p>
        </w:tc>
      </w:tr>
      <w:tr>
        <w:trPr>
          <w:trHeight w:val="432"/>
        </w:trPr>
        <w:tc>
          <w:tcPr>
            <w:tcW w:w="3860" w:type="dxa"/>
            <w:vAlign w:val="bottom"/>
          </w:tcPr>
          <w:p>
            <w:pPr>
              <w:spacing w:after="0"/>
              <w:rPr>
                <w:sz w:val="24"/>
                <w:szCs w:val="24"/>
                <w:color w:val="auto"/>
              </w:rPr>
            </w:pPr>
          </w:p>
        </w:tc>
        <w:tc>
          <w:tcPr>
            <w:tcW w:w="246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3860" w:type="dxa"/>
            <w:vAlign w:val="bottom"/>
            <w:tcBorders>
              <w:bottom w:val="single" w:sz="8" w:color="auto"/>
            </w:tcBorders>
          </w:tcPr>
          <w:p>
            <w:pPr>
              <w:spacing w:after="0"/>
              <w:rPr>
                <w:sz w:val="10"/>
                <w:szCs w:val="10"/>
                <w:color w:val="auto"/>
              </w:rPr>
            </w:pPr>
          </w:p>
        </w:tc>
        <w:tc>
          <w:tcPr>
            <w:tcW w:w="24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46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38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846" w:right="339" w:bottom="1440" w:gutter="0" w:footer="0" w:header="0"/>
        </w:sectPr>
      </w:pPr>
    </w:p>
    <w:bookmarkStart w:id="6" w:name="page7"/>
    <w:bookmarkEnd w:id="6"/>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Equity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Retained earnings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at June 30, 2025</w:t>
      </w:r>
    </w:p>
    <w:p>
      <w:pPr>
        <w:spacing w:after="0" w:line="9" w:lineRule="exact"/>
        <w:rPr>
          <w:sz w:val="20"/>
          <w:szCs w:val="20"/>
          <w:color w:val="auto"/>
        </w:rPr>
      </w:pPr>
    </w:p>
    <w:p>
      <w:pPr>
        <w:ind w:right="1320"/>
        <w:spacing w:after="0" w:line="287" w:lineRule="auto"/>
        <w:rPr>
          <w:sz w:val="20"/>
          <w:szCs w:val="20"/>
          <w:color w:val="auto"/>
        </w:rPr>
      </w:pPr>
      <w:r>
        <w:rPr>
          <w:rFonts w:ascii="Times New Roman" w:cs="Times New Roman" w:eastAsia="Times New Roman" w:hAnsi="Times New Roman"/>
          <w:sz w:val="17"/>
          <w:szCs w:val="17"/>
          <w:color w:val="auto"/>
        </w:rPr>
        <w:t>Net income (loss) attributable to Twin Disc, Incorporated Dividends paid to shareholders and non-controlling interest</w:t>
      </w:r>
    </w:p>
    <w:p>
      <w:pPr>
        <w:spacing w:after="0"/>
        <w:rPr>
          <w:sz w:val="20"/>
          <w:szCs w:val="20"/>
          <w:color w:val="auto"/>
        </w:rPr>
      </w:pPr>
      <w:r>
        <w:rPr>
          <w:rFonts w:ascii="Times New Roman" w:cs="Times New Roman" w:eastAsia="Times New Roman" w:hAnsi="Times New Roman"/>
          <w:sz w:val="18"/>
          <w:szCs w:val="18"/>
          <w:color w:val="auto"/>
        </w:rPr>
        <w:t>Balance at June 30, 2026</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Warranty</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8"/>
              </w:rPr>
              <w:t>As Computed</w:t>
            </w:r>
          </w:p>
        </w:tc>
        <w:tc>
          <w:tcPr>
            <w:tcW w:w="200" w:type="dxa"/>
            <w:vAlign w:val="bottom"/>
          </w:tcPr>
          <w:p>
            <w:pPr>
              <w:spacing w:after="0"/>
              <w:rPr>
                <w:sz w:val="18"/>
                <w:szCs w:val="18"/>
                <w:color w:val="auto"/>
              </w:rPr>
            </w:pPr>
          </w:p>
        </w:tc>
        <w:tc>
          <w:tcPr>
            <w:tcW w:w="13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7"/>
              </w:rPr>
              <w:t>Effect of</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As Reported</w:t>
            </w: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rPr>
              <w:t>Under Previous</w:t>
            </w:r>
          </w:p>
        </w:tc>
        <w:tc>
          <w:tcPr>
            <w:tcW w:w="200" w:type="dxa"/>
            <w:vAlign w:val="bottom"/>
          </w:tcPr>
          <w:p>
            <w:pPr>
              <w:spacing w:after="0"/>
              <w:rPr>
                <w:sz w:val="18"/>
                <w:szCs w:val="18"/>
                <w:color w:val="auto"/>
              </w:rPr>
            </w:pPr>
          </w:p>
        </w:tc>
        <w:tc>
          <w:tcPr>
            <w:tcW w:w="13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Accounting</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Under New</w:t>
            </w:r>
          </w:p>
        </w:tc>
      </w:tr>
      <w:tr>
        <w:trPr>
          <w:trHeight w:val="234"/>
        </w:trPr>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9"/>
              </w:rPr>
              <w:t>Method</w:t>
            </w:r>
          </w:p>
        </w:tc>
        <w:tc>
          <w:tcPr>
            <w:tcW w:w="2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8"/>
              </w:rPr>
              <w:t>Change</w:t>
            </w:r>
          </w:p>
        </w:tc>
        <w:tc>
          <w:tcPr>
            <w:tcW w:w="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w w:val="99"/>
              </w:rPr>
              <w:t>Method</w:t>
            </w:r>
          </w:p>
        </w:tc>
        <w:tc>
          <w:tcPr>
            <w:tcW w:w="60" w:type="dxa"/>
            <w:vAlign w:val="bottom"/>
          </w:tcPr>
          <w:p>
            <w:pPr>
              <w:spacing w:after="0"/>
              <w:rPr>
                <w:sz w:val="20"/>
                <w:szCs w:val="20"/>
                <w:color w:val="auto"/>
              </w:rPr>
            </w:pPr>
          </w:p>
        </w:tc>
      </w:tr>
      <w:tr>
        <w:trPr>
          <w:trHeight w:val="407"/>
        </w:trPr>
        <w:tc>
          <w:tcPr>
            <w:tcW w:w="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125,414</w:t>
            </w:r>
          </w:p>
        </w:tc>
        <w:tc>
          <w:tcPr>
            <w:tcW w:w="240" w:type="dxa"/>
            <w:vAlign w:val="bottom"/>
          </w:tcPr>
          <w:p>
            <w:pPr>
              <w:spacing w:after="0"/>
              <w:rPr>
                <w:sz w:val="24"/>
                <w:szCs w:val="24"/>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32,134</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157,548</w:t>
            </w: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34,166</w:t>
            </w:r>
          </w:p>
        </w:tc>
        <w:tc>
          <w:tcPr>
            <w:tcW w:w="200" w:type="dxa"/>
            <w:vAlign w:val="bottom"/>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(7,089)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27,077</w:t>
            </w: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(2,285)</w:t>
            </w:r>
          </w:p>
        </w:tc>
        <w:tc>
          <w:tcPr>
            <w:tcW w:w="200" w:type="dxa"/>
            <w:vAlign w:val="bottom"/>
          </w:tcPr>
          <w:p>
            <w:pPr>
              <w:spacing w:after="0"/>
              <w:rPr>
                <w:sz w:val="20"/>
                <w:szCs w:val="20"/>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(2,285)</w:t>
            </w:r>
          </w:p>
        </w:tc>
      </w:tr>
      <w:tr>
        <w:trPr>
          <w:trHeight w:val="210"/>
        </w:trPr>
        <w:tc>
          <w:tcPr>
            <w:tcW w:w="2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157,295</w:t>
            </w:r>
          </w:p>
        </w:tc>
        <w:tc>
          <w:tcPr>
            <w:tcW w:w="24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25,045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182,340</w:t>
            </w:r>
          </w:p>
        </w:tc>
        <w:tc>
          <w:tcPr>
            <w:tcW w:w="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-4007485</wp:posOffset>
            </wp:positionH>
            <wp:positionV relativeFrom="paragraph">
              <wp:posOffset>-719455</wp:posOffset>
            </wp:positionV>
            <wp:extent cx="7132320" cy="1371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-4007485</wp:posOffset>
            </wp:positionH>
            <wp:positionV relativeFrom="paragraph">
              <wp:posOffset>-445135</wp:posOffset>
            </wp:positionV>
            <wp:extent cx="7132320" cy="137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-4007485</wp:posOffset>
            </wp:positionH>
            <wp:positionV relativeFrom="paragraph">
              <wp:posOffset>-161925</wp:posOffset>
            </wp:positionV>
            <wp:extent cx="7132320" cy="1625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-1285240</wp:posOffset>
            </wp:positionV>
            <wp:extent cx="306006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843" w:lineRule="exact"/>
        <w:rPr>
          <w:sz w:val="20"/>
          <w:szCs w:val="20"/>
          <w:color w:val="auto"/>
        </w:rPr>
      </w:pPr>
    </w:p>
    <w:p>
      <w:pPr>
        <w:sectPr>
          <w:pgSz w:w="11900" w:h="16838" w:orient="portrait"/>
          <w:cols w:equalWidth="0" w:num="2">
            <w:col w:w="5600" w:space="720"/>
            <w:col w:w="4880"/>
          </w:cols>
          <w:pgMar w:left="320" w:top="837" w:right="379" w:bottom="1440" w:gutter="0" w:footer="0" w:header="0"/>
        </w:sectPr>
      </w:pPr>
    </w:p>
    <w:p>
      <w:pPr>
        <w:spacing w:after="0" w:line="29"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The Company engages in extensive product quality programs and processes, including actively monitoring and evaluating the quality of its suppliers. However, its warranty obligation is affected by product failure rates, the number of units affected by the failure and the expense involved in satisfactorily addressing the situation. The warranty reserve is established based on our best estimate of the amounts necessary to settle future and existing claims on products sold as of the balance sheet date. When evaluating the adequacy of the reserve for warranty costs, management takes into consideration the term of the warranty coverage, historical claim rates and costs of repair, knowledge of the type and volume of new products and economic trends. While we believe the warranty reserve is adequate and that the judgment applied is appropriate, such amounts estimated to be due and payable in the future could differ materially from what actually transpires. The following is a listing of the activity in the warranty reserve for the quarters ended September 25, 2026 and September 26, 2025:</w:t>
      </w:r>
    </w:p>
    <w:p>
      <w:pPr>
        <w:spacing w:after="0" w:line="192"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56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14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For the Quarter Ended</w:t>
            </w: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4"/>
        </w:trPr>
        <w:tc>
          <w:tcPr>
            <w:tcW w:w="5660" w:type="dxa"/>
            <w:vAlign w:val="bottom"/>
          </w:tcPr>
          <w:p>
            <w:pPr>
              <w:spacing w:after="0"/>
              <w:rPr>
                <w:sz w:val="20"/>
                <w:szCs w:val="20"/>
                <w:color w:val="auto"/>
              </w:rPr>
            </w:pPr>
          </w:p>
        </w:tc>
        <w:tc>
          <w:tcPr>
            <w:tcW w:w="17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September 25, 2026</w:t>
            </w:r>
          </w:p>
        </w:tc>
        <w:tc>
          <w:tcPr>
            <w:tcW w:w="16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September 26, 2025</w:t>
            </w:r>
          </w:p>
        </w:tc>
      </w:tr>
      <w:tr>
        <w:trPr>
          <w:trHeight w:val="209"/>
        </w:trPr>
        <w:tc>
          <w:tcPr>
            <w:tcW w:w="5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Reserve balance, beginning of period</w:t>
            </w:r>
          </w:p>
        </w:tc>
        <w:tc>
          <w:tcPr>
            <w:tcW w:w="460" w:type="dxa"/>
            <w:vAlign w:val="bottom"/>
            <w:tcBorders>
              <w:top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5,203</w:t>
            </w:r>
          </w:p>
        </w:tc>
        <w:tc>
          <w:tcPr>
            <w:tcW w:w="1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5,257</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Current period expense and adjustments</w:t>
            </w:r>
          </w:p>
        </w:tc>
        <w:tc>
          <w:tcPr>
            <w:tcW w:w="46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621</w:t>
            </w:r>
          </w:p>
        </w:tc>
        <w:tc>
          <w:tcPr>
            <w:tcW w:w="90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1,020</w:t>
            </w:r>
          </w:p>
        </w:tc>
      </w:tr>
      <w:tr>
        <w:trPr>
          <w:trHeight w:val="216"/>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Payments or credits to customers</w:t>
            </w:r>
          </w:p>
        </w:tc>
        <w:tc>
          <w:tcPr>
            <w:tcW w:w="4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(728)</w:t>
            </w:r>
          </w:p>
        </w:tc>
        <w:tc>
          <w:tcPr>
            <w:tcW w:w="9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(1,389)</w:t>
            </w:r>
          </w:p>
        </w:tc>
      </w:tr>
      <w:tr>
        <w:trPr>
          <w:trHeight w:val="230"/>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Translation</w:t>
            </w:r>
          </w:p>
        </w:tc>
        <w:tc>
          <w:tcPr>
            <w:tcW w:w="46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w:t>
            </w:r>
          </w:p>
        </w:tc>
        <w:tc>
          <w:tcPr>
            <w:tcW w:w="900" w:type="dxa"/>
            <w:vAlign w:val="bottom"/>
          </w:tcPr>
          <w:p>
            <w:pPr>
              <w:spacing w:after="0"/>
              <w:rPr>
                <w:sz w:val="19"/>
                <w:szCs w:val="19"/>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w:t>
            </w:r>
          </w:p>
        </w:tc>
      </w:tr>
      <w:tr>
        <w:trPr>
          <w:trHeight w:val="210"/>
        </w:trPr>
        <w:tc>
          <w:tcPr>
            <w:tcW w:w="5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Reserve balance, end of period</w:t>
            </w:r>
          </w:p>
        </w:tc>
        <w:tc>
          <w:tcPr>
            <w:tcW w:w="46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5,100</w:t>
            </w:r>
          </w:p>
        </w:tc>
        <w:tc>
          <w:tcPr>
            <w:tcW w:w="1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4,894</w:t>
            </w:r>
          </w:p>
        </w:tc>
        <w:tc>
          <w:tcPr>
            <w:tcW w:w="80" w:type="dxa"/>
            <w:vAlign w:val="bottom"/>
            <w:tcBorders>
              <w:top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The current portion of the warranty accrual ($4,213 and $3,930 as of September 25, 2026 and September 26, 2025, respectively) is reflected in accrued liabilities, while the long-term portion ($887 and $964 as of September 25, 2026 and September 26, 2025, respectively) is included in other long-term liabilities on the condensed consolidated balance sheets.</w:t>
      </w:r>
    </w:p>
    <w:p>
      <w:pPr>
        <w:spacing w:after="0" w:line="200" w:lineRule="exact"/>
        <w:rPr>
          <w:sz w:val="20"/>
          <w:szCs w:val="20"/>
          <w:color w:val="auto"/>
        </w:rPr>
      </w:pPr>
    </w:p>
    <w:p>
      <w:pPr>
        <w:spacing w:after="0" w:line="215"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E.</w:t>
        <w:tab/>
        <w:t>Contingencies</w:t>
      </w:r>
    </w:p>
    <w:p>
      <w:pPr>
        <w:spacing w:after="0" w:line="229"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The Company is involved in litigation of which the ultimate outcome and liability to the Company, if any, are not presently determinable. Management believes that final disposition of such litigation will not have a material impact on the Company’s results of operations, financial position or cash flows, either individually or in the aggregate.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Tariffs</w:t>
      </w: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On February 20, 2026, the U.S. Supreme Court invalidated tariffs previously imposed under the International Emergency Economic Powers Act (“IEEPA”). The ruling did not address the availability, timing or mechanics of any potential refunds related to tariffs previously collected, and the outcome of any related administrative or legal processes remains uncertain. Following the ruling, the U.S. administration implemented new tariffs under alternative statutory authority, including Section 122 of the Trade Act of 1974, which permits temporary import surcharges subject to statutory limits and duration requirements. In April 2026, the U.S. Court of International Trade (“CIT”) issued an order for the U.S. Customs and Border Protection (“CBP”) to treat the IEEPA Tariffs as unlawful and administer affected import entries accordingly. As a result of the order, the CBP must recalculate duties without the IEEPA tariffs and ensure that importers of record receive the benefit of the Supreme Court ruling in the form of refunds for such amounts paid and interest. On June 2, 2026, the Department of Justice filed an appeal with the U.S. Court of Appeals for the Federal Circuit challenging the CIT's order requiring CBP to provide refunds of IEEPA tariffs on a broad, nationwide basis. Multiple legal challenges to the Section 122 tariffs have been filed as well, and on May 7, 2026, the U.S. Court of International Trade ruled that the Section 122 tariffs are unlawful; however, the court's injunction applies only to the named plaintiffs, and the tariffs remain in effect for all other importers pending appeal.</w:t>
      </w:r>
    </w:p>
    <w:p>
      <w:pPr>
        <w:spacing w:after="0" w:line="1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37" w:right="379" w:bottom="1440" w:gutter="0" w:footer="0" w:header="0"/>
          <w:type w:val="continuous"/>
        </w:sectPr>
      </w:pPr>
    </w:p>
    <w:bookmarkStart w:id="7" w:name="page8"/>
    <w:bookmarkEnd w:id="7"/>
    <w:p>
      <w:pPr>
        <w:ind w:right="240"/>
        <w:spacing w:after="0" w:line="256" w:lineRule="auto"/>
        <w:rPr>
          <w:sz w:val="20"/>
          <w:szCs w:val="20"/>
          <w:color w:val="auto"/>
        </w:rPr>
      </w:pPr>
      <w:r>
        <w:rPr>
          <w:rFonts w:ascii="Times New Roman" w:cs="Times New Roman" w:eastAsia="Times New Roman" w:hAnsi="Times New Roman"/>
          <w:sz w:val="18"/>
          <w:szCs w:val="18"/>
          <w:color w:val="auto"/>
        </w:rPr>
        <w:t>The Company is evaluating the impact of the Supreme Court ruling and the subsequent order issued by the CIT, and is monitoring related developments from the CBP regarding its plan to process refunds to importers of record, including the launch on April 20, 2026 of the CBP's Consolidated Administration and Processing of Entries (“CAPE”) system for submitting refund claims, as well as the administration’s decision on whether or not to appeal the CIT’s order. As of September 25, 2026, the Company has not recorded a receivable related to potential refunds for IEEPA Tariffs paid by the Company. The ultimate resolution of this matter, including the administration’s decision to appeal the CIT’s order, the extent and manner in which costs previously incurred and paid may be recoverable through the CBP, and the timing of any potential recovery remains uncertain.</w:t>
      </w:r>
    </w:p>
    <w:p>
      <w:pPr>
        <w:spacing w:after="0" w:line="200" w:lineRule="exact"/>
        <w:rPr>
          <w:sz w:val="20"/>
          <w:szCs w:val="20"/>
          <w:color w:val="auto"/>
        </w:rPr>
      </w:pPr>
    </w:p>
    <w:p>
      <w:pPr>
        <w:spacing w:after="0" w:line="226" w:lineRule="exact"/>
        <w:rPr>
          <w:sz w:val="20"/>
          <w:szCs w:val="20"/>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Segments</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 and its subsidiaries are engaged in the manufacture and sale of marine and heavy duty off-highway power transmission equipment. Principal products include marine transmissions, azimuth drives, surface drives, propellers and boat management systems, as well as power-shift transmissions, hydraulic torque converters, power take-offs, industrial clutches and controls systems. The Company sells to both domestic and foreign customers in a variety of market areas, principally pleasure craft, commercial, and military marine markets, energy and natural resources, government, and industrial markets.</w:t>
      </w:r>
    </w:p>
    <w:p>
      <w:pPr>
        <w:spacing w:after="0" w:line="18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Company has two reportable segments: manufacturing and distribution. Its segment structure reflects the way chief operating decision-maker (“CODM”) makes operating decisions and manages the growth and profitability of the business. It also corresponds with the CODM’s approach of allocating resources and assessing the financial performance of its segments. The Company’s CODM is the Chief Executive Officer, who reviews financial information for the two reportable segments. The accounting practices of the segments are the same as those described in the summary of significant accounting policies. Transfers among segments are at established inter-company selling prices. The CODM evaluates the performance of its segments based on net sales, gross profit (loss), operating income (loss), and net earnings (loss).</w:t>
      </w:r>
    </w:p>
    <w:p>
      <w:pPr>
        <w:spacing w:after="0" w:line="18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607" w:right="399" w:bottom="1440" w:gutter="0" w:footer="0" w:header="0"/>
        </w:sectPr>
      </w:pPr>
    </w:p>
    <w:bookmarkStart w:id="8" w:name="page9"/>
    <w:bookmarkEnd w:id="8"/>
    <w:p>
      <w:pPr>
        <w:ind w:right="42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selected financial information with respect to the Company’s reportable segments for the period ended September 25, 2026:</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Elimination and</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Manufacturing</w:t>
            </w:r>
          </w:p>
        </w:tc>
        <w:tc>
          <w:tcPr>
            <w:tcW w:w="120" w:type="dxa"/>
            <w:vAlign w:val="bottom"/>
          </w:tcPr>
          <w:p>
            <w:pPr>
              <w:spacing w:after="0"/>
              <w:rPr>
                <w:sz w:val="20"/>
                <w:szCs w:val="20"/>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Distribution</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Corporate</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w w:val="99"/>
              </w:rPr>
              <w:t>adjustments</w:t>
            </w:r>
          </w:p>
        </w:tc>
        <w:tc>
          <w:tcPr>
            <w:tcW w:w="10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Consolidated</w:t>
            </w:r>
          </w:p>
        </w:tc>
        <w:tc>
          <w:tcPr>
            <w:tcW w:w="0" w:type="dxa"/>
            <w:vAlign w:val="bottom"/>
          </w:tcPr>
          <w:p>
            <w:pPr>
              <w:spacing w:after="0"/>
              <w:rPr>
                <w:sz w:val="1"/>
                <w:szCs w:val="1"/>
                <w:color w:val="auto"/>
              </w:rPr>
            </w:pPr>
          </w:p>
        </w:tc>
      </w:tr>
      <w:tr>
        <w:trPr>
          <w:trHeight w:val="209"/>
        </w:trPr>
        <w:tc>
          <w:tcPr>
            <w:tcW w:w="4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3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sales</w:t>
            </w:r>
          </w:p>
        </w:tc>
        <w:tc>
          <w:tcPr>
            <w:tcW w:w="6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80,275</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26,863</w:t>
            </w: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(18,393)</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88,745</w:t>
            </w: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Intra-segment sales</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(1,495)</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(3,734)</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5,229</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Inter-segment sales</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(12,424)</w:t>
            </w:r>
          </w:p>
        </w:tc>
        <w:tc>
          <w:tcPr>
            <w:tcW w:w="12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(740)</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13,164</w:t>
            </w:r>
          </w:p>
        </w:tc>
        <w:tc>
          <w:tcPr>
            <w:tcW w:w="10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410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Total consolidated net sales</w:t>
            </w:r>
          </w:p>
        </w:tc>
        <w:tc>
          <w:tcPr>
            <w:tcW w:w="3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66,356</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22,389</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88,745</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Cost of goods sold</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60,338</w:t>
            </w:r>
          </w:p>
        </w:tc>
        <w:tc>
          <w:tcPr>
            <w:tcW w:w="12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20,705</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(17,724)</w:t>
            </w:r>
          </w:p>
        </w:tc>
        <w:tc>
          <w:tcPr>
            <w:tcW w:w="10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63,319</w:t>
            </w: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Intra-segment cost of goods sold</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(1,495)</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(3,734)</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5,229</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Inter-segment cost of goods sold</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(12,424)</w:t>
            </w:r>
          </w:p>
        </w:tc>
        <w:tc>
          <w:tcPr>
            <w:tcW w:w="12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(740)</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13,164</w:t>
            </w:r>
          </w:p>
        </w:tc>
        <w:tc>
          <w:tcPr>
            <w:tcW w:w="10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410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Total consolidated cost of goods sold</w:t>
            </w:r>
          </w:p>
        </w:tc>
        <w:tc>
          <w:tcPr>
            <w:tcW w:w="3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46,419</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16,231</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63,319</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19,937</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6,158</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(669)</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25,426</w:t>
            </w:r>
          </w:p>
        </w:tc>
        <w:tc>
          <w:tcPr>
            <w:tcW w:w="0" w:type="dxa"/>
            <w:vAlign w:val="bottom"/>
          </w:tcPr>
          <w:p>
            <w:pPr>
              <w:spacing w:after="0"/>
              <w:rPr>
                <w:sz w:val="1"/>
                <w:szCs w:val="1"/>
                <w:color w:val="auto"/>
              </w:rPr>
            </w:pPr>
          </w:p>
        </w:tc>
      </w:tr>
      <w:tr>
        <w:trPr>
          <w:trHeight w:val="216"/>
        </w:trPr>
        <w:tc>
          <w:tcPr>
            <w:tcW w:w="4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Marketing, engineering and administrative expenses</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10,337</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3,790</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6,718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20,845</w:t>
            </w: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Restructuring expense</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30"/>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operating income</w:t>
            </w:r>
          </w:p>
        </w:tc>
        <w:tc>
          <w:tcPr>
            <w:tcW w:w="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09"/>
        </w:trPr>
        <w:tc>
          <w:tcPr>
            <w:tcW w:w="410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Operating income (loss)</w:t>
            </w:r>
          </w:p>
        </w:tc>
        <w:tc>
          <w:tcPr>
            <w:tcW w:w="3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9,619</w:t>
            </w: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2,344</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(6,718)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(669)</w:t>
            </w: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4,576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income</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356</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519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(873)</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4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(1,137)</w:t>
            </w:r>
          </w:p>
        </w:tc>
        <w:tc>
          <w:tcPr>
            <w:tcW w:w="12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(102)</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873</w:t>
            </w:r>
          </w:p>
        </w:tc>
        <w:tc>
          <w:tcPr>
            <w:tcW w:w="10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(428)</w:t>
            </w:r>
          </w:p>
        </w:tc>
        <w:tc>
          <w:tcPr>
            <w:tcW w:w="0" w:type="dxa"/>
            <w:vAlign w:val="bottom"/>
          </w:tcPr>
          <w:p>
            <w:pPr>
              <w:spacing w:after="0"/>
              <w:rPr>
                <w:sz w:val="1"/>
                <w:szCs w:val="1"/>
                <w:color w:val="auto"/>
              </w:rPr>
            </w:pPr>
          </w:p>
        </w:tc>
      </w:tr>
      <w:tr>
        <w:trPr>
          <w:trHeight w:val="230"/>
        </w:trPr>
        <w:tc>
          <w:tcPr>
            <w:tcW w:w="4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income (expense)</w:t>
            </w:r>
          </w:p>
        </w:tc>
        <w:tc>
          <w:tcPr>
            <w:tcW w:w="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(3,488)</w:t>
            </w: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(1,670)</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4,929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(253)</w:t>
            </w:r>
          </w:p>
        </w:tc>
        <w:tc>
          <w:tcPr>
            <w:tcW w:w="0" w:type="dxa"/>
            <w:vAlign w:val="bottom"/>
          </w:tcPr>
          <w:p>
            <w:pPr>
              <w:spacing w:after="0"/>
              <w:rPr>
                <w:sz w:val="1"/>
                <w:szCs w:val="1"/>
                <w:color w:val="auto"/>
              </w:rPr>
            </w:pPr>
          </w:p>
        </w:tc>
      </w:tr>
      <w:tr>
        <w:trPr>
          <w:trHeight w:val="209"/>
        </w:trPr>
        <w:tc>
          <w:tcPr>
            <w:tcW w:w="410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Total consolidated other income (expense)</w:t>
            </w:r>
          </w:p>
        </w:tc>
        <w:tc>
          <w:tcPr>
            <w:tcW w:w="3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(4,269)</w:t>
            </w: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(1,767)</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5,386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Pretax earnings (loss)</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5,350</w:t>
            </w:r>
          </w:p>
        </w:tc>
        <w:tc>
          <w:tcPr>
            <w:tcW w:w="12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577</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(1,332)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(693)</w:t>
            </w:r>
          </w:p>
        </w:tc>
        <w:tc>
          <w:tcPr>
            <w:tcW w:w="10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3,902</w:t>
            </w: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1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1,772</w:t>
            </w:r>
          </w:p>
        </w:tc>
        <w:tc>
          <w:tcPr>
            <w:tcW w:w="12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(16)</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(1,176)</w:t>
            </w:r>
          </w:p>
        </w:tc>
        <w:tc>
          <w:tcPr>
            <w:tcW w:w="100" w:type="dxa"/>
            <w:vAlign w:val="bottom"/>
          </w:tcPr>
          <w:p>
            <w:pPr>
              <w:spacing w:after="0"/>
              <w:rPr>
                <w:sz w:val="19"/>
                <w:szCs w:val="19"/>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(415)</w:t>
            </w:r>
          </w:p>
        </w:tc>
        <w:tc>
          <w:tcPr>
            <w:tcW w:w="0" w:type="dxa"/>
            <w:vAlign w:val="bottom"/>
          </w:tcPr>
          <w:p>
            <w:pPr>
              <w:spacing w:after="0"/>
              <w:rPr>
                <w:sz w:val="1"/>
                <w:szCs w:val="1"/>
                <w:color w:val="auto"/>
              </w:rPr>
            </w:pPr>
          </w:p>
        </w:tc>
      </w:tr>
      <w:tr>
        <w:trPr>
          <w:trHeight w:val="210"/>
        </w:trPr>
        <w:tc>
          <w:tcPr>
            <w:tcW w:w="410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3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3,578</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(1,167)</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3,487</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Noncontrolling interest</w:t>
            </w:r>
          </w:p>
        </w:tc>
        <w:tc>
          <w:tcPr>
            <w:tcW w:w="3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42</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0"/>
        </w:trPr>
        <w:tc>
          <w:tcPr>
            <w:tcW w:w="4100" w:type="dxa"/>
            <w:vAlign w:val="bottom"/>
            <w:vMerge w:val="restart"/>
          </w:tcPr>
          <w:p>
            <w:pPr>
              <w:ind w:left="340"/>
              <w:spacing w:after="0" w:line="194" w:lineRule="exact"/>
              <w:rPr>
                <w:sz w:val="20"/>
                <w:szCs w:val="20"/>
                <w:color w:val="auto"/>
              </w:rPr>
            </w:pPr>
            <w:r>
              <w:rPr>
                <w:rFonts w:ascii="Times New Roman" w:cs="Times New Roman" w:eastAsia="Times New Roman" w:hAnsi="Times New Roman"/>
                <w:sz w:val="18"/>
                <w:szCs w:val="18"/>
                <w:b w:val="1"/>
                <w:bCs w:val="1"/>
                <w:color w:val="auto"/>
              </w:rPr>
              <w:t>Net income (loss) attributable to Twin Disc,</w:t>
            </w:r>
          </w:p>
        </w:tc>
        <w:tc>
          <w:tcPr>
            <w:tcW w:w="3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4100" w:type="dxa"/>
            <w:vAlign w:val="bottom"/>
            <w:vMerge w:val="continue"/>
          </w:tcPr>
          <w:p>
            <w:pPr>
              <w:spacing w:after="0"/>
              <w:rPr>
                <w:sz w:val="15"/>
                <w:szCs w:val="15"/>
                <w:color w:val="auto"/>
              </w:rPr>
            </w:pPr>
          </w:p>
        </w:tc>
        <w:tc>
          <w:tcPr>
            <w:tcW w:w="320" w:type="dxa"/>
            <w:vAlign w:val="bottom"/>
            <w:vMerge w:val="restart"/>
          </w:tcPr>
          <w:p>
            <w:pPr>
              <w:spacing w:after="0"/>
              <w:rPr>
                <w:sz w:val="15"/>
                <w:szCs w:val="15"/>
                <w:color w:val="auto"/>
              </w:rPr>
            </w:pPr>
          </w:p>
        </w:tc>
        <w:tc>
          <w:tcPr>
            <w:tcW w:w="32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3,578</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551</w:t>
            </w:r>
          </w:p>
        </w:tc>
        <w:tc>
          <w:tcPr>
            <w:tcW w:w="2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(1,167)</w:t>
            </w:r>
          </w:p>
        </w:tc>
        <w:tc>
          <w:tcPr>
            <w:tcW w:w="22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483</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3,445</w:t>
            </w:r>
          </w:p>
        </w:tc>
        <w:tc>
          <w:tcPr>
            <w:tcW w:w="0" w:type="dxa"/>
            <w:vAlign w:val="bottom"/>
          </w:tcPr>
          <w:p>
            <w:pPr>
              <w:spacing w:after="0"/>
              <w:rPr>
                <w:sz w:val="1"/>
                <w:szCs w:val="1"/>
                <w:color w:val="auto"/>
              </w:rPr>
            </w:pPr>
          </w:p>
        </w:tc>
      </w:tr>
      <w:tr>
        <w:trPr>
          <w:trHeight w:val="265"/>
        </w:trPr>
        <w:tc>
          <w:tcPr>
            <w:tcW w:w="410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Incorporated</w:t>
            </w:r>
          </w:p>
        </w:tc>
        <w:tc>
          <w:tcPr>
            <w:tcW w:w="320" w:type="dxa"/>
            <w:vAlign w:val="bottom"/>
            <w:vMerge w:val="continue"/>
          </w:tcPr>
          <w:p>
            <w:pPr>
              <w:spacing w:after="0"/>
              <w:rPr>
                <w:sz w:val="23"/>
                <w:szCs w:val="23"/>
                <w:color w:val="auto"/>
              </w:rPr>
            </w:pPr>
          </w:p>
        </w:tc>
        <w:tc>
          <w:tcPr>
            <w:tcW w:w="320" w:type="dxa"/>
            <w:vAlign w:val="bottom"/>
            <w:vMerge w:val="continue"/>
          </w:tcPr>
          <w:p>
            <w:pPr>
              <w:spacing w:after="0"/>
              <w:rPr>
                <w:sz w:val="23"/>
                <w:szCs w:val="23"/>
                <w:color w:val="auto"/>
              </w:rPr>
            </w:pPr>
          </w:p>
        </w:tc>
        <w:tc>
          <w:tcPr>
            <w:tcW w:w="1040" w:type="dxa"/>
            <w:vAlign w:val="bottom"/>
            <w:gridSpan w:val="2"/>
            <w:vMerge w:val="continue"/>
          </w:tcPr>
          <w:p>
            <w:pPr>
              <w:spacing w:after="0"/>
              <w:rPr>
                <w:sz w:val="23"/>
                <w:szCs w:val="23"/>
                <w:color w:val="auto"/>
              </w:rPr>
            </w:pPr>
          </w:p>
        </w:tc>
        <w:tc>
          <w:tcPr>
            <w:tcW w:w="120" w:type="dxa"/>
            <w:vAlign w:val="bottom"/>
            <w:vMerge w:val="continue"/>
          </w:tcPr>
          <w:p>
            <w:pPr>
              <w:spacing w:after="0"/>
              <w:rPr>
                <w:sz w:val="23"/>
                <w:szCs w:val="23"/>
                <w:color w:val="auto"/>
              </w:rPr>
            </w:pPr>
          </w:p>
        </w:tc>
        <w:tc>
          <w:tcPr>
            <w:tcW w:w="1180" w:type="dxa"/>
            <w:vAlign w:val="bottom"/>
            <w:gridSpan w:val="2"/>
            <w:vMerge w:val="continue"/>
          </w:tcPr>
          <w:p>
            <w:pPr>
              <w:spacing w:after="0"/>
              <w:rPr>
                <w:sz w:val="23"/>
                <w:szCs w:val="23"/>
                <w:color w:val="auto"/>
              </w:rPr>
            </w:pPr>
          </w:p>
        </w:tc>
        <w:tc>
          <w:tcPr>
            <w:tcW w:w="220" w:type="dxa"/>
            <w:vAlign w:val="bottom"/>
            <w:gridSpan w:val="2"/>
            <w:vMerge w:val="continue"/>
          </w:tcPr>
          <w:p>
            <w:pPr>
              <w:spacing w:after="0"/>
              <w:rPr>
                <w:sz w:val="23"/>
                <w:szCs w:val="23"/>
                <w:color w:val="auto"/>
              </w:rPr>
            </w:pPr>
          </w:p>
        </w:tc>
        <w:tc>
          <w:tcPr>
            <w:tcW w:w="1140" w:type="dxa"/>
            <w:vAlign w:val="bottom"/>
            <w:gridSpan w:val="2"/>
            <w:vMerge w:val="continue"/>
          </w:tcPr>
          <w:p>
            <w:pPr>
              <w:spacing w:after="0"/>
              <w:rPr>
                <w:sz w:val="23"/>
                <w:szCs w:val="23"/>
                <w:color w:val="auto"/>
              </w:rPr>
            </w:pPr>
          </w:p>
        </w:tc>
        <w:tc>
          <w:tcPr>
            <w:tcW w:w="220" w:type="dxa"/>
            <w:vAlign w:val="bottom"/>
            <w:gridSpan w:val="2"/>
            <w:vMerge w:val="continue"/>
          </w:tcPr>
          <w:p>
            <w:pPr>
              <w:spacing w:after="0"/>
              <w:rPr>
                <w:sz w:val="23"/>
                <w:szCs w:val="23"/>
                <w:color w:val="auto"/>
              </w:rPr>
            </w:pPr>
          </w:p>
        </w:tc>
        <w:tc>
          <w:tcPr>
            <w:tcW w:w="1260" w:type="dxa"/>
            <w:vAlign w:val="bottom"/>
            <w:gridSpan w:val="2"/>
            <w:vMerge w:val="continue"/>
          </w:tcPr>
          <w:p>
            <w:pPr>
              <w:spacing w:after="0"/>
              <w:rPr>
                <w:sz w:val="23"/>
                <w:szCs w:val="23"/>
                <w:color w:val="auto"/>
              </w:rPr>
            </w:pPr>
          </w:p>
        </w:tc>
        <w:tc>
          <w:tcPr>
            <w:tcW w:w="100" w:type="dxa"/>
            <w:vAlign w:val="bottom"/>
            <w:vMerge w:val="continue"/>
          </w:tcPr>
          <w:p>
            <w:pPr>
              <w:spacing w:after="0"/>
              <w:rPr>
                <w:sz w:val="23"/>
                <w:szCs w:val="23"/>
                <w:color w:val="auto"/>
              </w:rPr>
            </w:pPr>
          </w:p>
        </w:tc>
        <w:tc>
          <w:tcPr>
            <w:tcW w:w="1220" w:type="dxa"/>
            <w:vAlign w:val="bottom"/>
            <w:gridSpan w:val="2"/>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197"/>
        </w:trPr>
        <w:tc>
          <w:tcPr>
            <w:tcW w:w="4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consolidated assets</w:t>
            </w:r>
          </w:p>
        </w:tc>
        <w:tc>
          <w:tcPr>
            <w:tcW w:w="6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550,549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59,183</w:t>
            </w:r>
          </w:p>
        </w:tc>
        <w:tc>
          <w:tcPr>
            <w:tcW w:w="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(204,543)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405,189</w:t>
            </w:r>
          </w:p>
        </w:tc>
        <w:tc>
          <w:tcPr>
            <w:tcW w:w="0" w:type="dxa"/>
            <w:vAlign w:val="bottom"/>
          </w:tcPr>
          <w:p>
            <w:pPr>
              <w:spacing w:after="0"/>
              <w:rPr>
                <w:sz w:val="1"/>
                <w:szCs w:val="1"/>
                <w:color w:val="auto"/>
              </w:rPr>
            </w:pPr>
          </w:p>
        </w:tc>
      </w:tr>
      <w:tr>
        <w:trPr>
          <w:trHeight w:val="216"/>
        </w:trPr>
        <w:tc>
          <w:tcPr>
            <w:tcW w:w="4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6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2,904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116</w:t>
            </w:r>
          </w:p>
        </w:tc>
        <w:tc>
          <w:tcPr>
            <w:tcW w:w="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379</w:t>
            </w:r>
          </w:p>
        </w:tc>
        <w:tc>
          <w:tcPr>
            <w:tcW w:w="2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3,399</w:t>
            </w:r>
          </w:p>
        </w:tc>
        <w:tc>
          <w:tcPr>
            <w:tcW w:w="0" w:type="dxa"/>
            <w:vAlign w:val="bottom"/>
          </w:tcPr>
          <w:p>
            <w:pPr>
              <w:spacing w:after="0"/>
              <w:rPr>
                <w:sz w:val="1"/>
                <w:szCs w:val="1"/>
                <w:color w:val="auto"/>
              </w:rPr>
            </w:pPr>
          </w:p>
        </w:tc>
      </w:tr>
      <w:tr>
        <w:trPr>
          <w:trHeight w:val="216"/>
        </w:trPr>
        <w:tc>
          <w:tcPr>
            <w:tcW w:w="4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Expenditures for segment assets</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5,055</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258</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471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5,784</w:t>
            </w:r>
          </w:p>
        </w:tc>
        <w:tc>
          <w:tcPr>
            <w:tcW w:w="0" w:type="dxa"/>
            <w:vAlign w:val="bottom"/>
          </w:tcPr>
          <w:p>
            <w:pPr>
              <w:spacing w:after="0"/>
              <w:rPr>
                <w:sz w:val="1"/>
                <w:szCs w:val="1"/>
                <w:color w:val="auto"/>
              </w:rPr>
            </w:pPr>
          </w:p>
        </w:tc>
      </w:tr>
      <w:tr>
        <w:trPr>
          <w:trHeight w:val="432"/>
        </w:trPr>
        <w:tc>
          <w:tcPr>
            <w:tcW w:w="4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1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07" w:right="339" w:bottom="1440" w:gutter="0" w:footer="0" w:header="0"/>
        </w:sectPr>
      </w:pPr>
    </w:p>
    <w:bookmarkStart w:id="9" w:name="page10"/>
    <w:bookmarkEnd w:id="9"/>
    <w:p>
      <w:pPr>
        <w:ind w:right="42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selected financial information with respect to the Company’s reportable segments for the period ended September 26, 2025:</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Elimination and</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Manufacturing</w:t>
            </w:r>
          </w:p>
        </w:tc>
        <w:tc>
          <w:tcPr>
            <w:tcW w:w="120" w:type="dxa"/>
            <w:vAlign w:val="bottom"/>
          </w:tcPr>
          <w:p>
            <w:pPr>
              <w:spacing w:after="0"/>
              <w:rPr>
                <w:sz w:val="20"/>
                <w:szCs w:val="20"/>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Distribution</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Corporate</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w w:val="99"/>
              </w:rPr>
              <w:t>adjustments</w:t>
            </w:r>
          </w:p>
        </w:tc>
        <w:tc>
          <w:tcPr>
            <w:tcW w:w="10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Consolidated</w:t>
            </w:r>
          </w:p>
        </w:tc>
        <w:tc>
          <w:tcPr>
            <w:tcW w:w="0" w:type="dxa"/>
            <w:vAlign w:val="bottom"/>
          </w:tcPr>
          <w:p>
            <w:pPr>
              <w:spacing w:after="0"/>
              <w:rPr>
                <w:sz w:val="1"/>
                <w:szCs w:val="1"/>
                <w:color w:val="auto"/>
              </w:rPr>
            </w:pPr>
          </w:p>
        </w:tc>
      </w:tr>
      <w:tr>
        <w:trPr>
          <w:trHeight w:val="209"/>
        </w:trPr>
        <w:tc>
          <w:tcPr>
            <w:tcW w:w="42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sales</w:t>
            </w:r>
          </w:p>
        </w:tc>
        <w:tc>
          <w:tcPr>
            <w:tcW w:w="4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74,054</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21,778</w:t>
            </w: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(15,836)</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79,996</w:t>
            </w: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Intra-segment sales</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(2,047)</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(3,162)</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5,209</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Inter-segment sales</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(9,874)</w:t>
            </w:r>
          </w:p>
        </w:tc>
        <w:tc>
          <w:tcPr>
            <w:tcW w:w="12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(753)</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10,627</w:t>
            </w:r>
          </w:p>
        </w:tc>
        <w:tc>
          <w:tcPr>
            <w:tcW w:w="10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426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Total consolidated net sales</w:t>
            </w:r>
          </w:p>
        </w:tc>
        <w:tc>
          <w:tcPr>
            <w:tcW w:w="1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62,133</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17,863</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79,996</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Cost of goods sold</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55,770</w:t>
            </w:r>
          </w:p>
        </w:tc>
        <w:tc>
          <w:tcPr>
            <w:tcW w:w="12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17,338</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(16,046)</w:t>
            </w:r>
          </w:p>
        </w:tc>
        <w:tc>
          <w:tcPr>
            <w:tcW w:w="10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57,062</w:t>
            </w: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Intra-segment cost of goods sold</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(2,047)</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(3,162)</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5,209</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Inter-segment cost of goods sold</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(9,874)</w:t>
            </w:r>
          </w:p>
        </w:tc>
        <w:tc>
          <w:tcPr>
            <w:tcW w:w="12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(753)</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10,627</w:t>
            </w:r>
          </w:p>
        </w:tc>
        <w:tc>
          <w:tcPr>
            <w:tcW w:w="10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426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Total consoldiated cost of goods sold</w:t>
            </w:r>
          </w:p>
        </w:tc>
        <w:tc>
          <w:tcPr>
            <w:tcW w:w="1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43,849</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13,423</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57,062</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18,284</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4,440</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22,934</w:t>
            </w:r>
          </w:p>
        </w:tc>
        <w:tc>
          <w:tcPr>
            <w:tcW w:w="0" w:type="dxa"/>
            <w:vAlign w:val="bottom"/>
          </w:tcPr>
          <w:p>
            <w:pPr>
              <w:spacing w:after="0"/>
              <w:rPr>
                <w:sz w:val="1"/>
                <w:szCs w:val="1"/>
                <w:color w:val="auto"/>
              </w:rPr>
            </w:pPr>
          </w:p>
        </w:tc>
      </w:tr>
      <w:tr>
        <w:trPr>
          <w:trHeight w:val="216"/>
        </w:trPr>
        <w:tc>
          <w:tcPr>
            <w:tcW w:w="4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Marketing, engineering and administrative expenses</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10,495</w:t>
            </w: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3,736</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6,468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20,699</w:t>
            </w:r>
          </w:p>
        </w:tc>
        <w:tc>
          <w:tcPr>
            <w:tcW w:w="0" w:type="dxa"/>
            <w:vAlign w:val="bottom"/>
          </w:tcPr>
          <w:p>
            <w:pPr>
              <w:spacing w:after="0"/>
              <w:rPr>
                <w:sz w:val="1"/>
                <w:szCs w:val="1"/>
                <w:color w:val="auto"/>
              </w:rPr>
            </w:pPr>
          </w:p>
        </w:tc>
      </w:tr>
      <w:tr>
        <w:trPr>
          <w:trHeight w:val="209"/>
        </w:trPr>
        <w:tc>
          <w:tcPr>
            <w:tcW w:w="426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Operating income (loss)</w:t>
            </w:r>
          </w:p>
        </w:tc>
        <w:tc>
          <w:tcPr>
            <w:tcW w:w="1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7,789</w:t>
            </w: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(6,468)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income</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398</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129</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482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(990)</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6"/>
        </w:trPr>
        <w:tc>
          <w:tcPr>
            <w:tcW w:w="4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(1,756)</w:t>
            </w:r>
          </w:p>
        </w:tc>
        <w:tc>
          <w:tcPr>
            <w:tcW w:w="12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990</w:t>
            </w:r>
          </w:p>
        </w:tc>
        <w:tc>
          <w:tcPr>
            <w:tcW w:w="10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(800)</w:t>
            </w:r>
          </w:p>
        </w:tc>
        <w:tc>
          <w:tcPr>
            <w:tcW w:w="0" w:type="dxa"/>
            <w:vAlign w:val="bottom"/>
          </w:tcPr>
          <w:p>
            <w:pPr>
              <w:spacing w:after="0"/>
              <w:rPr>
                <w:sz w:val="1"/>
                <w:szCs w:val="1"/>
                <w:color w:val="auto"/>
              </w:rPr>
            </w:pPr>
          </w:p>
        </w:tc>
      </w:tr>
      <w:tr>
        <w:trPr>
          <w:trHeight w:val="229"/>
        </w:trPr>
        <w:tc>
          <w:tcPr>
            <w:tcW w:w="4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income (expense)</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(3,320)</w:t>
            </w: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(1,528)</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3,991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(883)</w:t>
            </w:r>
          </w:p>
        </w:tc>
        <w:tc>
          <w:tcPr>
            <w:tcW w:w="0" w:type="dxa"/>
            <w:vAlign w:val="bottom"/>
          </w:tcPr>
          <w:p>
            <w:pPr>
              <w:spacing w:after="0"/>
              <w:rPr>
                <w:sz w:val="1"/>
                <w:szCs w:val="1"/>
                <w:color w:val="auto"/>
              </w:rPr>
            </w:pPr>
          </w:p>
        </w:tc>
      </w:tr>
      <w:tr>
        <w:trPr>
          <w:trHeight w:val="209"/>
        </w:trPr>
        <w:tc>
          <w:tcPr>
            <w:tcW w:w="426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Total consolidated other income (expense)</w:t>
            </w:r>
          </w:p>
        </w:tc>
        <w:tc>
          <w:tcPr>
            <w:tcW w:w="1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(4,678)</w:t>
            </w: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(1,401)</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Pretax earnings (loss)</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3,111</w:t>
            </w:r>
          </w:p>
        </w:tc>
        <w:tc>
          <w:tcPr>
            <w:tcW w:w="12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(697)</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(2,027)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571</w:t>
            </w: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(761)</w:t>
            </w:r>
          </w:p>
        </w:tc>
        <w:tc>
          <w:tcPr>
            <w:tcW w:w="12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(225)</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(983)</w:t>
            </w:r>
          </w:p>
        </w:tc>
        <w:tc>
          <w:tcPr>
            <w:tcW w:w="0" w:type="dxa"/>
            <w:vAlign w:val="bottom"/>
          </w:tcPr>
          <w:p>
            <w:pPr>
              <w:spacing w:after="0"/>
              <w:rPr>
                <w:sz w:val="1"/>
                <w:szCs w:val="1"/>
                <w:color w:val="auto"/>
              </w:rPr>
            </w:pPr>
          </w:p>
        </w:tc>
      </w:tr>
      <w:tr>
        <w:trPr>
          <w:trHeight w:val="209"/>
        </w:trPr>
        <w:tc>
          <w:tcPr>
            <w:tcW w:w="426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1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2,350</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(2,010)</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Noncontrolling interest</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106</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0"/>
        </w:trPr>
        <w:tc>
          <w:tcPr>
            <w:tcW w:w="4260" w:type="dxa"/>
            <w:vAlign w:val="bottom"/>
            <w:vMerge w:val="restart"/>
          </w:tcPr>
          <w:p>
            <w:pPr>
              <w:ind w:left="340"/>
              <w:spacing w:after="0" w:line="194" w:lineRule="exact"/>
              <w:rPr>
                <w:sz w:val="20"/>
                <w:szCs w:val="20"/>
                <w:color w:val="auto"/>
              </w:rPr>
            </w:pPr>
            <w:r>
              <w:rPr>
                <w:rFonts w:ascii="Times New Roman" w:cs="Times New Roman" w:eastAsia="Times New Roman" w:hAnsi="Times New Roman"/>
                <w:sz w:val="18"/>
                <w:szCs w:val="18"/>
                <w:b w:val="1"/>
                <w:bCs w:val="1"/>
                <w:color w:val="auto"/>
              </w:rPr>
              <w:t>Net income (loss) attributable to Twin Disc,</w:t>
            </w:r>
          </w:p>
        </w:tc>
        <w:tc>
          <w:tcPr>
            <w:tcW w:w="1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4260" w:type="dxa"/>
            <w:vAlign w:val="bottom"/>
            <w:vMerge w:val="continue"/>
          </w:tcPr>
          <w:p>
            <w:pPr>
              <w:spacing w:after="0"/>
              <w:rPr>
                <w:sz w:val="15"/>
                <w:szCs w:val="15"/>
                <w:color w:val="auto"/>
              </w:rPr>
            </w:pPr>
          </w:p>
        </w:tc>
        <w:tc>
          <w:tcPr>
            <w:tcW w:w="160" w:type="dxa"/>
            <w:vAlign w:val="bottom"/>
            <w:vMerge w:val="restart"/>
          </w:tcPr>
          <w:p>
            <w:pPr>
              <w:spacing w:after="0"/>
              <w:rPr>
                <w:sz w:val="15"/>
                <w:szCs w:val="15"/>
                <w:color w:val="auto"/>
              </w:rPr>
            </w:pPr>
          </w:p>
        </w:tc>
        <w:tc>
          <w:tcPr>
            <w:tcW w:w="32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2,350</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(1,028)</w:t>
            </w:r>
          </w:p>
        </w:tc>
        <w:tc>
          <w:tcPr>
            <w:tcW w:w="2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(2,010)</w:t>
            </w:r>
          </w:p>
        </w:tc>
        <w:tc>
          <w:tcPr>
            <w:tcW w:w="22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(518)</w:t>
            </w:r>
          </w:p>
        </w:tc>
        <w:tc>
          <w:tcPr>
            <w:tcW w:w="0" w:type="dxa"/>
            <w:vAlign w:val="bottom"/>
          </w:tcPr>
          <w:p>
            <w:pPr>
              <w:spacing w:after="0"/>
              <w:rPr>
                <w:sz w:val="1"/>
                <w:szCs w:val="1"/>
                <w:color w:val="auto"/>
              </w:rPr>
            </w:pPr>
          </w:p>
        </w:tc>
      </w:tr>
      <w:tr>
        <w:trPr>
          <w:trHeight w:val="265"/>
        </w:trPr>
        <w:tc>
          <w:tcPr>
            <w:tcW w:w="426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Incorporated</w:t>
            </w:r>
          </w:p>
        </w:tc>
        <w:tc>
          <w:tcPr>
            <w:tcW w:w="160" w:type="dxa"/>
            <w:vAlign w:val="bottom"/>
            <w:vMerge w:val="continue"/>
          </w:tcPr>
          <w:p>
            <w:pPr>
              <w:spacing w:after="0"/>
              <w:rPr>
                <w:sz w:val="23"/>
                <w:szCs w:val="23"/>
                <w:color w:val="auto"/>
              </w:rPr>
            </w:pPr>
          </w:p>
        </w:tc>
        <w:tc>
          <w:tcPr>
            <w:tcW w:w="320" w:type="dxa"/>
            <w:vAlign w:val="bottom"/>
            <w:vMerge w:val="continue"/>
          </w:tcPr>
          <w:p>
            <w:pPr>
              <w:spacing w:after="0"/>
              <w:rPr>
                <w:sz w:val="23"/>
                <w:szCs w:val="23"/>
                <w:color w:val="auto"/>
              </w:rPr>
            </w:pPr>
          </w:p>
        </w:tc>
        <w:tc>
          <w:tcPr>
            <w:tcW w:w="1040" w:type="dxa"/>
            <w:vAlign w:val="bottom"/>
            <w:gridSpan w:val="2"/>
            <w:vMerge w:val="continue"/>
          </w:tcPr>
          <w:p>
            <w:pPr>
              <w:spacing w:after="0"/>
              <w:rPr>
                <w:sz w:val="23"/>
                <w:szCs w:val="23"/>
                <w:color w:val="auto"/>
              </w:rPr>
            </w:pPr>
          </w:p>
        </w:tc>
        <w:tc>
          <w:tcPr>
            <w:tcW w:w="120" w:type="dxa"/>
            <w:vAlign w:val="bottom"/>
            <w:vMerge w:val="continue"/>
          </w:tcPr>
          <w:p>
            <w:pPr>
              <w:spacing w:after="0"/>
              <w:rPr>
                <w:sz w:val="23"/>
                <w:szCs w:val="23"/>
                <w:color w:val="auto"/>
              </w:rPr>
            </w:pPr>
          </w:p>
        </w:tc>
        <w:tc>
          <w:tcPr>
            <w:tcW w:w="1180" w:type="dxa"/>
            <w:vAlign w:val="bottom"/>
            <w:gridSpan w:val="2"/>
            <w:vMerge w:val="continue"/>
          </w:tcPr>
          <w:p>
            <w:pPr>
              <w:spacing w:after="0"/>
              <w:rPr>
                <w:sz w:val="23"/>
                <w:szCs w:val="23"/>
                <w:color w:val="auto"/>
              </w:rPr>
            </w:pPr>
          </w:p>
        </w:tc>
        <w:tc>
          <w:tcPr>
            <w:tcW w:w="220" w:type="dxa"/>
            <w:vAlign w:val="bottom"/>
            <w:gridSpan w:val="2"/>
            <w:vMerge w:val="continue"/>
          </w:tcPr>
          <w:p>
            <w:pPr>
              <w:spacing w:after="0"/>
              <w:rPr>
                <w:sz w:val="23"/>
                <w:szCs w:val="23"/>
                <w:color w:val="auto"/>
              </w:rPr>
            </w:pPr>
          </w:p>
        </w:tc>
        <w:tc>
          <w:tcPr>
            <w:tcW w:w="1140" w:type="dxa"/>
            <w:vAlign w:val="bottom"/>
            <w:gridSpan w:val="2"/>
            <w:vMerge w:val="continue"/>
          </w:tcPr>
          <w:p>
            <w:pPr>
              <w:spacing w:after="0"/>
              <w:rPr>
                <w:sz w:val="23"/>
                <w:szCs w:val="23"/>
                <w:color w:val="auto"/>
              </w:rPr>
            </w:pPr>
          </w:p>
        </w:tc>
        <w:tc>
          <w:tcPr>
            <w:tcW w:w="220" w:type="dxa"/>
            <w:vAlign w:val="bottom"/>
            <w:gridSpan w:val="2"/>
            <w:vMerge w:val="continue"/>
          </w:tcPr>
          <w:p>
            <w:pPr>
              <w:spacing w:after="0"/>
              <w:rPr>
                <w:sz w:val="23"/>
                <w:szCs w:val="23"/>
                <w:color w:val="auto"/>
              </w:rPr>
            </w:pPr>
          </w:p>
        </w:tc>
        <w:tc>
          <w:tcPr>
            <w:tcW w:w="1260" w:type="dxa"/>
            <w:vAlign w:val="bottom"/>
            <w:gridSpan w:val="2"/>
            <w:vMerge w:val="continue"/>
          </w:tcPr>
          <w:p>
            <w:pPr>
              <w:spacing w:after="0"/>
              <w:rPr>
                <w:sz w:val="23"/>
                <w:szCs w:val="23"/>
                <w:color w:val="auto"/>
              </w:rPr>
            </w:pPr>
          </w:p>
        </w:tc>
        <w:tc>
          <w:tcPr>
            <w:tcW w:w="100" w:type="dxa"/>
            <w:vAlign w:val="bottom"/>
            <w:vMerge w:val="continue"/>
          </w:tcPr>
          <w:p>
            <w:pPr>
              <w:spacing w:after="0"/>
              <w:rPr>
                <w:sz w:val="23"/>
                <w:szCs w:val="23"/>
                <w:color w:val="auto"/>
              </w:rPr>
            </w:pPr>
          </w:p>
        </w:tc>
        <w:tc>
          <w:tcPr>
            <w:tcW w:w="1220" w:type="dxa"/>
            <w:vAlign w:val="bottom"/>
            <w:gridSpan w:val="2"/>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196"/>
        </w:trPr>
        <w:tc>
          <w:tcPr>
            <w:tcW w:w="42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consolidated assets</w:t>
            </w:r>
          </w:p>
        </w:tc>
        <w:tc>
          <w:tcPr>
            <w:tcW w:w="4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533,508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66,003</w:t>
            </w:r>
          </w:p>
        </w:tc>
        <w:tc>
          <w:tcPr>
            <w:tcW w:w="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(225,825)</w:t>
            </w:r>
          </w:p>
        </w:tc>
        <w:tc>
          <w:tcPr>
            <w:tcW w:w="2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(10,150)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363,536</w:t>
            </w:r>
          </w:p>
        </w:tc>
        <w:tc>
          <w:tcPr>
            <w:tcW w:w="0" w:type="dxa"/>
            <w:vAlign w:val="bottom"/>
          </w:tcPr>
          <w:p>
            <w:pPr>
              <w:spacing w:after="0"/>
              <w:rPr>
                <w:sz w:val="1"/>
                <w:szCs w:val="1"/>
                <w:color w:val="auto"/>
              </w:rPr>
            </w:pPr>
          </w:p>
        </w:tc>
      </w:tr>
      <w:tr>
        <w:trPr>
          <w:trHeight w:val="216"/>
        </w:trPr>
        <w:tc>
          <w:tcPr>
            <w:tcW w:w="4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8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3,066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95</w:t>
            </w:r>
          </w:p>
        </w:tc>
        <w:tc>
          <w:tcPr>
            <w:tcW w:w="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303</w:t>
            </w:r>
          </w:p>
        </w:tc>
        <w:tc>
          <w:tcPr>
            <w:tcW w:w="2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3,464</w:t>
            </w:r>
          </w:p>
        </w:tc>
        <w:tc>
          <w:tcPr>
            <w:tcW w:w="0" w:type="dxa"/>
            <w:vAlign w:val="bottom"/>
          </w:tcPr>
          <w:p>
            <w:pPr>
              <w:spacing w:after="0"/>
              <w:rPr>
                <w:sz w:val="1"/>
                <w:szCs w:val="1"/>
                <w:color w:val="auto"/>
              </w:rPr>
            </w:pPr>
          </w:p>
        </w:tc>
      </w:tr>
      <w:tr>
        <w:trPr>
          <w:trHeight w:val="234"/>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Expenditures for segment assets</w:t>
            </w: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2,288</w:t>
            </w:r>
          </w:p>
        </w:tc>
        <w:tc>
          <w:tcPr>
            <w:tcW w:w="120" w:type="dxa"/>
            <w:vAlign w:val="bottom"/>
          </w:tcPr>
          <w:p>
            <w:pPr>
              <w:spacing w:after="0"/>
              <w:rPr>
                <w:sz w:val="20"/>
                <w:szCs w:val="20"/>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370</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772</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3,430</w:t>
            </w:r>
          </w:p>
        </w:tc>
        <w:tc>
          <w:tcPr>
            <w:tcW w:w="0" w:type="dxa"/>
            <w:vAlign w:val="bottom"/>
          </w:tcPr>
          <w:p>
            <w:pPr>
              <w:spacing w:after="0"/>
              <w:rPr>
                <w:sz w:val="1"/>
                <w:szCs w:val="1"/>
                <w:color w:val="auto"/>
              </w:rPr>
            </w:pP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Disaggregated revenue:</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presents details deemed most relevant to the users of the financial statements for the quarters ended September 25, 2026 and September 26, 2025.</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sales by product group for the quarter ended September 25, 2026 is summarized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3"/>
          </w:tcPr>
          <w:p>
            <w:pPr>
              <w:jc w:val="center"/>
              <w:ind w:right="121"/>
              <w:spacing w:after="0"/>
              <w:rPr>
                <w:sz w:val="20"/>
                <w:szCs w:val="20"/>
                <w:color w:val="auto"/>
              </w:rPr>
            </w:pPr>
            <w:r>
              <w:rPr>
                <w:rFonts w:ascii="Times New Roman" w:cs="Times New Roman" w:eastAsia="Times New Roman" w:hAnsi="Times New Roman"/>
                <w:sz w:val="18"/>
                <w:szCs w:val="18"/>
                <w:color w:val="auto"/>
                <w:w w:val="99"/>
              </w:rPr>
              <w:t>Elimination of</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3"/>
          </w:tcPr>
          <w:p>
            <w:pPr>
              <w:jc w:val="center"/>
              <w:ind w:right="121"/>
              <w:spacing w:after="0"/>
              <w:rPr>
                <w:sz w:val="20"/>
                <w:szCs w:val="20"/>
                <w:color w:val="auto"/>
              </w:rPr>
            </w:pPr>
            <w:r>
              <w:rPr>
                <w:rFonts w:ascii="Times New Roman" w:cs="Times New Roman" w:eastAsia="Times New Roman" w:hAnsi="Times New Roman"/>
                <w:sz w:val="18"/>
                <w:szCs w:val="18"/>
                <w:color w:val="auto"/>
                <w:w w:val="99"/>
              </w:rPr>
              <w:t>Intercompany</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90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3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Manufacturing</w:t>
            </w:r>
          </w:p>
        </w:tc>
        <w:tc>
          <w:tcPr>
            <w:tcW w:w="100" w:type="dxa"/>
            <w:vAlign w:val="bottom"/>
          </w:tcPr>
          <w:p>
            <w:pPr>
              <w:spacing w:after="0"/>
              <w:rPr>
                <w:sz w:val="20"/>
                <w:szCs w:val="20"/>
                <w:color w:val="auto"/>
              </w:rPr>
            </w:pP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Distribution</w:t>
            </w:r>
          </w:p>
        </w:tc>
        <w:tc>
          <w:tcPr>
            <w:tcW w:w="220" w:type="dxa"/>
            <w:vAlign w:val="bottom"/>
          </w:tcPr>
          <w:p>
            <w:pPr>
              <w:spacing w:after="0"/>
              <w:rPr>
                <w:sz w:val="20"/>
                <w:szCs w:val="20"/>
                <w:color w:val="auto"/>
              </w:rPr>
            </w:pPr>
          </w:p>
        </w:tc>
        <w:tc>
          <w:tcPr>
            <w:tcW w:w="1100" w:type="dxa"/>
            <w:vAlign w:val="bottom"/>
            <w:gridSpan w:val="2"/>
          </w:tcPr>
          <w:p>
            <w:pPr>
              <w:jc w:val="center"/>
              <w:ind w:right="361"/>
              <w:spacing w:after="0"/>
              <w:rPr>
                <w:sz w:val="20"/>
                <w:szCs w:val="20"/>
                <w:color w:val="auto"/>
              </w:rPr>
            </w:pPr>
            <w:r>
              <w:rPr>
                <w:rFonts w:ascii="Times New Roman" w:cs="Times New Roman" w:eastAsia="Times New Roman" w:hAnsi="Times New Roman"/>
                <w:sz w:val="18"/>
                <w:szCs w:val="18"/>
                <w:color w:val="auto"/>
                <w:w w:val="99"/>
              </w:rPr>
              <w:t>Sales</w:t>
            </w:r>
          </w:p>
        </w:tc>
        <w:tc>
          <w:tcPr>
            <w:tcW w:w="240" w:type="dxa"/>
            <w:vAlign w:val="bottom"/>
          </w:tcPr>
          <w:p>
            <w:pPr>
              <w:spacing w:after="0"/>
              <w:rPr>
                <w:sz w:val="20"/>
                <w:szCs w:val="20"/>
                <w:color w:val="auto"/>
              </w:rPr>
            </w:pPr>
          </w:p>
        </w:tc>
        <w:tc>
          <w:tcPr>
            <w:tcW w:w="9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10"/>
        </w:trPr>
        <w:tc>
          <w:tcPr>
            <w:tcW w:w="39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Industrial</w:t>
            </w:r>
          </w:p>
        </w:tc>
        <w:tc>
          <w:tcPr>
            <w:tcW w:w="20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w w:val="92"/>
              </w:rPr>
              <w:t>13,862</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14,038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Land-based transmissions</w:t>
            </w:r>
          </w:p>
        </w:tc>
        <w:tc>
          <w:tcPr>
            <w:tcW w:w="2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16,765</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4,300</w:t>
            </w:r>
          </w:p>
        </w:tc>
        <w:tc>
          <w:tcPr>
            <w:tcW w:w="22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(6,092)</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14,973</w:t>
            </w: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Marine and propulsion systems</w:t>
            </w:r>
          </w:p>
        </w:tc>
        <w:tc>
          <w:tcPr>
            <w:tcW w:w="20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49,648</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16,820</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(11,314)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55,154</w:t>
            </w:r>
          </w:p>
        </w:tc>
        <w:tc>
          <w:tcPr>
            <w:tcW w:w="0" w:type="dxa"/>
            <w:vAlign w:val="bottom"/>
          </w:tcPr>
          <w:p>
            <w:pPr>
              <w:spacing w:after="0"/>
              <w:rPr>
                <w:sz w:val="1"/>
                <w:szCs w:val="1"/>
                <w:color w:val="auto"/>
              </w:rPr>
            </w:pPr>
          </w:p>
        </w:tc>
      </w:tr>
      <w:tr>
        <w:trPr>
          <w:trHeight w:val="230"/>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0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4,886</w:t>
            </w:r>
          </w:p>
        </w:tc>
        <w:tc>
          <w:tcPr>
            <w:tcW w:w="220" w:type="dxa"/>
            <w:vAlign w:val="bottom"/>
          </w:tcPr>
          <w:p>
            <w:pPr>
              <w:spacing w:after="0"/>
              <w:rPr>
                <w:sz w:val="19"/>
                <w:szCs w:val="19"/>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(306)</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4,580</w:t>
            </w:r>
          </w:p>
        </w:tc>
        <w:tc>
          <w:tcPr>
            <w:tcW w:w="0" w:type="dxa"/>
            <w:vAlign w:val="bottom"/>
          </w:tcPr>
          <w:p>
            <w:pPr>
              <w:spacing w:after="0"/>
              <w:rPr>
                <w:sz w:val="1"/>
                <w:szCs w:val="1"/>
                <w:color w:val="auto"/>
              </w:rPr>
            </w:pPr>
          </w:p>
        </w:tc>
      </w:tr>
      <w:tr>
        <w:trPr>
          <w:trHeight w:val="223"/>
        </w:trPr>
        <w:tc>
          <w:tcPr>
            <w:tcW w:w="39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080" w:type="dxa"/>
            <w:vAlign w:val="bottom"/>
            <w:tcBorders>
              <w:top w:val="single" w:sz="8" w:color="CCEEFF"/>
              <w:bottom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w w:val="92"/>
              </w:rPr>
              <w:t>80,275</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26,863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(18,393</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88,745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208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rPr>
              <w:t>10</w:t>
            </w: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900" w:type="dxa"/>
            <w:vAlign w:val="bottom"/>
          </w:tcPr>
          <w:p>
            <w:pPr>
              <w:spacing w:after="0"/>
              <w:rPr>
                <w:sz w:val="24"/>
                <w:szCs w:val="24"/>
                <w:color w:val="auto"/>
              </w:rPr>
            </w:pPr>
          </w:p>
        </w:tc>
        <w:tc>
          <w:tcPr>
            <w:tcW w:w="208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900" w:type="dxa"/>
            <w:vAlign w:val="bottom"/>
            <w:tcBorders>
              <w:bottom w:val="single" w:sz="8" w:color="auto"/>
            </w:tcBorders>
          </w:tcPr>
          <w:p>
            <w:pPr>
              <w:spacing w:after="0"/>
              <w:rPr>
                <w:sz w:val="10"/>
                <w:szCs w:val="10"/>
                <w:color w:val="auto"/>
              </w:rPr>
            </w:pPr>
          </w:p>
        </w:tc>
        <w:tc>
          <w:tcPr>
            <w:tcW w:w="208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07"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color w:val="auto"/>
        </w:rPr>
        <w:t>Net sales by product group for the quarter ended September 26, 2025 is summarized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3"/>
          </w:tcPr>
          <w:p>
            <w:pPr>
              <w:jc w:val="center"/>
              <w:ind w:right="121"/>
              <w:spacing w:after="0"/>
              <w:rPr>
                <w:sz w:val="20"/>
                <w:szCs w:val="20"/>
                <w:color w:val="auto"/>
              </w:rPr>
            </w:pPr>
            <w:r>
              <w:rPr>
                <w:rFonts w:ascii="Times New Roman" w:cs="Times New Roman" w:eastAsia="Times New Roman" w:hAnsi="Times New Roman"/>
                <w:sz w:val="18"/>
                <w:szCs w:val="18"/>
                <w:color w:val="auto"/>
                <w:w w:val="99"/>
              </w:rPr>
              <w:t>Elimination of</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3"/>
          </w:tcPr>
          <w:p>
            <w:pPr>
              <w:jc w:val="center"/>
              <w:ind w:right="121"/>
              <w:spacing w:after="0"/>
              <w:rPr>
                <w:sz w:val="20"/>
                <w:szCs w:val="20"/>
                <w:color w:val="auto"/>
              </w:rPr>
            </w:pPr>
            <w:r>
              <w:rPr>
                <w:rFonts w:ascii="Times New Roman" w:cs="Times New Roman" w:eastAsia="Times New Roman" w:hAnsi="Times New Roman"/>
                <w:sz w:val="18"/>
                <w:szCs w:val="18"/>
                <w:color w:val="auto"/>
                <w:w w:val="99"/>
              </w:rPr>
              <w:t>Intercompany</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5980" w:type="dxa"/>
            <w:vAlign w:val="bottom"/>
          </w:tcPr>
          <w:p>
            <w:pPr>
              <w:spacing w:after="0"/>
              <w:rPr>
                <w:sz w:val="20"/>
                <w:szCs w:val="20"/>
                <w:color w:val="auto"/>
              </w:rPr>
            </w:pPr>
          </w:p>
        </w:tc>
        <w:tc>
          <w:tcPr>
            <w:tcW w:w="13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Manufacturing</w:t>
            </w:r>
          </w:p>
        </w:tc>
        <w:tc>
          <w:tcPr>
            <w:tcW w:w="100" w:type="dxa"/>
            <w:vAlign w:val="bottom"/>
          </w:tcPr>
          <w:p>
            <w:pPr>
              <w:spacing w:after="0"/>
              <w:rPr>
                <w:sz w:val="20"/>
                <w:szCs w:val="20"/>
                <w:color w:val="auto"/>
              </w:rPr>
            </w:pP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Distribution</w:t>
            </w:r>
          </w:p>
        </w:tc>
        <w:tc>
          <w:tcPr>
            <w:tcW w:w="220" w:type="dxa"/>
            <w:vAlign w:val="bottom"/>
          </w:tcPr>
          <w:p>
            <w:pPr>
              <w:spacing w:after="0"/>
              <w:rPr>
                <w:sz w:val="20"/>
                <w:szCs w:val="20"/>
                <w:color w:val="auto"/>
              </w:rPr>
            </w:pPr>
          </w:p>
        </w:tc>
        <w:tc>
          <w:tcPr>
            <w:tcW w:w="1100" w:type="dxa"/>
            <w:vAlign w:val="bottom"/>
            <w:gridSpan w:val="2"/>
          </w:tcPr>
          <w:p>
            <w:pPr>
              <w:jc w:val="center"/>
              <w:ind w:right="361"/>
              <w:spacing w:after="0"/>
              <w:rPr>
                <w:sz w:val="20"/>
                <w:szCs w:val="20"/>
                <w:color w:val="auto"/>
              </w:rPr>
            </w:pPr>
            <w:r>
              <w:rPr>
                <w:rFonts w:ascii="Times New Roman" w:cs="Times New Roman" w:eastAsia="Times New Roman" w:hAnsi="Times New Roman"/>
                <w:sz w:val="18"/>
                <w:szCs w:val="18"/>
                <w:color w:val="auto"/>
                <w:w w:val="99"/>
              </w:rPr>
              <w:t>Sales</w:t>
            </w:r>
          </w:p>
        </w:tc>
        <w:tc>
          <w:tcPr>
            <w:tcW w:w="240" w:type="dxa"/>
            <w:vAlign w:val="bottom"/>
          </w:tcPr>
          <w:p>
            <w:pPr>
              <w:spacing w:after="0"/>
              <w:rPr>
                <w:sz w:val="20"/>
                <w:szCs w:val="20"/>
                <w:color w:val="auto"/>
              </w:rPr>
            </w:pPr>
          </w:p>
        </w:tc>
        <w:tc>
          <w:tcPr>
            <w:tcW w:w="9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w:t>
            </w:r>
          </w:p>
        </w:tc>
      </w:tr>
      <w:tr>
        <w:trPr>
          <w:trHeight w:val="210"/>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Industrial</w:t>
            </w:r>
          </w:p>
        </w:tc>
        <w:tc>
          <w:tcPr>
            <w:tcW w:w="360" w:type="dxa"/>
            <w:vAlign w:val="bottom"/>
            <w:tcBorders>
              <w:top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w w:val="92"/>
              </w:rPr>
              <w:t>10,304</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Land-based transmissions</w:t>
            </w:r>
          </w:p>
        </w:tc>
        <w:tc>
          <w:tcPr>
            <w:tcW w:w="360" w:type="dxa"/>
            <w:vAlign w:val="bottom"/>
          </w:tcPr>
          <w:p>
            <w:pPr>
              <w:spacing w:after="0"/>
              <w:rPr>
                <w:sz w:val="18"/>
                <w:szCs w:val="18"/>
                <w:color w:val="auto"/>
              </w:rPr>
            </w:pPr>
          </w:p>
        </w:tc>
        <w:tc>
          <w:tcPr>
            <w:tcW w:w="10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17,880</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2,951</w:t>
            </w:r>
          </w:p>
        </w:tc>
        <w:tc>
          <w:tcPr>
            <w:tcW w:w="22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(3,273)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17,558</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Marine and propulsion systems</w:t>
            </w: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45,870</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13,483</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(11,127)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48,226</w:t>
            </w:r>
          </w:p>
        </w:tc>
      </w:tr>
      <w:tr>
        <w:trPr>
          <w:trHeight w:val="23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Pr>
          <w:p>
            <w:pPr>
              <w:spacing w:after="0"/>
              <w:rPr>
                <w:sz w:val="19"/>
                <w:szCs w:val="19"/>
                <w:color w:val="auto"/>
              </w:rPr>
            </w:pPr>
          </w:p>
        </w:tc>
        <w:tc>
          <w:tcPr>
            <w:tcW w:w="102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4,347</w:t>
            </w:r>
          </w:p>
        </w:tc>
        <w:tc>
          <w:tcPr>
            <w:tcW w:w="220" w:type="dxa"/>
            <w:vAlign w:val="bottom"/>
          </w:tcPr>
          <w:p>
            <w:pPr>
              <w:spacing w:after="0"/>
              <w:rPr>
                <w:sz w:val="19"/>
                <w:szCs w:val="19"/>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(513)</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3,834</w:t>
            </w:r>
          </w:p>
        </w:tc>
      </w:tr>
      <w:tr>
        <w:trPr>
          <w:trHeight w:val="223"/>
        </w:trPr>
        <w:tc>
          <w:tcPr>
            <w:tcW w:w="5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top w:val="single" w:sz="8" w:color="auto"/>
              <w:bottom w:val="single" w:sz="8" w:color="auto"/>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w w:val="92"/>
              </w:rPr>
              <w:t>74,054</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21,778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(15,836</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79,996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9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Industrial products include clutches, power take-offs and pump drives sold to the agriculture, recycling, construction and oil and gas markets. The land-based transmission products include applications for oil field and natural gas, military, and airport rescue and firefighting. The marine and propulsion systems include marine transmission, azimuth drives, controls, surface drives, and propellers for the global commercial marine, pleasure craft, and patrol boat markets. Other includes non-Twin Disc manufactured products sold through Company-owned distribution entities.</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  Stock-Based Compensation</w:t>
      </w:r>
    </w:p>
    <w:p>
      <w:pPr>
        <w:spacing w:after="0" w:line="229"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In the first quarter of fiscal 2025, the Company adopted the Twin Disc, Incorporated Amended and Restated 2021 Omnibus Incentive Plan (the “Omnibus Plan”), which was subsequently approved by the Company’s shareholders. The Omnibus Plan amended and restated the Twin Disc, Incorporated 2021 Long-Term Incentive Plan (the “2021 LTI Plan”), and effectively replaced the Twin Disc, Incorporated 2020 Stock Incentive Plan for Non-Employee Directors (the “2020 Directors' Plan”). Benefits under the Omnibus Plan may be granted, awarded or paid in any one or a combination of stock options, stock appreciation rights, restricted stock awards, restricted stock units, cash-settled restricted stock units, performance stock awards, performance stock unit awards, performance unit awards, and dividend equivalent awards. The Omnibus Plan is designed to benefit key employees (including officers and consultants) of the Company and its subsidiaries, as well as non-employee directors of the Company.</w:t>
      </w:r>
    </w:p>
    <w:p>
      <w:pPr>
        <w:spacing w:after="0" w:line="189" w:lineRule="exact"/>
        <w:rPr>
          <w:sz w:val="20"/>
          <w:szCs w:val="20"/>
          <w:color w:val="auto"/>
        </w:rPr>
      </w:pPr>
    </w:p>
    <w:p>
      <w:pPr>
        <w:jc w:val="both"/>
        <w:ind w:right="160"/>
        <w:spacing w:after="0" w:line="258" w:lineRule="auto"/>
        <w:rPr>
          <w:sz w:val="20"/>
          <w:szCs w:val="20"/>
          <w:color w:val="auto"/>
        </w:rPr>
      </w:pPr>
      <w:r>
        <w:rPr>
          <w:rFonts w:ascii="Times New Roman" w:cs="Times New Roman" w:eastAsia="Times New Roman" w:hAnsi="Times New Roman"/>
          <w:sz w:val="18"/>
          <w:szCs w:val="18"/>
          <w:color w:val="auto"/>
        </w:rPr>
        <w:t>There is reserved for issuance under the Plan an aggregate of 1,636.6 shares of the Company’s common stock, which consists of the previously-approved 715.0 shares of common stock reserved for issuance under the 2021 LTI Plan prior to its amendment and restatement to become the Omnibus Plan; 521.6 shares of common stock that remained available for issuance under the 2020 Directors' Plan; and 400.0 newly authorized shares of common stock. Shares issued under the Omnibus Plan may be authorized and unissued shares or shares reacquired by the Company in the open market or a combination of both. The aggregate amount is subject to proportionate adjustments for stock dividends, stock splits and similar changes.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 Stock Awards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PSA</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t>
      </w:r>
    </w:p>
    <w:p>
      <w:pPr>
        <w:spacing w:after="0" w:line="227"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During the first quarter of fiscal 2027 and 2026, the Company granted a target number of 70.8 and 166.5 PSAs, respectively, to various employees and consultants of the Company, including executive officers.</w:t>
      </w:r>
    </w:p>
    <w:p>
      <w:pPr>
        <w:spacing w:after="0" w:line="162"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fiscal 2027 PSAs will vest if the Company achieves performance-based target objectives relating to average return on invested capital and cumulative EBITDA (as defined in the PSA Grant Agreement), in the cumulative three fiscal year period ending June 30, 2029. These PSAs are subject to adjustment if the Company’s return on invested capital and cumulative EBITDA falls below or exceeds the specified target objective, and the maximum number of performance shares that can be awarded if the target objective is exceeded is 141.7. Based upon actual results to date, the Company is currently accruing compensation expense for these PSAs.</w:t>
      </w:r>
    </w:p>
    <w:p>
      <w:pPr>
        <w:spacing w:after="0" w:line="183"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fiscal 2026 PSAs will vest if the Company achieves performance-based target objectives relating to average return on invested capital and cumulative EBITDA (as defined in the PSA Grant Agreement), in the cumulative three fiscal year period ending June 30, 2028. These PSAs are subject to adjustment if the Company’s return on invested capital and cumulative EBITDA falls below or exceeds the specified target objective, and the maximum number of performance shares that can be awarded if the target objective is exceeded is 333.1. Based upon actual results to date, the Company is currently accruing compensation expense for these PSAs.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11" w:name="page12"/>
    <w:bookmarkEnd w:id="11"/>
    <w:p>
      <w:pPr>
        <w:spacing w:after="0" w:line="256" w:lineRule="auto"/>
        <w:rPr>
          <w:sz w:val="20"/>
          <w:szCs w:val="20"/>
          <w:color w:val="auto"/>
        </w:rPr>
      </w:pPr>
      <w:r>
        <w:rPr>
          <w:rFonts w:ascii="Times New Roman" w:cs="Times New Roman" w:eastAsia="Times New Roman" w:hAnsi="Times New Roman"/>
          <w:sz w:val="18"/>
          <w:szCs w:val="18"/>
          <w:color w:val="auto"/>
        </w:rPr>
        <w:t>There were 351.2 and 396.9 unvested PSAs outstanding at September 25, 2026 and September 26, 2025, respectively. The fair value of the PSAs (on the date of grant) is expensed over the performance period for the shares that are expected to ultimately vest. Compensation expense of $635 and $378 was recognized for the quarters ended September 25, 2026 and September 26, 2025, respectively, related to PSAs. The weighted average grant date fair value of the unvested awards at September 25, 2026 was $13.38. At September 25, 2026, the Company had $2,890 of unrecognized compensation expense related to the unvested shares that would vest if the specified target objective was achieved for the fiscal 2027 and 2026 awards. The total fair value of PSAs vested as of September 25, 2026 and September 26, 2025 was $0.</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 Stock Unit Awards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PSUA</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t>
      </w:r>
    </w:p>
    <w:p>
      <w:pPr>
        <w:spacing w:after="0" w:line="227"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The PSUAs entitle an individual to shares of common stock of the Company or cash in lieu of shares of Company common stock if specific terms and conditions or restrictions are met through a specified date. There were no PSUAs granted during the first quarter of fiscal 2027and 2026.</w:t>
      </w:r>
    </w:p>
    <w:p>
      <w:pPr>
        <w:spacing w:after="0" w:line="162"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There were 0.0 and 8.0 unvested PSUAs outstanding at September 25, 2026 and September 26, 2025, respectively. The fair value of the PSUAs (on the date of grant) is expensed over the performance period for the shares that are expected to ultimately vest. Compensation expense of $41 and $8 was recognized for the quarters ended September 25, 2026 and September 26, 2025, respectively, related to PSUAs. The weighted average grant date fair value of the unvested awards at September 25, 2026 was $0. At September 25, 2026, the Company had $0 of unrecognized compensation expense related to the unvested shares that would vest if the specified target objective was achieved for the fiscal 2025 awards. The total fair value of PSUAs vested as of September 25, 2026 and September 26, 2025 was $0.</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Awards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t>
      </w:r>
    </w:p>
    <w:p>
      <w:pPr>
        <w:spacing w:after="0" w:line="227"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The Company has unvested RS awards outstanding that will vest if certain service conditions are fulfilled. The fair value of the RS grants is recorded as compensation expense over the vesting period, which is generally 1 to 3 years. During the first quarter of fiscal 2027 and 2026, the Company granted 47.8 and 113.2 service based restricted shares, respectively. There were 194.3 and 233.2 unvested shares outstanding at September 25, 2026 and September 26, 2025, respectively. A total of 0.0 and 2.2 shares of restricted stock were forfeited during the quarters ended September 25, 2026 and September 26, 2025, respectively. Compensation expense of $308 and $305 was recognized for the quarters ended September 25, 2026 and September 26, 2025, respectively. The total fair value of restricted stock grants vested as of September 25, 2026 and September 26, 2025 was $1,755 and $1,156, respectively. As of September 25, 2026, the Company had $1,748 of unrecognized compensation expense related to restricted stock which will be recognized over the next three years.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Unit Awards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RSU</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t>
      </w:r>
    </w:p>
    <w:p>
      <w:pPr>
        <w:spacing w:after="0" w:line="22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RSUs entitles an individual to shares of common stock of the Company or cash in lieu of shares of Company common stock if specific terms and conditions or restrictions are met through a specified date, generally three years from the date of grant or when performance conditions have been met. The fair value of the RSUs (on the date of grant) is recorded as compensation expense over the vesting period. There were no employment based RSUs granted during the first quarter of fiscal 2027 and 2026. There were 79.2 and 73.8 unvested RSUs outstanding at September 25, 2026 and September 26, 2025, respectively. Compensation expense of $79 and $171 was recognized for the quarters ended September 25, 2026 and September 26, 2025, respectively. The total fair value of restricted stock units vested as of September 25, 2026 and September 26, 2025 was $124 and $33, respectively. The weighted average grant date fair value of the unvested awards at September 25, 2026 was $13.13. As of September 25, 2026, the Company had $269 of unrecognized compensation expense related to restricted stock which will be recognized over the next three years.</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  Pension and Other Postretirement Benefit Plans</w:t>
      </w:r>
    </w:p>
    <w:p>
      <w:pPr>
        <w:spacing w:after="0" w:line="229"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The Company has non-contributory, qualified defined benefit plans covering substantially all domestic employees hired prior to October 1, 2003 and certain foreign employees. Additionally, the Company provides healthcare and life insurance benefits for certain domestic retirees.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the net periodic benefit cost for the defined benefit pension plans and the other postretirement benefit plan are as follows: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service cost component is included in cost of goods sold and marketing, engineering and administrative expenses. All other components of net periodic benefit cost (gain) are included in other income (expense), net.</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07" w:right="35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29"/>
        </w:trPr>
        <w:tc>
          <w:tcPr>
            <w:tcW w:w="6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20" w:type="dxa"/>
            <w:vAlign w:val="bottom"/>
            <w:gridSpan w:val="4"/>
          </w:tcPr>
          <w:p>
            <w:pPr>
              <w:jc w:val="right"/>
              <w:ind w:right="150"/>
              <w:spacing w:after="0"/>
              <w:rPr>
                <w:sz w:val="20"/>
                <w:szCs w:val="20"/>
                <w:color w:val="auto"/>
              </w:rPr>
            </w:pPr>
            <w:r>
              <w:rPr>
                <w:rFonts w:ascii="Times New Roman" w:cs="Times New Roman" w:eastAsia="Times New Roman" w:hAnsi="Times New Roman"/>
                <w:sz w:val="18"/>
                <w:szCs w:val="18"/>
                <w:color w:val="auto"/>
              </w:rPr>
              <w:t>For the Quarter Ended</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4"/>
        </w:trPr>
        <w:tc>
          <w:tcPr>
            <w:tcW w:w="6220" w:type="dxa"/>
            <w:vAlign w:val="bottom"/>
          </w:tcPr>
          <w:p>
            <w:pPr>
              <w:spacing w:after="0"/>
              <w:rPr>
                <w:sz w:val="20"/>
                <w:szCs w:val="20"/>
                <w:color w:val="auto"/>
              </w:rPr>
            </w:pPr>
          </w:p>
        </w:tc>
        <w:tc>
          <w:tcPr>
            <w:tcW w:w="16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September 25, 2026</w:t>
            </w:r>
          </w:p>
        </w:tc>
        <w:tc>
          <w:tcPr>
            <w:tcW w:w="80" w:type="dxa"/>
            <w:vAlign w:val="bottom"/>
          </w:tcPr>
          <w:p>
            <w:pPr>
              <w:spacing w:after="0"/>
              <w:rPr>
                <w:sz w:val="20"/>
                <w:szCs w:val="20"/>
                <w:color w:val="auto"/>
              </w:rPr>
            </w:pPr>
          </w:p>
        </w:tc>
        <w:tc>
          <w:tcPr>
            <w:tcW w:w="16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September 26, 2025</w:t>
            </w:r>
          </w:p>
        </w:tc>
      </w:tr>
      <w:tr>
        <w:trPr>
          <w:trHeight w:val="210"/>
        </w:trPr>
        <w:tc>
          <w:tcPr>
            <w:tcW w:w="6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Pension Benefits:</w:t>
            </w:r>
          </w:p>
        </w:tc>
        <w:tc>
          <w:tcPr>
            <w:tcW w:w="4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Service cost</w:t>
            </w:r>
          </w:p>
        </w:tc>
        <w:tc>
          <w:tcPr>
            <w:tcW w:w="440" w:type="dxa"/>
            <w:vAlign w:val="bottom"/>
          </w:tcPr>
          <w:p>
            <w:pPr>
              <w:jc w:val="right"/>
              <w:ind w:right="275"/>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83</w:t>
            </w:r>
          </w:p>
        </w:tc>
        <w:tc>
          <w:tcPr>
            <w:tcW w:w="1020" w:type="dxa"/>
            <w:vAlign w:val="bottom"/>
            <w:gridSpan w:val="2"/>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90</w:t>
            </w:r>
          </w:p>
        </w:tc>
      </w:tr>
      <w:tr>
        <w:trPr>
          <w:trHeight w:val="216"/>
        </w:trPr>
        <w:tc>
          <w:tcPr>
            <w:tcW w:w="6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Prior Service cost</w:t>
            </w:r>
          </w:p>
        </w:tc>
        <w:tc>
          <w:tcPr>
            <w:tcW w:w="4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6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cost</w:t>
            </w:r>
          </w:p>
        </w:tc>
        <w:tc>
          <w:tcPr>
            <w:tcW w:w="44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722</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774</w:t>
            </w:r>
          </w:p>
        </w:tc>
      </w:tr>
      <w:tr>
        <w:trPr>
          <w:trHeight w:val="216"/>
        </w:trPr>
        <w:tc>
          <w:tcPr>
            <w:tcW w:w="6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4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(740)</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(751)</w:t>
            </w:r>
          </w:p>
        </w:tc>
      </w:tr>
      <w:tr>
        <w:trPr>
          <w:trHeight w:val="216"/>
        </w:trPr>
        <w:tc>
          <w:tcPr>
            <w:tcW w:w="6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of transition obligation</w:t>
            </w:r>
          </w:p>
        </w:tc>
        <w:tc>
          <w:tcPr>
            <w:tcW w:w="44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6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prior service cost (benefit)</w:t>
            </w:r>
          </w:p>
        </w:tc>
        <w:tc>
          <w:tcPr>
            <w:tcW w:w="4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r>
      <w:tr>
        <w:trPr>
          <w:trHeight w:val="229"/>
        </w:trPr>
        <w:tc>
          <w:tcPr>
            <w:tcW w:w="6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of actuarial net loss (gain)</w:t>
            </w:r>
          </w:p>
        </w:tc>
        <w:tc>
          <w:tcPr>
            <w:tcW w:w="44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59</w:t>
            </w: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647</w:t>
            </w:r>
          </w:p>
        </w:tc>
      </w:tr>
      <w:tr>
        <w:trPr>
          <w:trHeight w:val="223"/>
        </w:trPr>
        <w:tc>
          <w:tcPr>
            <w:tcW w:w="62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periodic benefit cost (gain)</w:t>
            </w:r>
          </w:p>
        </w:tc>
        <w:tc>
          <w:tcPr>
            <w:tcW w:w="440" w:type="dxa"/>
            <w:vAlign w:val="bottom"/>
            <w:tcBorders>
              <w:top w:val="single" w:sz="8" w:color="auto"/>
              <w:bottom w:val="single" w:sz="8" w:color="auto"/>
            </w:tcBorders>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bottom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118</w:t>
            </w:r>
          </w:p>
        </w:tc>
        <w:tc>
          <w:tcPr>
            <w:tcW w:w="1020" w:type="dxa"/>
            <w:vAlign w:val="bottom"/>
            <w:tcBorders>
              <w:top w:val="single" w:sz="8" w:color="auto"/>
              <w:bottom w:val="single" w:sz="8" w:color="auto"/>
            </w:tcBorders>
            <w:gridSpan w:val="2"/>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6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Postretirement Benefits:</w:t>
            </w:r>
          </w:p>
        </w:tc>
        <w:tc>
          <w:tcPr>
            <w:tcW w:w="4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Service cost</w:t>
            </w:r>
          </w:p>
        </w:tc>
        <w:tc>
          <w:tcPr>
            <w:tcW w:w="440" w:type="dxa"/>
            <w:vAlign w:val="bottom"/>
          </w:tcPr>
          <w:p>
            <w:pPr>
              <w:jc w:val="right"/>
              <w:ind w:right="275"/>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1020" w:type="dxa"/>
            <w:vAlign w:val="bottom"/>
            <w:gridSpan w:val="2"/>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6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cost</w:t>
            </w:r>
          </w:p>
        </w:tc>
        <w:tc>
          <w:tcPr>
            <w:tcW w:w="4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w:t>
            </w:r>
          </w:p>
        </w:tc>
      </w:tr>
      <w:tr>
        <w:trPr>
          <w:trHeight w:val="229"/>
        </w:trPr>
        <w:tc>
          <w:tcPr>
            <w:tcW w:w="6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of actuarial net loss (gain)</w:t>
            </w:r>
          </w:p>
        </w:tc>
        <w:tc>
          <w:tcPr>
            <w:tcW w:w="44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w:t>
            </w:r>
          </w:p>
        </w:tc>
      </w:tr>
      <w:tr>
        <w:trPr>
          <w:trHeight w:val="223"/>
        </w:trPr>
        <w:tc>
          <w:tcPr>
            <w:tcW w:w="62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periodic benefit cost (gain)</w:t>
            </w:r>
          </w:p>
        </w:tc>
        <w:tc>
          <w:tcPr>
            <w:tcW w:w="440" w:type="dxa"/>
            <w:vAlign w:val="bottom"/>
            <w:tcBorders>
              <w:top w:val="single" w:sz="8" w:color="auto"/>
              <w:bottom w:val="single" w:sz="8" w:color="auto"/>
            </w:tcBorders>
            <w:shd w:val="clear" w:color="auto" w:fill="CCEEFF"/>
          </w:tcPr>
          <w:p>
            <w:pPr>
              <w:jc w:val="right"/>
              <w:ind w:right="275"/>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bottom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w:t>
            </w:r>
          </w:p>
        </w:tc>
        <w:tc>
          <w:tcPr>
            <w:tcW w:w="1020" w:type="dxa"/>
            <w:vAlign w:val="bottom"/>
            <w:tcBorders>
              <w:top w:val="single" w:sz="8" w:color="auto"/>
              <w:bottom w:val="single" w:sz="8" w:color="auto"/>
            </w:tcBorders>
            <w:gridSpan w:val="2"/>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right="800"/>
        <w:spacing w:after="0" w:line="282" w:lineRule="auto"/>
        <w:rPr>
          <w:sz w:val="20"/>
          <w:szCs w:val="20"/>
          <w:color w:val="auto"/>
        </w:rPr>
      </w:pPr>
      <w:r>
        <w:rPr>
          <w:rFonts w:ascii="Times New Roman" w:cs="Times New Roman" w:eastAsia="Times New Roman" w:hAnsi="Times New Roman"/>
          <w:sz w:val="18"/>
          <w:szCs w:val="18"/>
          <w:color w:val="auto"/>
        </w:rPr>
        <w:t>The Company expects to contribute approximately $1,975 to its pension plans in fiscal 2027. As of September 25, 2026, the amount of $1,043 in contributions to the pension plans have been made.</w:t>
      </w:r>
    </w:p>
    <w:p>
      <w:pPr>
        <w:spacing w:after="0" w:line="16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Company has reclassified $27 (net of $9 in taxes) of benefit plan adjustments from accumulated other comprehensive income (loss) during the quarter ended September 25, 2026, and $632 (net of $1 in taxes) during the quarter ended September 26, 2025. These reclassifications are included in the computation of net periodic benefit cost (gain).</w:t>
      </w:r>
    </w:p>
    <w:p>
      <w:pPr>
        <w:spacing w:after="0" w:line="200" w:lineRule="exact"/>
        <w:rPr>
          <w:sz w:val="20"/>
          <w:szCs w:val="20"/>
          <w:color w:val="auto"/>
        </w:rPr>
      </w:pPr>
    </w:p>
    <w:p>
      <w:pPr>
        <w:spacing w:after="0" w:line="215" w:lineRule="exact"/>
        <w:rPr>
          <w:sz w:val="20"/>
          <w:szCs w:val="20"/>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Accounting policies for interim reporting require the Company to adjust its effective tax rate each quarter to be consistent with the estimated Annual Effective Tax Rate ("AETR"). Under this methodology, the Company applies an estimated annual income tax rate to year-to-date ordinary earnings to derive its interim income tax provision. To calculate its AETR, an entity must estimate its ordinary income or loss and the related tax expense or benefit for its full fiscal year.</w:t>
      </w:r>
    </w:p>
    <w:p>
      <w:pPr>
        <w:spacing w:after="0" w:line="18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Company previously maintained a valuation allowance against certain domestic deferred tax assets. Based on management's assessment that realization of the related deferred tax assets is more likely than not, the domestic valuation allowance was released during the second quarter of fiscal 2026. As of the current reporting date, no domestic valuation allowance is recorded.</w:t>
      </w:r>
    </w:p>
    <w:p>
      <w:pPr>
        <w:spacing w:after="0" w:line="17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During fiscal 2026, the Company changed its method of accounting for inventory costing for U.S. operations from the last-in, first-out ("LIFO") method to the first-in, first-out ("FIFO") method. The change was applied retrospectively and all periods presented reflect the FIFO method. Because the Company remained in a domestic valuation allowance position through the first quarter of fiscal 2026, the accounting method change had no impact on income tax expense during that period.</w:t>
      </w:r>
    </w:p>
    <w:p>
      <w:pPr>
        <w:spacing w:after="0" w:line="180"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The Company continues to maintain a valuation allowance in certain immaterial foreign jurisdictions due to continued losses and uncertain future earnings. Permanent differences continue to fluctuate and are significant compared to projected ordinary income. Accordingly, these jurisdictions are excluded from the annualized effective tax rate, and tax expense or benefit is recognized discretely as items are incurred.</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29"/>
        </w:trPr>
        <w:tc>
          <w:tcPr>
            <w:tcW w:w="6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160" w:type="dxa"/>
            <w:vAlign w:val="bottom"/>
            <w:gridSpan w:val="4"/>
          </w:tcPr>
          <w:p>
            <w:pPr>
              <w:jc w:val="right"/>
              <w:ind w:right="90"/>
              <w:spacing w:after="0"/>
              <w:rPr>
                <w:sz w:val="20"/>
                <w:szCs w:val="20"/>
                <w:color w:val="auto"/>
              </w:rPr>
            </w:pPr>
            <w:r>
              <w:rPr>
                <w:rFonts w:ascii="Times New Roman" w:cs="Times New Roman" w:eastAsia="Times New Roman" w:hAnsi="Times New Roman"/>
                <w:sz w:val="18"/>
                <w:szCs w:val="18"/>
                <w:color w:val="auto"/>
              </w:rPr>
              <w:t>For the Quarter-Ended</w:t>
            </w: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September 25, 2026</w:t>
            </w:r>
          </w:p>
        </w:tc>
        <w:tc>
          <w:tcPr>
            <w:tcW w:w="40" w:type="dxa"/>
            <w:vAlign w:val="bottom"/>
          </w:tcPr>
          <w:p>
            <w:pPr>
              <w:spacing w:after="0"/>
              <w:rPr>
                <w:sz w:val="20"/>
                <w:szCs w:val="20"/>
                <w:color w:val="auto"/>
              </w:rPr>
            </w:pPr>
          </w:p>
        </w:tc>
        <w:tc>
          <w:tcPr>
            <w:tcW w:w="16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September 26, 2025</w:t>
            </w:r>
          </w:p>
        </w:tc>
        <w:tc>
          <w:tcPr>
            <w:tcW w:w="0" w:type="dxa"/>
            <w:vAlign w:val="bottom"/>
          </w:tcPr>
          <w:p>
            <w:pPr>
              <w:spacing w:after="0"/>
              <w:rPr>
                <w:sz w:val="1"/>
                <w:szCs w:val="1"/>
                <w:color w:val="auto"/>
              </w:rPr>
            </w:pPr>
          </w:p>
        </w:tc>
      </w:tr>
      <w:tr>
        <w:trPr>
          <w:trHeight w:val="210"/>
        </w:trPr>
        <w:tc>
          <w:tcPr>
            <w:tcW w:w="6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earnings (loss) before income taxes of $1,069 and $998, respectively</w:t>
            </w:r>
          </w:p>
        </w:tc>
        <w:tc>
          <w:tcPr>
            <w:tcW w:w="3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3,958</w:t>
            </w:r>
          </w:p>
        </w:tc>
        <w:tc>
          <w:tcPr>
            <w:tcW w:w="2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3,222</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3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Domestic and immaterial foreign jurisdiction earnings (loss), before income taxes of</w:t>
            </w: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(2,651)</w:t>
            </w:r>
          </w:p>
        </w:tc>
        <w:tc>
          <w:tcPr>
            <w:tcW w:w="0" w:type="dxa"/>
            <w:vAlign w:val="bottom"/>
          </w:tcPr>
          <w:p>
            <w:pPr>
              <w:spacing w:after="0"/>
              <w:rPr>
                <w:sz w:val="1"/>
                <w:szCs w:val="1"/>
                <w:color w:val="auto"/>
              </w:rPr>
            </w:pPr>
          </w:p>
        </w:tc>
      </w:tr>
      <w:tr>
        <w:trPr>
          <w:trHeight w:val="234"/>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($654) and ($15), respectively</w:t>
            </w: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(56)</w:t>
            </w:r>
          </w:p>
        </w:tc>
        <w:tc>
          <w:tcPr>
            <w:tcW w:w="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3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before income taxes and noncontrolling interest</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3,902</w:t>
            </w:r>
          </w:p>
        </w:tc>
        <w:tc>
          <w:tcPr>
            <w:tcW w:w="900" w:type="dxa"/>
            <w:vAlign w:val="bottom"/>
            <w:tcBorders>
              <w:top w:val="single" w:sz="8" w:color="auto"/>
              <w:bottom w:val="single" w:sz="8" w:color="auto"/>
            </w:tcBorders>
            <w:gridSpan w:val="2"/>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320" w:type="dxa"/>
            <w:vAlign w:val="bottom"/>
            <w:vMerge w:val="restart"/>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380" w:type="dxa"/>
            <w:vAlign w:val="bottom"/>
            <w:vMerge w:val="continue"/>
          </w:tcPr>
          <w:p>
            <w:pPr>
              <w:spacing w:after="0"/>
              <w:rPr>
                <w:sz w:val="17"/>
                <w:szCs w:val="17"/>
                <w:color w:val="auto"/>
              </w:rPr>
            </w:pPr>
          </w:p>
        </w:tc>
        <w:tc>
          <w:tcPr>
            <w:tcW w:w="320" w:type="dxa"/>
            <w:vAlign w:val="bottom"/>
            <w:vMerge w:val="continue"/>
          </w:tcPr>
          <w:p>
            <w:pPr>
              <w:spacing w:after="0"/>
              <w:rPr>
                <w:sz w:val="17"/>
                <w:szCs w:val="17"/>
                <w:color w:val="auto"/>
              </w:rPr>
            </w:pPr>
          </w:p>
        </w:tc>
        <w:tc>
          <w:tcPr>
            <w:tcW w:w="4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(415)</w:t>
            </w:r>
          </w:p>
        </w:tc>
        <w:tc>
          <w:tcPr>
            <w:tcW w:w="900" w:type="dxa"/>
            <w:vAlign w:val="bottom"/>
            <w:gridSpan w:val="2"/>
          </w:tcPr>
          <w:p>
            <w:pPr>
              <w:jc w:val="right"/>
              <w:ind w:right="670"/>
              <w:spacing w:after="0" w:line="196" w:lineRule="exact"/>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(983)</w:t>
            </w:r>
          </w:p>
        </w:tc>
        <w:tc>
          <w:tcPr>
            <w:tcW w:w="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Effective income tax rate</w:t>
            </w:r>
          </w:p>
        </w:tc>
        <w:tc>
          <w:tcPr>
            <w:tcW w:w="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10.6%</w:t>
            </w:r>
          </w:p>
        </w:tc>
        <w:tc>
          <w:tcPr>
            <w:tcW w:w="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Goodwill and Intangible Assets, Net</w:t>
      </w:r>
    </w:p>
    <w:p>
      <w:pPr>
        <w:spacing w:after="0" w:line="22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Goodwill represents the excess of the consideration transferred net of the acquisition-date fair values of the identifiable assets acquired and the liabilities assumed.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As of September 25, 2026, changes in the carrying amount of goodwill are summarized as follows:</w:t>
            </w:r>
          </w:p>
        </w:tc>
        <w:tc>
          <w:tcPr>
            <w:tcW w:w="2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4"/>
        </w:trPr>
        <w:tc>
          <w:tcPr>
            <w:tcW w:w="7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7"/>
              </w:rPr>
              <w:t>Net Book</w:t>
            </w:r>
          </w:p>
        </w:tc>
      </w:tr>
      <w:tr>
        <w:trPr>
          <w:trHeight w:val="216"/>
        </w:trPr>
        <w:tc>
          <w:tcPr>
            <w:tcW w:w="7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2"/>
              </w:rPr>
              <w:t>Value</w:t>
            </w:r>
          </w:p>
        </w:tc>
      </w:tr>
      <w:tr>
        <w:trPr>
          <w:trHeight w:val="234"/>
        </w:trPr>
        <w:tc>
          <w:tcPr>
            <w:tcW w:w="7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9"/>
              </w:rPr>
              <w:t>Rollforward</w:t>
            </w:r>
          </w:p>
        </w:tc>
      </w:tr>
      <w:tr>
        <w:trPr>
          <w:trHeight w:val="209"/>
        </w:trPr>
        <w:tc>
          <w:tcPr>
            <w:tcW w:w="7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June 30, 2026</w:t>
            </w: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2,772</w:t>
            </w:r>
          </w:p>
        </w:tc>
        <w:tc>
          <w:tcPr>
            <w:tcW w:w="80" w:type="dxa"/>
            <w:vAlign w:val="bottom"/>
            <w:tcBorders>
              <w:top w:val="single" w:sz="8" w:color="CCEEFF"/>
            </w:tcBorders>
            <w:shd w:val="clear" w:color="auto" w:fill="CCEEFF"/>
          </w:tcPr>
          <w:p>
            <w:pPr>
              <w:spacing w:after="0"/>
              <w:rPr>
                <w:sz w:val="18"/>
                <w:szCs w:val="18"/>
                <w:color w:val="auto"/>
              </w:rPr>
            </w:pPr>
          </w:p>
        </w:tc>
      </w:tr>
      <w:tr>
        <w:trPr>
          <w:trHeight w:val="230"/>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Translation adjustment</w:t>
            </w:r>
          </w:p>
        </w:tc>
        <w:tc>
          <w:tcPr>
            <w:tcW w:w="200" w:type="dxa"/>
            <w:vAlign w:val="bottom"/>
          </w:tcPr>
          <w:p>
            <w:pPr>
              <w:spacing w:after="0"/>
              <w:rPr>
                <w:sz w:val="19"/>
                <w:szCs w:val="19"/>
                <w:color w:val="auto"/>
              </w:rPr>
            </w:pPr>
          </w:p>
        </w:tc>
        <w:tc>
          <w:tcPr>
            <w:tcW w:w="1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w:t>
            </w:r>
          </w:p>
        </w:tc>
      </w:tr>
      <w:tr>
        <w:trPr>
          <w:trHeight w:val="223"/>
        </w:trPr>
        <w:tc>
          <w:tcPr>
            <w:tcW w:w="73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September 25, 2026</w:t>
            </w:r>
          </w:p>
        </w:tc>
        <w:tc>
          <w:tcPr>
            <w:tcW w:w="20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7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25, 2026, the following acquired intangible assets have definite useful lives and are subject to amortization:</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300" w:type="dxa"/>
            <w:vAlign w:val="bottom"/>
            <w:gridSpan w:val="6"/>
          </w:tcPr>
          <w:p>
            <w:pPr>
              <w:jc w:val="right"/>
              <w:ind w:right="780"/>
              <w:spacing w:after="0"/>
              <w:rPr>
                <w:sz w:val="20"/>
                <w:szCs w:val="20"/>
                <w:color w:val="auto"/>
              </w:rPr>
            </w:pPr>
            <w:r>
              <w:rPr>
                <w:rFonts w:ascii="Times New Roman" w:cs="Times New Roman" w:eastAsia="Times New Roman" w:hAnsi="Times New Roman"/>
                <w:sz w:val="18"/>
                <w:szCs w:val="18"/>
                <w:color w:val="auto"/>
              </w:rPr>
              <w:t>Net Book Value Rollforward</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0" w:type="dxa"/>
            <w:vAlign w:val="bottom"/>
            <w:gridSpan w:val="5"/>
          </w:tcPr>
          <w:p>
            <w:pPr>
              <w:jc w:val="right"/>
              <w:ind w:right="510"/>
              <w:spacing w:after="0"/>
              <w:rPr>
                <w:sz w:val="20"/>
                <w:szCs w:val="20"/>
                <w:color w:val="auto"/>
              </w:rPr>
            </w:pPr>
            <w:r>
              <w:rPr>
                <w:rFonts w:ascii="Times New Roman" w:cs="Times New Roman" w:eastAsia="Times New Roman" w:hAnsi="Times New Roman"/>
                <w:sz w:val="18"/>
                <w:szCs w:val="18"/>
                <w:color w:val="auto"/>
              </w:rPr>
              <w:t>Net Book Value By Asset Type</w:t>
            </w: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3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center"/>
              <w:ind w:right="170"/>
              <w:spacing w:after="0" w:line="191" w:lineRule="exact"/>
              <w:rPr>
                <w:sz w:val="20"/>
                <w:szCs w:val="20"/>
                <w:color w:val="auto"/>
              </w:rPr>
            </w:pPr>
            <w:r>
              <w:rPr>
                <w:rFonts w:ascii="Times New Roman" w:cs="Times New Roman" w:eastAsia="Times New Roman" w:hAnsi="Times New Roman"/>
                <w:sz w:val="18"/>
                <w:szCs w:val="18"/>
                <w:color w:val="auto"/>
                <w:w w:val="99"/>
              </w:rPr>
              <w:t>Gross</w:t>
            </w:r>
          </w:p>
        </w:tc>
        <w:tc>
          <w:tcPr>
            <w:tcW w:w="1180" w:type="dxa"/>
            <w:vAlign w:val="bottom"/>
            <w:tcBorders>
              <w:top w:val="single" w:sz="8" w:color="auto"/>
            </w:tcBorders>
            <w:gridSpan w:val="2"/>
          </w:tcPr>
          <w:p>
            <w:pPr>
              <w:ind w:left="80"/>
              <w:spacing w:after="0" w:line="191" w:lineRule="exact"/>
              <w:rPr>
                <w:sz w:val="20"/>
                <w:szCs w:val="20"/>
                <w:color w:val="auto"/>
              </w:rPr>
            </w:pPr>
            <w:r>
              <w:rPr>
                <w:rFonts w:ascii="Times New Roman" w:cs="Times New Roman" w:eastAsia="Times New Roman" w:hAnsi="Times New Roman"/>
                <w:sz w:val="18"/>
                <w:szCs w:val="18"/>
                <w:color w:val="auto"/>
              </w:rPr>
              <w:t>Accumulated</w:t>
            </w:r>
          </w:p>
        </w:tc>
        <w:tc>
          <w:tcPr>
            <w:tcW w:w="18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w w:val="99"/>
              </w:rPr>
              <w:t>Customer</w:t>
            </w:r>
          </w:p>
        </w:tc>
        <w:tc>
          <w:tcPr>
            <w:tcW w:w="1100" w:type="dxa"/>
            <w:vAlign w:val="bottom"/>
            <w:tcBorders>
              <w:top w:val="single" w:sz="8" w:color="auto"/>
            </w:tcBorders>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rPr>
              <w:t>Technology</w:t>
            </w:r>
          </w:p>
        </w:tc>
        <w:tc>
          <w:tcPr>
            <w:tcW w:w="38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2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vMerge w:val="restart"/>
          </w:tcPr>
          <w:p>
            <w:pPr>
              <w:jc w:val="center"/>
              <w:ind w:right="150"/>
              <w:spacing w:after="0"/>
              <w:rPr>
                <w:sz w:val="20"/>
                <w:szCs w:val="20"/>
                <w:color w:val="auto"/>
              </w:rPr>
            </w:pPr>
            <w:r>
              <w:rPr>
                <w:rFonts w:ascii="Times New Roman" w:cs="Times New Roman" w:eastAsia="Times New Roman" w:hAnsi="Times New Roman"/>
                <w:sz w:val="18"/>
                <w:szCs w:val="18"/>
                <w:color w:val="auto"/>
                <w:w w:val="99"/>
              </w:rPr>
              <w:t>Carrying</w:t>
            </w:r>
          </w:p>
        </w:tc>
        <w:tc>
          <w:tcPr>
            <w:tcW w:w="118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color w:val="auto"/>
              </w:rPr>
              <w:t>Amortization</w:t>
            </w:r>
          </w:p>
        </w:tc>
        <w:tc>
          <w:tcPr>
            <w:tcW w:w="180" w:type="dxa"/>
            <w:vAlign w:val="bottom"/>
          </w:tcPr>
          <w:p>
            <w:pPr>
              <w:spacing w:after="0"/>
              <w:rPr>
                <w:sz w:val="9"/>
                <w:szCs w:val="9"/>
                <w:color w:val="auto"/>
              </w:rPr>
            </w:pPr>
          </w:p>
        </w:tc>
        <w:tc>
          <w:tcPr>
            <w:tcW w:w="102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8"/>
                <w:szCs w:val="18"/>
                <w:color w:val="auto"/>
                <w:w w:val="97"/>
              </w:rPr>
              <w:t>Net Book</w:t>
            </w:r>
          </w:p>
        </w:tc>
        <w:tc>
          <w:tcPr>
            <w:tcW w:w="10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112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color w:val="auto"/>
              </w:rPr>
              <w:t>Trade Name</w:t>
            </w:r>
          </w:p>
        </w:tc>
        <w:tc>
          <w:tcPr>
            <w:tcW w:w="240" w:type="dxa"/>
            <w:vAlign w:val="bottom"/>
          </w:tcPr>
          <w:p>
            <w:pPr>
              <w:spacing w:after="0"/>
              <w:rPr>
                <w:sz w:val="9"/>
                <w:szCs w:val="9"/>
                <w:color w:val="auto"/>
              </w:rPr>
            </w:pPr>
          </w:p>
        </w:tc>
        <w:tc>
          <w:tcPr>
            <w:tcW w:w="860" w:type="dxa"/>
            <w:vAlign w:val="bottom"/>
            <w:vMerge w:val="restart"/>
          </w:tcPr>
          <w:p>
            <w:pPr>
              <w:jc w:val="right"/>
              <w:ind w:right="29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Pr>
          <w:p>
            <w:pPr>
              <w:spacing w:after="0"/>
              <w:rPr>
                <w:sz w:val="9"/>
                <w:szCs w:val="9"/>
                <w:color w:val="auto"/>
              </w:rPr>
            </w:pPr>
          </w:p>
        </w:tc>
        <w:tc>
          <w:tcPr>
            <w:tcW w:w="82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108"/>
        </w:trPr>
        <w:tc>
          <w:tcPr>
            <w:tcW w:w="2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11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Relationships</w:t>
            </w:r>
          </w:p>
        </w:tc>
        <w:tc>
          <w:tcPr>
            <w:tcW w:w="11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color w:val="auto"/>
              </w:rPr>
              <w:t>Know-how</w:t>
            </w:r>
          </w:p>
        </w:tc>
        <w:tc>
          <w:tcPr>
            <w:tcW w:w="1120" w:type="dxa"/>
            <w:vAlign w:val="bottom"/>
            <w:gridSpan w:val="2"/>
            <w:vMerge w:val="continue"/>
          </w:tcPr>
          <w:p>
            <w:pPr>
              <w:spacing w:after="0"/>
              <w:rPr>
                <w:sz w:val="9"/>
                <w:szCs w:val="9"/>
                <w:color w:val="auto"/>
              </w:rPr>
            </w:pPr>
          </w:p>
        </w:tc>
        <w:tc>
          <w:tcPr>
            <w:tcW w:w="240" w:type="dxa"/>
            <w:vAlign w:val="bottom"/>
          </w:tcPr>
          <w:p>
            <w:pPr>
              <w:spacing w:after="0"/>
              <w:rPr>
                <w:sz w:val="9"/>
                <w:szCs w:val="9"/>
                <w:color w:val="auto"/>
              </w:rPr>
            </w:pPr>
          </w:p>
        </w:tc>
        <w:tc>
          <w:tcPr>
            <w:tcW w:w="86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2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vMerge w:val="restart"/>
          </w:tcPr>
          <w:p>
            <w:pPr>
              <w:jc w:val="center"/>
              <w:ind w:right="150"/>
              <w:spacing w:after="0"/>
              <w:rPr>
                <w:sz w:val="20"/>
                <w:szCs w:val="20"/>
                <w:color w:val="auto"/>
              </w:rPr>
            </w:pPr>
            <w:r>
              <w:rPr>
                <w:rFonts w:ascii="Times New Roman" w:cs="Times New Roman" w:eastAsia="Times New Roman" w:hAnsi="Times New Roman"/>
                <w:sz w:val="18"/>
                <w:szCs w:val="18"/>
                <w:color w:val="auto"/>
              </w:rPr>
              <w:t>Amount</w:t>
            </w:r>
          </w:p>
        </w:tc>
        <w:tc>
          <w:tcPr>
            <w:tcW w:w="11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rPr>
              <w:t>/ Impairment</w:t>
            </w:r>
          </w:p>
        </w:tc>
        <w:tc>
          <w:tcPr>
            <w:tcW w:w="180" w:type="dxa"/>
            <w:vAlign w:val="bottom"/>
          </w:tcPr>
          <w:p>
            <w:pPr>
              <w:spacing w:after="0"/>
              <w:rPr>
                <w:sz w:val="10"/>
                <w:szCs w:val="10"/>
                <w:color w:val="auto"/>
              </w:rPr>
            </w:pPr>
          </w:p>
        </w:tc>
        <w:tc>
          <w:tcPr>
            <w:tcW w:w="102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8"/>
                <w:szCs w:val="18"/>
                <w:color w:val="auto"/>
              </w:rPr>
              <w:t>Value</w:t>
            </w:r>
          </w:p>
        </w:tc>
        <w:tc>
          <w:tcPr>
            <w:tcW w:w="1100" w:type="dxa"/>
            <w:vAlign w:val="bottom"/>
            <w:gridSpan w:val="2"/>
            <w:vMerge w:val="continue"/>
          </w:tcPr>
          <w:p>
            <w:pPr>
              <w:spacing w:after="0"/>
              <w:rPr>
                <w:sz w:val="10"/>
                <w:szCs w:val="10"/>
                <w:color w:val="auto"/>
              </w:rPr>
            </w:pPr>
          </w:p>
        </w:tc>
        <w:tc>
          <w:tcPr>
            <w:tcW w:w="1100" w:type="dxa"/>
            <w:vAlign w:val="bottom"/>
            <w:gridSpan w:val="2"/>
            <w:vMerge w:val="continue"/>
          </w:tcPr>
          <w:p>
            <w:pPr>
              <w:spacing w:after="0"/>
              <w:rPr>
                <w:sz w:val="10"/>
                <w:szCs w:val="10"/>
                <w:color w:val="auto"/>
              </w:rPr>
            </w:pPr>
          </w:p>
        </w:tc>
        <w:tc>
          <w:tcPr>
            <w:tcW w:w="3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320" w:type="dxa"/>
            <w:vAlign w:val="bottom"/>
          </w:tcPr>
          <w:p>
            <w:pPr>
              <w:spacing w:after="0"/>
              <w:rPr>
                <w:sz w:val="9"/>
                <w:szCs w:val="9"/>
                <w:color w:val="auto"/>
              </w:rPr>
            </w:pPr>
          </w:p>
        </w:tc>
        <w:tc>
          <w:tcPr>
            <w:tcW w:w="780" w:type="dxa"/>
            <w:vAlign w:val="bottom"/>
          </w:tcPr>
          <w:p>
            <w:pPr>
              <w:spacing w:after="0"/>
              <w:rPr>
                <w:sz w:val="9"/>
                <w:szCs w:val="9"/>
                <w:color w:val="auto"/>
              </w:rPr>
            </w:pPr>
          </w:p>
        </w:tc>
        <w:tc>
          <w:tcPr>
            <w:tcW w:w="3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60" w:type="dxa"/>
            <w:vAlign w:val="bottom"/>
          </w:tcPr>
          <w:p>
            <w:pPr>
              <w:spacing w:after="0"/>
              <w:rPr>
                <w:sz w:val="9"/>
                <w:szCs w:val="9"/>
                <w:color w:val="auto"/>
              </w:rPr>
            </w:pPr>
          </w:p>
        </w:tc>
        <w:tc>
          <w:tcPr>
            <w:tcW w:w="2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June 30, 2026</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46,137</w:t>
            </w:r>
          </w:p>
        </w:tc>
        <w:tc>
          <w:tcPr>
            <w:tcW w:w="34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(32,016)</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14,121</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5,731</w:t>
            </w:r>
          </w:p>
        </w:tc>
        <w:tc>
          <w:tcPr>
            <w:tcW w:w="32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1,609</w:t>
            </w:r>
          </w:p>
        </w:tc>
        <w:tc>
          <w:tcPr>
            <w:tcW w:w="38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1,691</w:t>
            </w:r>
          </w:p>
        </w:tc>
        <w:tc>
          <w:tcPr>
            <w:tcW w:w="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5,090</w:t>
            </w:r>
          </w:p>
        </w:tc>
        <w:tc>
          <w:tcPr>
            <w:tcW w:w="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14,121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Additions</w:t>
            </w:r>
          </w:p>
        </w:tc>
        <w:tc>
          <w:tcPr>
            <w:tcW w:w="120" w:type="dxa"/>
            <w:vAlign w:val="bottom"/>
          </w:tcPr>
          <w:p>
            <w:pPr>
              <w:spacing w:after="0"/>
              <w:rPr>
                <w:sz w:val="18"/>
                <w:szCs w:val="18"/>
                <w:color w:val="auto"/>
              </w:rPr>
            </w:pPr>
          </w:p>
        </w:tc>
        <w:tc>
          <w:tcPr>
            <w:tcW w:w="9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357</w:t>
            </w:r>
          </w:p>
        </w:tc>
        <w:tc>
          <w:tcPr>
            <w:tcW w:w="340" w:type="dxa"/>
            <w:vAlign w:val="bottom"/>
          </w:tcPr>
          <w:p>
            <w:pPr>
              <w:spacing w:after="0"/>
              <w:rPr>
                <w:sz w:val="18"/>
                <w:szCs w:val="18"/>
                <w:color w:val="auto"/>
              </w:rPr>
            </w:pPr>
          </w:p>
        </w:tc>
        <w:tc>
          <w:tcPr>
            <w:tcW w:w="8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357</w:t>
            </w:r>
          </w:p>
        </w:tc>
        <w:tc>
          <w:tcPr>
            <w:tcW w:w="100" w:type="dxa"/>
            <w:vAlign w:val="bottom"/>
          </w:tcPr>
          <w:p>
            <w:pPr>
              <w:spacing w:after="0"/>
              <w:rPr>
                <w:sz w:val="18"/>
                <w:szCs w:val="18"/>
                <w:color w:val="auto"/>
              </w:rPr>
            </w:pPr>
          </w:p>
        </w:tc>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7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7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8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357</w:t>
            </w:r>
          </w:p>
        </w:tc>
        <w:tc>
          <w:tcPr>
            <w:tcW w:w="26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357</w:t>
            </w:r>
          </w:p>
        </w:tc>
        <w:tc>
          <w:tcPr>
            <w:tcW w:w="0" w:type="dxa"/>
            <w:vAlign w:val="bottom"/>
          </w:tcPr>
          <w:p>
            <w:pPr>
              <w:spacing w:after="0"/>
              <w:rPr>
                <w:sz w:val="1"/>
                <w:szCs w:val="1"/>
                <w:color w:val="auto"/>
              </w:rPr>
            </w:pPr>
          </w:p>
        </w:tc>
      </w:tr>
      <w:tr>
        <w:trPr>
          <w:trHeight w:val="216"/>
        </w:trPr>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(672)</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(672)</w:t>
            </w:r>
          </w:p>
        </w:tc>
        <w:tc>
          <w:tcPr>
            <w:tcW w:w="0" w:type="dxa"/>
            <w:vAlign w:val="bottom"/>
          </w:tcPr>
          <w:p>
            <w:pPr>
              <w:spacing w:after="0"/>
              <w:rPr>
                <w:sz w:val="1"/>
                <w:szCs w:val="1"/>
                <w:color w:val="auto"/>
              </w:rPr>
            </w:pPr>
          </w:p>
        </w:tc>
      </w:tr>
      <w:tr>
        <w:trPr>
          <w:trHeight w:val="229"/>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Translation adjustment</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340" w:type="dxa"/>
            <w:vAlign w:val="bottom"/>
          </w:tcPr>
          <w:p>
            <w:pPr>
              <w:spacing w:after="0"/>
              <w:rPr>
                <w:sz w:val="19"/>
                <w:szCs w:val="19"/>
                <w:color w:val="auto"/>
              </w:rPr>
            </w:pPr>
          </w:p>
        </w:tc>
        <w:tc>
          <w:tcPr>
            <w:tcW w:w="8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153</w:t>
            </w:r>
          </w:p>
        </w:tc>
        <w:tc>
          <w:tcPr>
            <w:tcW w:w="18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6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178"/>
        </w:trPr>
        <w:tc>
          <w:tcPr>
            <w:tcW w:w="2320" w:type="dxa"/>
            <w:vAlign w:val="bottom"/>
            <w:tcBorders>
              <w:top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Balance at September 25,</w:t>
            </w: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46,319</w:t>
            </w:r>
          </w:p>
        </w:tc>
        <w:tc>
          <w:tcPr>
            <w:tcW w:w="340" w:type="dxa"/>
            <w:vAlign w:val="bottom"/>
            <w:tcBorders>
              <w:top w:val="single" w:sz="8" w:color="auto"/>
            </w:tcBorders>
            <w:vMerge w:val="restart"/>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(32,535)</w:t>
            </w:r>
          </w:p>
        </w:tc>
        <w:tc>
          <w:tcPr>
            <w:tcW w:w="1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13,784</w:t>
            </w:r>
          </w:p>
        </w:tc>
        <w:tc>
          <w:tcPr>
            <w:tcW w:w="220" w:type="dxa"/>
            <w:vAlign w:val="bottom"/>
            <w:tcBorders>
              <w:top w:val="single" w:sz="8" w:color="CCEEFF"/>
            </w:tcBorders>
            <w:vMerge w:val="restart"/>
            <w:shd w:val="clear" w:color="auto" w:fill="CCEEFF"/>
          </w:tcPr>
          <w:p>
            <w:pPr>
              <w:spacing w:after="0"/>
              <w:rPr>
                <w:sz w:val="15"/>
                <w:szCs w:val="15"/>
                <w:color w:val="auto"/>
              </w:rPr>
            </w:pPr>
          </w:p>
        </w:tc>
        <w:tc>
          <w:tcPr>
            <w:tcW w:w="100" w:type="dxa"/>
            <w:vAlign w:val="bottom"/>
            <w:tcBorders>
              <w:top w:val="single" w:sz="8" w:color="auto"/>
            </w:tcBorders>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5,426</w:t>
            </w:r>
          </w:p>
        </w:tc>
        <w:tc>
          <w:tcPr>
            <w:tcW w:w="320" w:type="dxa"/>
            <w:vAlign w:val="bottom"/>
            <w:tcBorders>
              <w:top w:val="single" w:sz="8" w:color="auto"/>
            </w:tcBorders>
            <w:vMerge w:val="restart"/>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1,559</w:t>
            </w:r>
          </w:p>
        </w:tc>
        <w:tc>
          <w:tcPr>
            <w:tcW w:w="380" w:type="dxa"/>
            <w:vAlign w:val="bottom"/>
            <w:tcBorders>
              <w:top w:val="single" w:sz="8" w:color="auto"/>
            </w:tcBorders>
            <w:vMerge w:val="restart"/>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1,613</w:t>
            </w:r>
          </w:p>
        </w:tc>
        <w:tc>
          <w:tcPr>
            <w:tcW w:w="2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5,186</w:t>
            </w:r>
          </w:p>
        </w:tc>
        <w:tc>
          <w:tcPr>
            <w:tcW w:w="2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13,784</w:t>
            </w:r>
          </w:p>
        </w:tc>
        <w:tc>
          <w:tcPr>
            <w:tcW w:w="100" w:type="dxa"/>
            <w:vAlign w:val="bottom"/>
            <w:tcBorders>
              <w:top w:val="single" w:sz="8" w:color="CCEEFF"/>
            </w:tcBorders>
            <w:vMerge w:val="restart"/>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tcBorders>
              <w:bottom w:val="single" w:sz="8" w:color="auto"/>
            </w:tcBorders>
            <w:vMerge w:val="continue"/>
            <w:shd w:val="clear" w:color="auto" w:fill="CCEEFF"/>
          </w:tcPr>
          <w:p>
            <w:pPr>
              <w:spacing w:after="0"/>
              <w:rPr>
                <w:sz w:val="19"/>
                <w:szCs w:val="19"/>
                <w:color w:val="auto"/>
              </w:rPr>
            </w:pPr>
          </w:p>
        </w:tc>
        <w:tc>
          <w:tcPr>
            <w:tcW w:w="920" w:type="dxa"/>
            <w:vAlign w:val="bottom"/>
            <w:tcBorders>
              <w:bottom w:val="single" w:sz="8" w:color="auto"/>
            </w:tcBorders>
            <w:vMerge w:val="continue"/>
            <w:shd w:val="clear" w:color="auto" w:fill="CCEEFF"/>
          </w:tcPr>
          <w:p>
            <w:pPr>
              <w:spacing w:after="0"/>
              <w:rPr>
                <w:sz w:val="19"/>
                <w:szCs w:val="19"/>
                <w:color w:val="auto"/>
              </w:rPr>
            </w:pPr>
          </w:p>
        </w:tc>
        <w:tc>
          <w:tcPr>
            <w:tcW w:w="340" w:type="dxa"/>
            <w:vAlign w:val="bottom"/>
            <w:tcBorders>
              <w:bottom w:val="single" w:sz="8" w:color="auto"/>
            </w:tcBorders>
            <w:vMerge w:val="continue"/>
            <w:shd w:val="clear" w:color="auto" w:fill="CCEEFF"/>
          </w:tcPr>
          <w:p>
            <w:pPr>
              <w:spacing w:after="0"/>
              <w:rPr>
                <w:sz w:val="19"/>
                <w:szCs w:val="19"/>
                <w:color w:val="auto"/>
              </w:rPr>
            </w:pPr>
          </w:p>
        </w:tc>
        <w:tc>
          <w:tcPr>
            <w:tcW w:w="840" w:type="dxa"/>
            <w:vAlign w:val="bottom"/>
            <w:tcBorders>
              <w:bottom w:val="single" w:sz="8" w:color="auto"/>
            </w:tcBorders>
            <w:vMerge w:val="continue"/>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800" w:type="dxa"/>
            <w:vAlign w:val="bottom"/>
            <w:tcBorders>
              <w:bottom w:val="single" w:sz="8" w:color="auto"/>
            </w:tcBorders>
            <w:vMerge w:val="continue"/>
            <w:shd w:val="clear" w:color="auto" w:fill="CCEEFF"/>
          </w:tcPr>
          <w:p>
            <w:pPr>
              <w:spacing w:after="0"/>
              <w:rPr>
                <w:sz w:val="19"/>
                <w:szCs w:val="19"/>
                <w:color w:val="auto"/>
              </w:rPr>
            </w:pPr>
          </w:p>
        </w:tc>
        <w:tc>
          <w:tcPr>
            <w:tcW w:w="220" w:type="dxa"/>
            <w:vAlign w:val="bottom"/>
            <w:tcBorders>
              <w:bottom w:val="single" w:sz="8" w:color="CCEEFF"/>
            </w:tcBorders>
            <w:vMerge w:val="continue"/>
            <w:shd w:val="clear" w:color="auto" w:fill="CCEEFF"/>
          </w:tcPr>
          <w:p>
            <w:pPr>
              <w:spacing w:after="0"/>
              <w:rPr>
                <w:sz w:val="19"/>
                <w:szCs w:val="19"/>
                <w:color w:val="auto"/>
              </w:rPr>
            </w:pPr>
          </w:p>
        </w:tc>
        <w:tc>
          <w:tcPr>
            <w:tcW w:w="100" w:type="dxa"/>
            <w:vAlign w:val="bottom"/>
            <w:tcBorders>
              <w:bottom w:val="single" w:sz="8" w:color="auto"/>
            </w:tcBorders>
            <w:vMerge w:val="continue"/>
            <w:shd w:val="clear" w:color="auto" w:fill="CCEEFF"/>
          </w:tcPr>
          <w:p>
            <w:pPr>
              <w:spacing w:after="0"/>
              <w:rPr>
                <w:sz w:val="19"/>
                <w:szCs w:val="19"/>
                <w:color w:val="auto"/>
              </w:rPr>
            </w:pPr>
          </w:p>
        </w:tc>
        <w:tc>
          <w:tcPr>
            <w:tcW w:w="1000" w:type="dxa"/>
            <w:vAlign w:val="bottom"/>
            <w:tcBorders>
              <w:bottom w:val="single" w:sz="8" w:color="auto"/>
            </w:tcBorders>
            <w:vMerge w:val="continue"/>
            <w:shd w:val="clear" w:color="auto" w:fill="CCEEFF"/>
          </w:tcPr>
          <w:p>
            <w:pPr>
              <w:spacing w:after="0"/>
              <w:rPr>
                <w:sz w:val="19"/>
                <w:szCs w:val="19"/>
                <w:color w:val="auto"/>
              </w:rPr>
            </w:pPr>
          </w:p>
        </w:tc>
        <w:tc>
          <w:tcPr>
            <w:tcW w:w="320" w:type="dxa"/>
            <w:vAlign w:val="bottom"/>
            <w:tcBorders>
              <w:bottom w:val="single" w:sz="8" w:color="auto"/>
            </w:tcBorders>
            <w:vMerge w:val="continue"/>
            <w:shd w:val="clear" w:color="auto" w:fill="CCEEFF"/>
          </w:tcPr>
          <w:p>
            <w:pPr>
              <w:spacing w:after="0"/>
              <w:rPr>
                <w:sz w:val="19"/>
                <w:szCs w:val="19"/>
                <w:color w:val="auto"/>
              </w:rPr>
            </w:pPr>
          </w:p>
        </w:tc>
        <w:tc>
          <w:tcPr>
            <w:tcW w:w="780" w:type="dxa"/>
            <w:vAlign w:val="bottom"/>
            <w:tcBorders>
              <w:bottom w:val="single" w:sz="8" w:color="auto"/>
            </w:tcBorders>
            <w:vMerge w:val="continue"/>
            <w:shd w:val="clear" w:color="auto" w:fill="CCEEFF"/>
          </w:tcPr>
          <w:p>
            <w:pPr>
              <w:spacing w:after="0"/>
              <w:rPr>
                <w:sz w:val="19"/>
                <w:szCs w:val="19"/>
                <w:color w:val="auto"/>
              </w:rPr>
            </w:pPr>
          </w:p>
        </w:tc>
        <w:tc>
          <w:tcPr>
            <w:tcW w:w="380" w:type="dxa"/>
            <w:vAlign w:val="bottom"/>
            <w:tcBorders>
              <w:bottom w:val="single" w:sz="8" w:color="auto"/>
            </w:tcBorders>
            <w:vMerge w:val="continue"/>
            <w:shd w:val="clear" w:color="auto" w:fill="CCEEFF"/>
          </w:tcPr>
          <w:p>
            <w:pPr>
              <w:spacing w:after="0"/>
              <w:rPr>
                <w:sz w:val="19"/>
                <w:szCs w:val="19"/>
                <w:color w:val="auto"/>
              </w:rPr>
            </w:pPr>
          </w:p>
        </w:tc>
        <w:tc>
          <w:tcPr>
            <w:tcW w:w="740" w:type="dxa"/>
            <w:vAlign w:val="bottom"/>
            <w:tcBorders>
              <w:bottom w:val="single" w:sz="8" w:color="auto"/>
            </w:tcBorders>
            <w:vMerge w:val="continue"/>
            <w:shd w:val="clear" w:color="auto" w:fill="CCEEFF"/>
          </w:tcPr>
          <w:p>
            <w:pPr>
              <w:spacing w:after="0"/>
              <w:rPr>
                <w:sz w:val="19"/>
                <w:szCs w:val="19"/>
                <w:color w:val="auto"/>
              </w:rPr>
            </w:pPr>
          </w:p>
        </w:tc>
        <w:tc>
          <w:tcPr>
            <w:tcW w:w="240" w:type="dxa"/>
            <w:vAlign w:val="bottom"/>
            <w:tcBorders>
              <w:bottom w:val="single" w:sz="8" w:color="auto"/>
            </w:tcBorders>
            <w:vMerge w:val="continue"/>
            <w:shd w:val="clear" w:color="auto" w:fill="CCEEFF"/>
          </w:tcPr>
          <w:p>
            <w:pPr>
              <w:spacing w:after="0"/>
              <w:rPr>
                <w:sz w:val="19"/>
                <w:szCs w:val="19"/>
                <w:color w:val="auto"/>
              </w:rPr>
            </w:pPr>
          </w:p>
        </w:tc>
        <w:tc>
          <w:tcPr>
            <w:tcW w:w="860" w:type="dxa"/>
            <w:vAlign w:val="bottom"/>
            <w:tcBorders>
              <w:bottom w:val="single" w:sz="8" w:color="auto"/>
            </w:tcBorders>
            <w:vMerge w:val="continue"/>
            <w:shd w:val="clear" w:color="auto" w:fill="CCEEFF"/>
          </w:tcPr>
          <w:p>
            <w:pPr>
              <w:spacing w:after="0"/>
              <w:rPr>
                <w:sz w:val="19"/>
                <w:szCs w:val="19"/>
                <w:color w:val="auto"/>
              </w:rPr>
            </w:pPr>
          </w:p>
        </w:tc>
        <w:tc>
          <w:tcPr>
            <w:tcW w:w="260" w:type="dxa"/>
            <w:vAlign w:val="bottom"/>
            <w:tcBorders>
              <w:bottom w:val="single" w:sz="8" w:color="auto"/>
            </w:tcBorders>
            <w:vMerge w:val="continue"/>
            <w:shd w:val="clear" w:color="auto" w:fill="CCEEFF"/>
          </w:tcPr>
          <w:p>
            <w:pPr>
              <w:spacing w:after="0"/>
              <w:rPr>
                <w:sz w:val="19"/>
                <w:szCs w:val="19"/>
                <w:color w:val="auto"/>
              </w:rPr>
            </w:pPr>
          </w:p>
        </w:tc>
        <w:tc>
          <w:tcPr>
            <w:tcW w:w="7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Other intangibles consist mainly of computer software. Amortization is recorded on the basis of straight-line or accelerated, as appropriate, over the estimated useful lives of the assets.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 average remaining useful life of the intangible assets included in the table above is approximately 7 years.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14" w:name="page15"/>
    <w:bookmarkEnd w:id="14"/>
    <w:p>
      <w:pPr>
        <w:spacing w:after="0" w:line="282" w:lineRule="auto"/>
        <w:rPr>
          <w:sz w:val="20"/>
          <w:szCs w:val="20"/>
          <w:color w:val="auto"/>
        </w:rPr>
      </w:pPr>
      <w:r>
        <w:rPr>
          <w:rFonts w:ascii="Times New Roman" w:cs="Times New Roman" w:eastAsia="Times New Roman" w:hAnsi="Times New Roman"/>
          <w:sz w:val="18"/>
          <w:szCs w:val="18"/>
          <w:color w:val="auto"/>
        </w:rPr>
        <w:t>Intangible amortization expense was $672 and $667 for the quarters ended September 25, 2026, and September 26, 2025, respectively. Estimated intangible amortization expense for the remainder of fiscal 2027 and each of the next five fiscal years is as follows:</w:t>
      </w:r>
    </w:p>
    <w:p>
      <w:pPr>
        <w:spacing w:after="0" w:line="148" w:lineRule="exact"/>
        <w:rPr>
          <w:sz w:val="20"/>
          <w:szCs w:val="20"/>
          <w:color w:val="auto"/>
        </w:rPr>
      </w:pPr>
    </w:p>
    <w:tbl>
      <w:tblPr>
        <w:tblLayout w:type="fixed"/>
        <w:tblInd w:w="1300" w:type="dxa"/>
        <w:tblCellMar>
          <w:top w:w="0" w:type="dxa"/>
          <w:left w:w="0" w:type="dxa"/>
          <w:bottom w:w="0" w:type="dxa"/>
          <w:right w:w="0" w:type="dxa"/>
        </w:tblCellMar>
      </w:tblPr>
      <w:tr>
        <w:trPr>
          <w:trHeight w:val="207"/>
        </w:trPr>
        <w:tc>
          <w:tcPr>
            <w:tcW w:w="2420" w:type="dxa"/>
            <w:vAlign w:val="bottom"/>
          </w:tcPr>
          <w:p>
            <w:pPr>
              <w:spacing w:after="0"/>
              <w:rPr>
                <w:sz w:val="17"/>
                <w:szCs w:val="17"/>
                <w:color w:val="auto"/>
              </w:rPr>
            </w:pPr>
          </w:p>
        </w:tc>
        <w:tc>
          <w:tcPr>
            <w:tcW w:w="3340" w:type="dxa"/>
            <w:vAlign w:val="bottom"/>
            <w:gridSpan w:val="2"/>
          </w:tcPr>
          <w:p>
            <w:pPr>
              <w:jc w:val="center"/>
              <w:ind w:right="2520"/>
              <w:spacing w:after="0"/>
              <w:rPr>
                <w:sz w:val="20"/>
                <w:szCs w:val="20"/>
                <w:color w:val="auto"/>
              </w:rPr>
            </w:pPr>
            <w:r>
              <w:rPr>
                <w:rFonts w:ascii="Times New Roman" w:cs="Times New Roman" w:eastAsia="Times New Roman" w:hAnsi="Times New Roman"/>
                <w:sz w:val="18"/>
                <w:szCs w:val="18"/>
                <w:color w:val="auto"/>
                <w:w w:val="99"/>
              </w:rPr>
              <w:t>Fiscal Year</w:t>
            </w:r>
          </w:p>
        </w:tc>
        <w:tc>
          <w:tcPr>
            <w:tcW w:w="13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2420" w:type="dxa"/>
            <w:vAlign w:val="bottom"/>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6"/>
        </w:trPr>
        <w:tc>
          <w:tcPr>
            <w:tcW w:w="3240" w:type="dxa"/>
            <w:vAlign w:val="bottom"/>
            <w:gridSpan w:val="2"/>
            <w:shd w:val="clear" w:color="auto" w:fill="CCEEFF"/>
          </w:tcPr>
          <w:p>
            <w:pPr>
              <w:jc w:val="center"/>
              <w:ind w:left="2350"/>
              <w:spacing w:after="0"/>
              <w:rPr>
                <w:sz w:val="20"/>
                <w:szCs w:val="20"/>
                <w:color w:val="auto"/>
              </w:rPr>
            </w:pPr>
            <w:r>
              <w:rPr>
                <w:rFonts w:ascii="Times New Roman" w:cs="Times New Roman" w:eastAsia="Times New Roman" w:hAnsi="Times New Roman"/>
                <w:sz w:val="18"/>
                <w:szCs w:val="18"/>
                <w:color w:val="auto"/>
                <w:w w:val="99"/>
              </w:rPr>
              <w:t>2027</w:t>
            </w:r>
          </w:p>
        </w:tc>
        <w:tc>
          <w:tcPr>
            <w:tcW w:w="252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196"/>
              <w:spacing w:after="0"/>
              <w:rPr>
                <w:sz w:val="20"/>
                <w:szCs w:val="20"/>
                <w:color w:val="auto"/>
              </w:rPr>
            </w:pPr>
            <w:r>
              <w:rPr>
                <w:rFonts w:ascii="Times New Roman" w:cs="Times New Roman" w:eastAsia="Times New Roman" w:hAnsi="Times New Roman"/>
                <w:sz w:val="17"/>
                <w:szCs w:val="17"/>
                <w:color w:val="auto"/>
                <w:w w:val="70"/>
              </w:rPr>
              <w:t>$</w:t>
            </w:r>
          </w:p>
        </w:tc>
        <w:tc>
          <w:tcPr>
            <w:tcW w:w="1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2,163</w:t>
            </w:r>
          </w:p>
        </w:tc>
      </w:tr>
      <w:tr>
        <w:trPr>
          <w:trHeight w:val="216"/>
        </w:trPr>
        <w:tc>
          <w:tcPr>
            <w:tcW w:w="3240" w:type="dxa"/>
            <w:vAlign w:val="bottom"/>
            <w:gridSpan w:val="2"/>
          </w:tcPr>
          <w:p>
            <w:pPr>
              <w:jc w:val="center"/>
              <w:ind w:left="2350"/>
              <w:spacing w:after="0"/>
              <w:rPr>
                <w:sz w:val="20"/>
                <w:szCs w:val="20"/>
                <w:color w:val="auto"/>
              </w:rPr>
            </w:pPr>
            <w:r>
              <w:rPr>
                <w:rFonts w:ascii="Times New Roman" w:cs="Times New Roman" w:eastAsia="Times New Roman" w:hAnsi="Times New Roman"/>
                <w:sz w:val="18"/>
                <w:szCs w:val="18"/>
                <w:color w:val="auto"/>
                <w:w w:val="99"/>
              </w:rPr>
              <w:t>2028</w:t>
            </w:r>
          </w:p>
        </w:tc>
        <w:tc>
          <w:tcPr>
            <w:tcW w:w="25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2,667</w:t>
            </w:r>
          </w:p>
        </w:tc>
      </w:tr>
      <w:tr>
        <w:trPr>
          <w:trHeight w:val="216"/>
        </w:trPr>
        <w:tc>
          <w:tcPr>
            <w:tcW w:w="3240" w:type="dxa"/>
            <w:vAlign w:val="bottom"/>
            <w:gridSpan w:val="2"/>
            <w:shd w:val="clear" w:color="auto" w:fill="CCEEFF"/>
          </w:tcPr>
          <w:p>
            <w:pPr>
              <w:jc w:val="center"/>
              <w:ind w:left="2350"/>
              <w:spacing w:after="0"/>
              <w:rPr>
                <w:sz w:val="20"/>
                <w:szCs w:val="20"/>
                <w:color w:val="auto"/>
              </w:rPr>
            </w:pPr>
            <w:r>
              <w:rPr>
                <w:rFonts w:ascii="Times New Roman" w:cs="Times New Roman" w:eastAsia="Times New Roman" w:hAnsi="Times New Roman"/>
                <w:sz w:val="18"/>
                <w:szCs w:val="18"/>
                <w:color w:val="auto"/>
                <w:w w:val="99"/>
              </w:rPr>
              <w:t>2029</w:t>
            </w:r>
          </w:p>
        </w:tc>
        <w:tc>
          <w:tcPr>
            <w:tcW w:w="25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2,102</w:t>
            </w:r>
          </w:p>
        </w:tc>
      </w:tr>
      <w:tr>
        <w:trPr>
          <w:trHeight w:val="216"/>
        </w:trPr>
        <w:tc>
          <w:tcPr>
            <w:tcW w:w="3240" w:type="dxa"/>
            <w:vAlign w:val="bottom"/>
            <w:gridSpan w:val="2"/>
          </w:tcPr>
          <w:p>
            <w:pPr>
              <w:jc w:val="center"/>
              <w:ind w:left="2350"/>
              <w:spacing w:after="0"/>
              <w:rPr>
                <w:sz w:val="20"/>
                <w:szCs w:val="20"/>
                <w:color w:val="auto"/>
              </w:rPr>
            </w:pPr>
            <w:r>
              <w:rPr>
                <w:rFonts w:ascii="Times New Roman" w:cs="Times New Roman" w:eastAsia="Times New Roman" w:hAnsi="Times New Roman"/>
                <w:sz w:val="18"/>
                <w:szCs w:val="18"/>
                <w:color w:val="auto"/>
                <w:w w:val="99"/>
              </w:rPr>
              <w:t>2030</w:t>
            </w:r>
          </w:p>
        </w:tc>
        <w:tc>
          <w:tcPr>
            <w:tcW w:w="25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1,011</w:t>
            </w:r>
          </w:p>
        </w:tc>
      </w:tr>
      <w:tr>
        <w:trPr>
          <w:trHeight w:val="216"/>
        </w:trPr>
        <w:tc>
          <w:tcPr>
            <w:tcW w:w="3240" w:type="dxa"/>
            <w:vAlign w:val="bottom"/>
            <w:gridSpan w:val="2"/>
            <w:shd w:val="clear" w:color="auto" w:fill="CCEEFF"/>
          </w:tcPr>
          <w:p>
            <w:pPr>
              <w:jc w:val="center"/>
              <w:ind w:left="2350"/>
              <w:spacing w:after="0"/>
              <w:rPr>
                <w:sz w:val="20"/>
                <w:szCs w:val="20"/>
                <w:color w:val="auto"/>
              </w:rPr>
            </w:pPr>
            <w:r>
              <w:rPr>
                <w:rFonts w:ascii="Times New Roman" w:cs="Times New Roman" w:eastAsia="Times New Roman" w:hAnsi="Times New Roman"/>
                <w:sz w:val="18"/>
                <w:szCs w:val="18"/>
                <w:color w:val="auto"/>
                <w:w w:val="99"/>
              </w:rPr>
              <w:t>2031</w:t>
            </w:r>
          </w:p>
        </w:tc>
        <w:tc>
          <w:tcPr>
            <w:tcW w:w="25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612</w:t>
            </w:r>
          </w:p>
        </w:tc>
      </w:tr>
      <w:tr>
        <w:trPr>
          <w:trHeight w:val="230"/>
        </w:trPr>
        <w:tc>
          <w:tcPr>
            <w:tcW w:w="2420" w:type="dxa"/>
            <w:vAlign w:val="bottom"/>
          </w:tcPr>
          <w:p>
            <w:pPr>
              <w:spacing w:after="0"/>
              <w:rPr>
                <w:sz w:val="19"/>
                <w:szCs w:val="19"/>
                <w:color w:val="auto"/>
              </w:rPr>
            </w:pPr>
          </w:p>
        </w:tc>
        <w:tc>
          <w:tcPr>
            <w:tcW w:w="3340" w:type="dxa"/>
            <w:vAlign w:val="bottom"/>
            <w:gridSpan w:val="2"/>
          </w:tcPr>
          <w:p>
            <w:pPr>
              <w:jc w:val="center"/>
              <w:ind w:right="2520"/>
              <w:spacing w:after="0"/>
              <w:rPr>
                <w:sz w:val="20"/>
                <w:szCs w:val="20"/>
                <w:color w:val="auto"/>
              </w:rPr>
            </w:pPr>
            <w:r>
              <w:rPr>
                <w:rFonts w:ascii="Times New Roman" w:cs="Times New Roman" w:eastAsia="Times New Roman" w:hAnsi="Times New Roman"/>
                <w:sz w:val="18"/>
                <w:szCs w:val="18"/>
                <w:color w:val="auto"/>
                <w:w w:val="98"/>
              </w:rPr>
              <w:t>Thereafter</w:t>
            </w:r>
          </w:p>
        </w:tc>
        <w:tc>
          <w:tcPr>
            <w:tcW w:w="1360" w:type="dxa"/>
            <w:vAlign w:val="bottom"/>
          </w:tcPr>
          <w:p>
            <w:pPr>
              <w:spacing w:after="0"/>
              <w:rPr>
                <w:sz w:val="19"/>
                <w:szCs w:val="19"/>
                <w:color w:val="auto"/>
              </w:rPr>
            </w:pPr>
          </w:p>
        </w:tc>
        <w:tc>
          <w:tcPr>
            <w:tcW w:w="1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5,229</w:t>
            </w:r>
          </w:p>
        </w:tc>
      </w:tr>
      <w:tr>
        <w:trPr>
          <w:trHeight w:val="223"/>
        </w:trPr>
        <w:tc>
          <w:tcPr>
            <w:tcW w:w="2420" w:type="dxa"/>
            <w:vAlign w:val="bottom"/>
            <w:tcBorders>
              <w:top w:val="single" w:sz="8" w:color="CCEEFF"/>
              <w:bottom w:val="single" w:sz="8" w:color="CCEEFF"/>
            </w:tcBorders>
            <w:shd w:val="clear" w:color="auto" w:fill="CCEEFF"/>
          </w:tcPr>
          <w:p>
            <w:pPr>
              <w:spacing w:after="0"/>
              <w:rPr>
                <w:sz w:val="19"/>
                <w:szCs w:val="19"/>
                <w:color w:val="auto"/>
              </w:rPr>
            </w:pPr>
          </w:p>
        </w:tc>
        <w:tc>
          <w:tcPr>
            <w:tcW w:w="820" w:type="dxa"/>
            <w:vAlign w:val="bottom"/>
            <w:tcBorders>
              <w:top w:val="single" w:sz="8" w:color="CCEEFF"/>
              <w:bottom w:val="single" w:sz="8" w:color="CCEEFF"/>
            </w:tcBorders>
            <w:shd w:val="clear" w:color="auto" w:fill="CCEEFF"/>
          </w:tcPr>
          <w:p>
            <w:pPr>
              <w:spacing w:after="0"/>
              <w:rPr>
                <w:sz w:val="19"/>
                <w:szCs w:val="19"/>
                <w:color w:val="auto"/>
              </w:rPr>
            </w:pPr>
          </w:p>
        </w:tc>
        <w:tc>
          <w:tcPr>
            <w:tcW w:w="2520" w:type="dxa"/>
            <w:vAlign w:val="bottom"/>
            <w:tcBorders>
              <w:top w:val="single" w:sz="8" w:color="CCEEFF"/>
              <w:bottom w:val="single" w:sz="8" w:color="CCEEFF"/>
            </w:tcBorders>
            <w:shd w:val="clear" w:color="auto" w:fill="CCEEFF"/>
          </w:tcPr>
          <w:p>
            <w:pPr>
              <w:spacing w:after="0"/>
              <w:rPr>
                <w:sz w:val="19"/>
                <w:szCs w:val="19"/>
                <w:color w:val="auto"/>
              </w:rPr>
            </w:pPr>
          </w:p>
        </w:tc>
        <w:tc>
          <w:tcPr>
            <w:tcW w:w="1360" w:type="dxa"/>
            <w:vAlign w:val="bottom"/>
            <w:tcBorders>
              <w:top w:val="single" w:sz="8" w:color="auto"/>
              <w:bottom w:val="single" w:sz="8" w:color="auto"/>
            </w:tcBorders>
            <w:shd w:val="clear" w:color="auto" w:fill="CCEEFF"/>
          </w:tcPr>
          <w:p>
            <w:pPr>
              <w:jc w:val="right"/>
              <w:ind w:right="1196"/>
              <w:spacing w:after="0"/>
              <w:rPr>
                <w:sz w:val="20"/>
                <w:szCs w:val="20"/>
                <w:color w:val="auto"/>
              </w:rPr>
            </w:pPr>
            <w:r>
              <w:rPr>
                <w:rFonts w:ascii="Times New Roman" w:cs="Times New Roman" w:eastAsia="Times New Roman" w:hAnsi="Times New Roman"/>
                <w:sz w:val="17"/>
                <w:szCs w:val="17"/>
                <w:color w:val="auto"/>
                <w:w w:val="70"/>
              </w:rPr>
              <w:t>$</w:t>
            </w:r>
          </w:p>
        </w:tc>
        <w:tc>
          <w:tcPr>
            <w:tcW w:w="1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13,784</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2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K.  Long-term Debt</w:t>
            </w:r>
          </w:p>
        </w:tc>
        <w:tc>
          <w:tcPr>
            <w:tcW w:w="5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6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Long-term debt at September 25, 2026 and June 30, 2026 consisted of the following:</w:t>
            </w:r>
          </w:p>
        </w:tc>
        <w:tc>
          <w:tcPr>
            <w:tcW w:w="5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46"/>
        </w:trPr>
        <w:tc>
          <w:tcPr>
            <w:tcW w:w="660" w:type="dxa"/>
            <w:vAlign w:val="bottom"/>
          </w:tcPr>
          <w:p>
            <w:pPr>
              <w:spacing w:after="0"/>
              <w:rPr>
                <w:sz w:val="24"/>
                <w:szCs w:val="24"/>
                <w:color w:val="auto"/>
              </w:rPr>
            </w:pPr>
          </w:p>
        </w:tc>
        <w:tc>
          <w:tcPr>
            <w:tcW w:w="6200" w:type="dxa"/>
            <w:vAlign w:val="bottom"/>
          </w:tcPr>
          <w:p>
            <w:pPr>
              <w:spacing w:after="0"/>
              <w:rPr>
                <w:sz w:val="24"/>
                <w:szCs w:val="24"/>
                <w:color w:val="auto"/>
              </w:rPr>
            </w:pPr>
          </w:p>
        </w:tc>
        <w:tc>
          <w:tcPr>
            <w:tcW w:w="17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September 25, 2026</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June 30, 2026</w:t>
            </w:r>
          </w:p>
        </w:tc>
      </w:tr>
      <w:tr>
        <w:trPr>
          <w:trHeight w:val="209"/>
        </w:trPr>
        <w:tc>
          <w:tcPr>
            <w:tcW w:w="660" w:type="dxa"/>
            <w:vAlign w:val="bottom"/>
          </w:tcPr>
          <w:p>
            <w:pPr>
              <w:spacing w:after="0"/>
              <w:rPr>
                <w:sz w:val="18"/>
                <w:szCs w:val="18"/>
                <w:color w:val="auto"/>
              </w:rPr>
            </w:pPr>
          </w:p>
        </w:tc>
        <w:tc>
          <w:tcPr>
            <w:tcW w:w="6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Credit Agreement Debt</w:t>
            </w:r>
          </w:p>
        </w:tc>
        <w:tc>
          <w:tcPr>
            <w:tcW w:w="5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6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Revolving loans (expire June 2031)</w:t>
            </w: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10,000</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62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Term loan (due June 2031)</w:t>
            </w:r>
          </w:p>
        </w:tc>
        <w:tc>
          <w:tcPr>
            <w:tcW w:w="5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29,771</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29,786</w:t>
            </w:r>
          </w:p>
        </w:tc>
        <w:tc>
          <w:tcPr>
            <w:tcW w:w="80" w:type="dxa"/>
            <w:vAlign w:val="bottom"/>
            <w:shd w:val="clear" w:color="auto" w:fill="CCEEFF"/>
          </w:tcPr>
          <w:p>
            <w:pPr>
              <w:spacing w:after="0"/>
              <w:rPr>
                <w:sz w:val="18"/>
                <w:szCs w:val="18"/>
                <w:color w:val="auto"/>
              </w:rPr>
            </w:pPr>
          </w:p>
        </w:tc>
      </w:tr>
      <w:tr>
        <w:trPr>
          <w:trHeight w:val="230"/>
        </w:trPr>
        <w:tc>
          <w:tcPr>
            <w:tcW w:w="660" w:type="dxa"/>
            <w:vAlign w:val="bottom"/>
          </w:tcPr>
          <w:p>
            <w:pPr>
              <w:spacing w:after="0"/>
              <w:rPr>
                <w:sz w:val="19"/>
                <w:szCs w:val="19"/>
                <w:color w:val="auto"/>
              </w:rPr>
            </w:pPr>
          </w:p>
        </w:tc>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5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24</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tcPr>
          <w:p>
            <w:pPr>
              <w:spacing w:after="0"/>
              <w:rPr>
                <w:sz w:val="19"/>
                <w:szCs w:val="19"/>
                <w:color w:val="auto"/>
              </w:rPr>
            </w:pPr>
          </w:p>
        </w:tc>
      </w:tr>
      <w:tr>
        <w:trPr>
          <w:trHeight w:val="209"/>
        </w:trPr>
        <w:tc>
          <w:tcPr>
            <w:tcW w:w="660" w:type="dxa"/>
            <w:vAlign w:val="bottom"/>
          </w:tcPr>
          <w:p>
            <w:pPr>
              <w:spacing w:after="0"/>
              <w:rPr>
                <w:sz w:val="18"/>
                <w:szCs w:val="18"/>
                <w:color w:val="auto"/>
              </w:rPr>
            </w:pPr>
          </w:p>
        </w:tc>
        <w:tc>
          <w:tcPr>
            <w:tcW w:w="6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Subtotal</w:t>
            </w:r>
          </w:p>
        </w:tc>
        <w:tc>
          <w:tcPr>
            <w:tcW w:w="5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39,795</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29,810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30"/>
        </w:trPr>
        <w:tc>
          <w:tcPr>
            <w:tcW w:w="660" w:type="dxa"/>
            <w:vAlign w:val="bottom"/>
          </w:tcPr>
          <w:p>
            <w:pPr>
              <w:spacing w:after="0"/>
              <w:rPr>
                <w:sz w:val="19"/>
                <w:szCs w:val="19"/>
                <w:color w:val="auto"/>
              </w:rPr>
            </w:pPr>
          </w:p>
        </w:tc>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Less: current maturities</w:t>
            </w:r>
          </w:p>
        </w:tc>
        <w:tc>
          <w:tcPr>
            <w:tcW w:w="56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(1,500)</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(1,500)</w:t>
            </w:r>
          </w:p>
        </w:tc>
      </w:tr>
      <w:tr>
        <w:trPr>
          <w:trHeight w:val="223"/>
        </w:trPr>
        <w:tc>
          <w:tcPr>
            <w:tcW w:w="660" w:type="dxa"/>
            <w:vAlign w:val="bottom"/>
          </w:tcPr>
          <w:p>
            <w:pPr>
              <w:spacing w:after="0"/>
              <w:rPr>
                <w:sz w:val="19"/>
                <w:szCs w:val="19"/>
                <w:color w:val="auto"/>
              </w:rPr>
            </w:pPr>
          </w:p>
        </w:tc>
        <w:tc>
          <w:tcPr>
            <w:tcW w:w="62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long-term debt</w:t>
            </w:r>
          </w:p>
        </w:tc>
        <w:tc>
          <w:tcPr>
            <w:tcW w:w="560" w:type="dxa"/>
            <w:vAlign w:val="bottom"/>
            <w:tcBorders>
              <w:top w:val="single" w:sz="8" w:color="auto"/>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38,295</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28,310</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6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13"/>
        </w:trPr>
        <w:tc>
          <w:tcPr>
            <w:tcW w:w="660" w:type="dxa"/>
            <w:vAlign w:val="bottom"/>
          </w:tcPr>
          <w:p>
            <w:pPr>
              <w:spacing w:after="0"/>
              <w:rPr>
                <w:sz w:val="24"/>
                <w:szCs w:val="24"/>
                <w:color w:val="auto"/>
              </w:rPr>
            </w:pPr>
          </w:p>
        </w:tc>
        <w:tc>
          <w:tcPr>
            <w:tcW w:w="6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60" w:type="dxa"/>
            <w:vAlign w:val="bottom"/>
            <w:gridSpan w:val="2"/>
          </w:tcPr>
          <w:p>
            <w:pPr>
              <w:spacing w:after="0"/>
              <w:rPr>
                <w:sz w:val="24"/>
                <w:szCs w:val="24"/>
                <w:color w:val="auto"/>
              </w:rPr>
            </w:pPr>
          </w:p>
        </w:tc>
        <w:tc>
          <w:tcPr>
            <w:tcW w:w="180" w:type="dxa"/>
            <w:vAlign w:val="bottom"/>
            <w:gridSpan w:val="2"/>
          </w:tcPr>
          <w:p>
            <w:pPr>
              <w:spacing w:after="0"/>
              <w:rPr>
                <w:sz w:val="24"/>
                <w:szCs w:val="24"/>
                <w:color w:val="auto"/>
              </w:rPr>
            </w:pPr>
          </w:p>
        </w:tc>
        <w:tc>
          <w:tcPr>
            <w:tcW w:w="1360" w:type="dxa"/>
            <w:vAlign w:val="bottom"/>
            <w:gridSpan w:val="2"/>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66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Term Loan</w:t>
            </w: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30,000</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30,000</w:t>
            </w:r>
          </w:p>
        </w:tc>
        <w:tc>
          <w:tcPr>
            <w:tcW w:w="80" w:type="dxa"/>
            <w:vAlign w:val="bottom"/>
            <w:shd w:val="clear" w:color="auto" w:fill="CCEEFF"/>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Less: unamortized debt discount</w:t>
            </w:r>
          </w:p>
        </w:tc>
        <w:tc>
          <w:tcPr>
            <w:tcW w:w="56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(127)</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(134)</w:t>
            </w:r>
          </w:p>
        </w:tc>
      </w:tr>
      <w:tr>
        <w:trPr>
          <w:trHeight w:val="230"/>
        </w:trPr>
        <w:tc>
          <w:tcPr>
            <w:tcW w:w="660" w:type="dxa"/>
            <w:vAlign w:val="bottom"/>
          </w:tcPr>
          <w:p>
            <w:pPr>
              <w:spacing w:after="0"/>
              <w:rPr>
                <w:sz w:val="19"/>
                <w:szCs w:val="19"/>
                <w:color w:val="auto"/>
              </w:rPr>
            </w:pPr>
          </w:p>
        </w:tc>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unamortized debt issuance cost</w:t>
            </w:r>
          </w:p>
        </w:tc>
        <w:tc>
          <w:tcPr>
            <w:tcW w:w="5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(101)</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(80)</w:t>
            </w:r>
          </w:p>
        </w:tc>
      </w:tr>
      <w:tr>
        <w:trPr>
          <w:trHeight w:val="223"/>
        </w:trPr>
        <w:tc>
          <w:tcPr>
            <w:tcW w:w="660" w:type="dxa"/>
            <w:vAlign w:val="bottom"/>
          </w:tcPr>
          <w:p>
            <w:pPr>
              <w:spacing w:after="0"/>
              <w:rPr>
                <w:sz w:val="19"/>
                <w:szCs w:val="19"/>
                <w:color w:val="auto"/>
              </w:rPr>
            </w:pPr>
          </w:p>
        </w:tc>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Net carrying value of term loan</w:t>
            </w:r>
          </w:p>
        </w:tc>
        <w:tc>
          <w:tcPr>
            <w:tcW w:w="56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29,771</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29,786</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66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Agreement Debt</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Current Credit Agreement</w:t>
      </w:r>
    </w:p>
    <w:p>
      <w:pPr>
        <w:spacing w:after="0" w:line="22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 June 30, 2026, Twin Disc, Incorporated (the “Company”) entered into a Credit Agreement (the “Credit Agreement”) among the Company, as Borrower; Kobelt Manufacturing Co. Ltd. ("Kobelt"), as Guarantor; Bank of Montreal, as a Lender, Administrative Agent, Swing Line Lender, and L/C Issuer; and JPMorgan Chase Bank, N.A. ("Chase"), as a Lender. The Credit Agreement refinanced and replaced the credit agreement dated February 14, 2025 among the Company, Kobelt, and Bank of Montreal. Capitalized terms that are not otherwise defined herein are defined in the Credit Agreement.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the Credit Agreement, Bank of Montreal and Chase (the “Lenders”) made Term Loans to the Company in an aggregate principal amount of</w:t>
      </w:r>
    </w:p>
    <w:p>
      <w:pPr>
        <w:spacing w:after="0" w:line="2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$30.0 million. The maturity date of the Term Loans is June 30, 2031, and the Company is required to make principal installments on the Term Loans of at least $375 per quarter, increasing to $562 per quarter for the quarter ending on or about September 30, 2028, and $750 per quarter for the quarter ending on or about September 30, 2030.</w:t>
      </w:r>
    </w:p>
    <w:p>
      <w:pPr>
        <w:spacing w:after="0" w:line="186"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Credit Agreement also allows the Company to enter into Revolving Loans with the Lenders from time to time prior to June 30, 2031 (the “Revolving Credit Termination Date”) in amounts not to exceed $60.0 million (the “Revolving Credit Commitment”). The Revolving Credit Commitment includes a $5.0 million sublimit for Swing Loans and a $4.0 million sublimit for Letters of Credit that may be requested by the Company from time to time until the Revolving Credit Termination Date. Each Swing Loan or Letter of Credit provided pursuant to the terms of the Credit Agreement shall be a Revolving Loan provided under the Revolving Credit Commitment.</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07" w:right="359" w:bottom="1440" w:gutter="0" w:footer="0" w:header="0"/>
        </w:sectPr>
      </w:pPr>
    </w:p>
    <w:bookmarkStart w:id="15" w:name="page16"/>
    <w:bookmarkEnd w:id="15"/>
    <w:p>
      <w:pPr>
        <w:ind w:right="40"/>
        <w:spacing w:after="0" w:line="254" w:lineRule="auto"/>
        <w:rPr>
          <w:sz w:val="20"/>
          <w:szCs w:val="20"/>
          <w:color w:val="auto"/>
        </w:rPr>
      </w:pPr>
      <w:r>
        <w:rPr>
          <w:rFonts w:ascii="Times New Roman" w:cs="Times New Roman" w:eastAsia="Times New Roman" w:hAnsi="Times New Roman"/>
          <w:sz w:val="18"/>
          <w:szCs w:val="18"/>
          <w:color w:val="auto"/>
        </w:rPr>
        <w:t>Interest rates under the Credit Agreement are based on the secured overnight financing rate (“SOFR”), the euro interbank offered rate (the “EURIBO Rate”), the Canadian Overnight Repo Rate Average (the “CORRA”), or a Base Rate based on the highest of the prime rate, federal funds rate, or Term SOFR. Loans under the Credit Agreement are designated as either as SOFR Loans, which accrue interest at a Term SOFR plus an Applicable Margin; Base Rate Loans, which accrue interest at the Base Rate plus an Applicable Margin; Eurodollar Loans, which accrue interest at the EURIBO Rate plus an Applicable Margin; Term CORRA Loans, which accrue interest at an Adjusted Term CORRA plus an Applicable Margin; Daily Compounded CORRA Loans, which accrue interest at a Daily Compounded CORRA plus an Applicable Margin; or Canadian Prime Rate Loans, which accrue interest at the Canadian Prime Rate plus an Applicable Margin. The Applicable Margin for Loans is between 1.50% and 3.00%, and the Applicable Margin for the Unused Revolving Credit Commitment is between 0.15% and 0.30% (each depending on the Company’s Total Funded Debt to EBITDA ratio). The Term Loan has been designated as a SOFR Loan.</w:t>
      </w:r>
    </w:p>
    <w:p>
      <w:pPr>
        <w:spacing w:after="0" w:line="188"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Borrowings under the Credit Agreement are secured by substantially all of the Company’s and Kobelt’s personal property, including accounts receivable, inventory, machinery and equipment, and intellectual property. The Company has also pledged 65% of its equity interests in certain foreign subsidiaries. To effect these security interests, the Company entered into an Amended and Restated Security Agreement, Amended and Restated IP Security Agreement, Amended and Restated Pledge Agreement, and Amended and Restated Perfection Certificate with the Administrative Agent, and the Company entered into an Amended and Restated Agreement as to Liens and Encumbrances and an Amended and Restated Negative Pledge Agreement with the Administrative Agent with regard to the Company’s real property.</w:t>
      </w:r>
    </w:p>
    <w:p>
      <w:pPr>
        <w:spacing w:after="0" w:line="187"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Upon the occurrence of an Event of Default, the Administrative Agent may take the following actions upon written notice to the Company: (1) terminate the remaining Commitments and all obligations of the Lenders under the Credit Agreement; (2) declare the principal and accrued interest of all Loans outstanding under the Credit Agreement to be immediately due and payable; and (3) demand the Company to immediately Cash Collateralize the outstanding L/C Obligations in an amount equal to 105% of the aggregate L/C Obligations. If such Event of Default is due to the Company’s bankruptcy, the actions and obligations listed above shall occur without notice to the Company.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Prior Credit Agreement</w:t>
      </w:r>
    </w:p>
    <w:p>
      <w:pPr>
        <w:spacing w:after="0" w:line="227"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On February 14, 2025, the Company entered into an amended and restated Credit Agreement (the “2025 Credit Agreement”) with Bank of Montreal (the “Bank”) that refinanced and replaced the credit agreement dated as of June 29, 2018, as amended, between the Company and BMO Harris Bank, N.A. (the “2018 Credit Agreement”).</w:t>
      </w:r>
    </w:p>
    <w:p>
      <w:pPr>
        <w:spacing w:after="0" w:line="17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Pursuant to the 2025 Credit Agreement, the Bank made a Term Loan to the Company in the principal amount of $15.0 million, consisting of an assignment of a term loan under the 2018 Credit Agreement from BMO to the Bank with a remaining principal of $8.5 million and an additional advance of $6.5 million. The maturity date of the Term Loan was April 1, 2027, and the Company is required to make principal installments on the Term Loan of at least $0.75 million per quarter.</w:t>
      </w:r>
    </w:p>
    <w:p>
      <w:pPr>
        <w:spacing w:after="0" w:line="18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Under the 2025 Credit Agreement, the Company was able to enter into Revolving Loans in amounts not to exceed, in the aggregate and subject to a Borrowing Base, $50.0 million (the “Revolving Credit Commitment”). The Borrowing Base is the sum of (a) 85% of outstanding unpaid Eligible Receivables and (b) the lesser of $40.0 million for each fiscal month ending on or prior to August 31, 2025 (reduced to $35.0 million for each fiscal month ending on or prior to August 31, 2026, and further reduced to $32.5 million for each fiscal month ending thereafter) and 60% of Eligible Inventory for each fiscal month ending on or prior to August 31, 2025 (reduced to 55% of Eligible Inventory for each fiscal month ending on or prior to February 28, 2026, and 50% of Eligible Inventory for each fiscal month ending thereafter). The 2025 Credit Agreement allowed the Company to obtain Letters of Credit from the Bank, which if drawn upon by the beneficiary thereof and paid by the Bank, became Revolving Loans. Under the 2025 Credit Agreement, the Company could not pay cash dividends on its common stock in excess of $5.0 million in any fiscal year. The term of the Revolving Loans under the 2025 Credit Agreement ran through April 1, 2027.</w:t>
      </w:r>
    </w:p>
    <w:p>
      <w:pPr>
        <w:spacing w:after="0" w:line="18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 used the increased borrowing capacity under the 2025 Credit Agreement to help finance its acquisition of Kobelt. Kobelt was included as a Borrower under the 2025 Credit Agreement, and was permitted to borrow directly under the 2025 Credit Agreement up to the lesser of the Revolving Credit Commitment or $25.0 million. For purposes of determining the Borrowing Base under the 2025 Credit Agreement, Eligible Receivables and Eligible Inventory of Kobelt were included.</w:t>
      </w:r>
    </w:p>
    <w:p>
      <w:pPr>
        <w:spacing w:after="0" w:line="180"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Interest rates under the 2025 Credit Agreement are based on the secured overnight financing rate (“SOFR”), the euro interbank offered rate (the “EURIBO Rate”), or the Canadian Overnight Repo Rate (the “CORRA”). Loans under the 2025 Credit Agreement were designated as either as “SOFR Loans,” which accrued interest at an Adjusted Term SOFR plus an Applicable Margin; “Eurodollar Loans,” which accrued interest at the EURIBO Rate plus an Applicable Margin; “Term CORRA Loans,” which accrued interest at an Adjusted Term CORRA plus an Applicable Margin; “Daily Compounded CORRA Loans,” which accrued interest at a Daily Compounded CORRA plus an Applicable Margin; or Canadian Prime Rate Loans,” which accrued interest at the Canadian Prime Rate plus an Applicable Margin. The Applicable Margins were between 2% and 3.5% for Revolving Loans and Letters of Credit; 2.125% and 3.625% for Term Loans; and .15% and .3% for the Unused Revolving Credit Commitment (each depending on the Company’s Total Funded Debt to earnings before interest, taxes, depreciation and amortization (“EBITDA”) ratio).</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16" w:name="page17"/>
    <w:bookmarkEnd w:id="16"/>
    <w:p>
      <w:pPr>
        <w:spacing w:after="0" w:line="256" w:lineRule="auto"/>
        <w:rPr>
          <w:sz w:val="20"/>
          <w:szCs w:val="20"/>
          <w:color w:val="auto"/>
        </w:rPr>
      </w:pPr>
      <w:r>
        <w:rPr>
          <w:rFonts w:ascii="Times New Roman" w:cs="Times New Roman" w:eastAsia="Times New Roman" w:hAnsi="Times New Roman"/>
          <w:sz w:val="18"/>
          <w:szCs w:val="18"/>
          <w:color w:val="auto"/>
        </w:rPr>
        <w:t>The 2025 Credit Agreement required the Company to meet certain financial covenants. Specifically, the Company’s Total Funded Debt to EBITDA ratio could not exceed 3.50 to 1.00, and the Company’s Fixed Charge Coverage Ratio could not be less than 1.10 to 1.00. In determining whether the Company is in compliance with its Total Funded Debt/EBITDA Ratio, the Company’s EBITDA will include transaction expenses of up to $0.6 million for each of the Company’s Kobelt Acquisition and the Company’s prior Katsa acquisition, as well as pro-forma EBITDA of Katsa and Kobelt as permitted by the Bank. The Company’s Tangible Net Worth could not be less than $100.0 million plus 50% of positive Net Income for each fiscal year ending on or after June 30, 2024.</w:t>
      </w:r>
    </w:p>
    <w:p>
      <w:pPr>
        <w:spacing w:after="0" w:line="187"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Borrowings under the 2025 Credit Agreement were secured by substantially all of the Company’s and Kobelt’s personal property, including accounts receivable, inventory, machinery and equipment, and intellectual property. The Company also pledged 65% of its equity interests in certain foreign subsidiaries. To effect these security interests, the Company entered into various amendment and assignment agreements that consented to the assignment to the Bank of certain agreements previously entered into between the Company and the Bank in connection with an April 22, 2016 credit agreement between the Company and the Bank, and further amended such agreements pursuant to the terms of the 2025 Credit Agreement. Specifically, the Company amended and agreed to the assignment to the Bank of a Security Agreement, IP Security Agreement, Pledge Agreement, Perfection Certificate, and Assignment as to Liens and Encumbrances. The Company also amended and assigned to the Bank a Negative Pledge Agreement, pursuant to which it agreed not to sell, lease or otherwise encumber real estate that it owns except as permitted by the 2025 Credit Agreement and the Negative Pledge Agreement. The Company also entered into a Collateral Assignment of Rights under Purchase Agreement for its acquisition of Kobelt. Borrowings under the 2025 Credit Agreement were also required to be guaranteed by each U.S. subsidiary of the Company.</w:t>
      </w:r>
    </w:p>
    <w:p>
      <w:pPr>
        <w:spacing w:after="0" w:line="19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Upon the occurrence of an Event of Default, the Bank could take the following actions upon written notice to the Company: (1) terminate its remaining obligations under the 2025 Credit Agreement; (2) declare all amounts outstanding under the 2025 Credit Agreement to be immediately due and payable; and (3) demand the Company to immediately Cash Collateralize L/C Obligations in an amount equal to 105% of the aggregate L/C Obligations or a greater amount if the Bank determined a greater amount was necessary. If such Event of Default were due to the Company’s bankruptcy, the Bank could take the three actions listed above without notice to the Company.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remains in compliance with its liquidity and other covenants.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25, 2026, current maturities include $1,500 of term loan payments due within the coming year.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Other: </w:t>
      </w:r>
      <w:r>
        <w:rPr>
          <w:rFonts w:ascii="Times New Roman" w:cs="Times New Roman" w:eastAsia="Times New Roman" w:hAnsi="Times New Roman"/>
          <w:sz w:val="18"/>
          <w:szCs w:val="18"/>
          <w:color w:val="auto"/>
        </w:rPr>
        <w:t>During the quarter ended September 25, 2026, the average interest rate was 5.31% on the Term Loan, and 5.14% on the Revolving Loans.</w:t>
      </w:r>
    </w:p>
    <w:p>
      <w:pPr>
        <w:spacing w:after="0" w:line="229"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Company’s borrowings described above approximate fair value at September 25, 2026 and June 30, 2026. If measured at fair value in the financial statements, long-term debt (including the current portion) would be classified as Level 2 in the fair value hierarchy.</w:t>
      </w:r>
    </w:p>
    <w:p>
      <w:pPr>
        <w:spacing w:after="0" w:line="162"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 Company’s interest rate swap matured on March 4, 2026, and was not renewed. The Company had no interest rate swaps designated as cash flow hedges outstanding at June 30, 2026. The maturity did not have a material impact on our consolidated financial statements.</w:t>
      </w:r>
    </w:p>
    <w:p>
      <w:pPr>
        <w:spacing w:after="0" w:line="162"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On June 30, 2026, the Company refinanced and replaced its Credit Agreement. As part of the refinance of the credit agreement the Revolving Loan designated in euro was paid in full.</w:t>
      </w:r>
    </w:p>
    <w:p>
      <w:pPr>
        <w:spacing w:after="0" w:line="200" w:lineRule="exact"/>
        <w:rPr>
          <w:sz w:val="20"/>
          <w:szCs w:val="20"/>
          <w:color w:val="auto"/>
        </w:rPr>
      </w:pPr>
    </w:p>
    <w:p>
      <w:pPr>
        <w:spacing w:after="0" w:line="201"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L.</w:t>
      </w:r>
      <w:r>
        <w:rPr>
          <w:sz w:val="20"/>
          <w:szCs w:val="20"/>
          <w:color w:val="auto"/>
        </w:rPr>
        <w:tab/>
      </w:r>
      <w:r>
        <w:rPr>
          <w:rFonts w:ascii="Times New Roman" w:cs="Times New Roman" w:eastAsia="Times New Roman" w:hAnsi="Times New Roman"/>
          <w:sz w:val="17"/>
          <w:szCs w:val="17"/>
          <w:b w:val="1"/>
          <w:bCs w:val="1"/>
          <w:color w:val="auto"/>
        </w:rPr>
        <w:t>Shareholders</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Equity</w:t>
      </w:r>
    </w:p>
    <w:p>
      <w:pPr>
        <w:spacing w:after="0" w:line="229"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 Company, from time to time, makes open market purchases of its common stock under authorizations given to it by the Board of Directors, of which 315.0 shares as of September 25, 2026 remain authorized for purchase. The Company did not make any open market purchases of its shares during the quarters ended September 25, 2026 and September 26, 2025.</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07" w:right="3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color w:val="auto"/>
        </w:rPr>
        <w:t>The following is a reconciliation of the Company’s equity balances for the first fiscal quarters of 2027 and 2026:</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w w:val="98"/>
              </w:rPr>
              <w:t>Twin Disc, Inc. Shareholders’ Equity</w:t>
            </w:r>
          </w:p>
        </w:tc>
        <w:tc>
          <w:tcPr>
            <w:tcW w:w="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407"/>
        </w:trPr>
        <w:tc>
          <w:tcPr>
            <w:tcW w:w="3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Accumulated</w:t>
            </w: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3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7"/>
              </w:rPr>
              <w:t>Other</w:t>
            </w: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7"/>
              </w:rPr>
              <w:t>Non-</w:t>
            </w: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Retained</w:t>
            </w:r>
          </w:p>
        </w:tc>
        <w:tc>
          <w:tcPr>
            <w:tcW w:w="14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Comprehensive</w:t>
            </w: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Controlling</w:t>
            </w: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3280" w:type="dxa"/>
            <w:vAlign w:val="bottom"/>
          </w:tcPr>
          <w:p>
            <w:pPr>
              <w:spacing w:after="0"/>
              <w:rPr>
                <w:sz w:val="20"/>
                <w:szCs w:val="20"/>
                <w:color w:val="auto"/>
              </w:rPr>
            </w:pPr>
          </w:p>
        </w:tc>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260" w:type="dxa"/>
            <w:vAlign w:val="bottom"/>
          </w:tcPr>
          <w:p>
            <w:pPr>
              <w:spacing w:after="0"/>
              <w:rPr>
                <w:sz w:val="20"/>
                <w:szCs w:val="20"/>
                <w:color w:val="auto"/>
              </w:rPr>
            </w:pPr>
          </w:p>
        </w:tc>
        <w:tc>
          <w:tcPr>
            <w:tcW w:w="10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Earnings</w:t>
            </w:r>
          </w:p>
        </w:tc>
        <w:tc>
          <w:tcPr>
            <w:tcW w:w="14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Income (Loss)</w:t>
            </w:r>
          </w:p>
        </w:tc>
        <w:tc>
          <w:tcPr>
            <w:tcW w:w="13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Treasury Stock</w:t>
            </w:r>
          </w:p>
        </w:tc>
        <w:tc>
          <w:tcPr>
            <w:tcW w:w="200" w:type="dxa"/>
            <w:vAlign w:val="bottom"/>
          </w:tcPr>
          <w:p>
            <w:pPr>
              <w:spacing w:after="0"/>
              <w:rPr>
                <w:sz w:val="20"/>
                <w:szCs w:val="20"/>
                <w:color w:val="auto"/>
              </w:rPr>
            </w:pPr>
          </w:p>
        </w:tc>
        <w:tc>
          <w:tcPr>
            <w:tcW w:w="110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Interest</w:t>
            </w:r>
          </w:p>
        </w:tc>
        <w:tc>
          <w:tcPr>
            <w:tcW w:w="2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7"/>
              </w:rPr>
              <w:t>Total Equity</w:t>
            </w:r>
          </w:p>
        </w:tc>
      </w:tr>
      <w:tr>
        <w:trPr>
          <w:trHeight w:val="209"/>
        </w:trPr>
        <w:tc>
          <w:tcPr>
            <w:tcW w:w="3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June 30, 2026</w:t>
            </w:r>
          </w:p>
        </w:tc>
        <w:tc>
          <w:tcPr>
            <w:tcW w:w="3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40,252</w:t>
            </w:r>
          </w:p>
        </w:tc>
        <w:tc>
          <w:tcPr>
            <w:tcW w:w="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182,340</w:t>
            </w:r>
          </w:p>
        </w:tc>
        <w:tc>
          <w:tcPr>
            <w:tcW w:w="40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288</w:t>
            </w:r>
          </w:p>
        </w:tc>
        <w:tc>
          <w:tcPr>
            <w:tcW w:w="44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(3,226)</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282</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219,936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3,445</w:t>
            </w:r>
          </w:p>
        </w:tc>
        <w:tc>
          <w:tcPr>
            <w:tcW w:w="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42</w:t>
            </w:r>
          </w:p>
        </w:tc>
        <w:tc>
          <w:tcPr>
            <w:tcW w:w="2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3,487</w:t>
            </w: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Dividends paid to shareholders</w:t>
            </w: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w:t>
            </w: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(742)</w:t>
            </w: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Translation adjustments</w:t>
            </w: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172</w:t>
            </w:r>
          </w:p>
        </w:tc>
        <w:tc>
          <w:tcPr>
            <w:tcW w:w="2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(189)</w:t>
            </w: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Benefit plan adjustments, net of tax</w:t>
            </w: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27</w:t>
            </w: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Compensation expense</w:t>
            </w:r>
          </w:p>
        </w:tc>
        <w:tc>
          <w:tcPr>
            <w:tcW w:w="360" w:type="dxa"/>
            <w:vAlign w:val="bottom"/>
          </w:tcPr>
          <w:p>
            <w:pPr>
              <w:spacing w:after="0"/>
              <w:rPr>
                <w:sz w:val="18"/>
                <w:szCs w:val="18"/>
                <w:color w:val="auto"/>
              </w:rPr>
            </w:pPr>
          </w:p>
        </w:tc>
        <w:tc>
          <w:tcPr>
            <w:tcW w:w="9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1,063</w:t>
            </w: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1,063</w:t>
            </w:r>
          </w:p>
        </w:tc>
      </w:tr>
      <w:tr>
        <w:trPr>
          <w:trHeight w:val="229"/>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awards, net</w:t>
            </w: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(5,007)</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1,765</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(3,242)</w:t>
            </w:r>
          </w:p>
        </w:tc>
      </w:tr>
      <w:tr>
        <w:trPr>
          <w:trHeight w:val="223"/>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Balance, September 25, 2026</w:t>
            </w:r>
          </w:p>
        </w:tc>
        <w:tc>
          <w:tcPr>
            <w:tcW w:w="3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36,308</w:t>
            </w:r>
          </w:p>
        </w:tc>
        <w:tc>
          <w:tcPr>
            <w:tcW w:w="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185,043</w:t>
            </w:r>
          </w:p>
        </w:tc>
        <w:tc>
          <w:tcPr>
            <w:tcW w:w="40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44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(1,461)</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496</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220,340</w:t>
            </w:r>
          </w:p>
        </w:tc>
        <w:tc>
          <w:tcPr>
            <w:tcW w:w="100" w:type="dxa"/>
            <w:vAlign w:val="bottom"/>
          </w:tcPr>
          <w:p>
            <w:pPr>
              <w:spacing w:after="0"/>
              <w:rPr>
                <w:sz w:val="19"/>
                <w:szCs w:val="19"/>
                <w:color w:val="auto"/>
              </w:rPr>
            </w:pPr>
          </w:p>
        </w:tc>
      </w:tr>
      <w:tr>
        <w:trPr>
          <w:trHeight w:val="20"/>
        </w:trPr>
        <w:tc>
          <w:tcPr>
            <w:tcW w:w="3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760" w:type="dxa"/>
            <w:vAlign w:val="bottom"/>
            <w:tcBorders>
              <w:bottom w:val="single" w:sz="8" w:color="auto"/>
            </w:tcBorders>
            <w:gridSpan w:val="4"/>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6"/>
        </w:trPr>
        <w:tc>
          <w:tcPr>
            <w:tcW w:w="328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w w:val="98"/>
              </w:rPr>
              <w:t>Twin Disc, Inc. Shareholders’ Equity</w:t>
            </w:r>
          </w:p>
        </w:tc>
        <w:tc>
          <w:tcPr>
            <w:tcW w:w="2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407"/>
        </w:trPr>
        <w:tc>
          <w:tcPr>
            <w:tcW w:w="3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Accumulated</w:t>
            </w: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3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7"/>
              </w:rPr>
              <w:t>Other</w:t>
            </w: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7"/>
              </w:rPr>
              <w:t>Non-</w:t>
            </w: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Retained</w:t>
            </w:r>
          </w:p>
        </w:tc>
        <w:tc>
          <w:tcPr>
            <w:tcW w:w="14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Comprehensive</w:t>
            </w: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Controlling</w:t>
            </w: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3280" w:type="dxa"/>
            <w:vAlign w:val="bottom"/>
          </w:tcPr>
          <w:p>
            <w:pPr>
              <w:spacing w:after="0"/>
              <w:rPr>
                <w:sz w:val="20"/>
                <w:szCs w:val="20"/>
                <w:color w:val="auto"/>
              </w:rPr>
            </w:pPr>
          </w:p>
        </w:tc>
        <w:tc>
          <w:tcPr>
            <w:tcW w:w="1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260" w:type="dxa"/>
            <w:vAlign w:val="bottom"/>
          </w:tcPr>
          <w:p>
            <w:pPr>
              <w:spacing w:after="0"/>
              <w:rPr>
                <w:sz w:val="20"/>
                <w:szCs w:val="20"/>
                <w:color w:val="auto"/>
              </w:rPr>
            </w:pPr>
          </w:p>
        </w:tc>
        <w:tc>
          <w:tcPr>
            <w:tcW w:w="10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Earnings</w:t>
            </w:r>
          </w:p>
        </w:tc>
        <w:tc>
          <w:tcPr>
            <w:tcW w:w="14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Income (Loss)</w:t>
            </w:r>
          </w:p>
        </w:tc>
        <w:tc>
          <w:tcPr>
            <w:tcW w:w="13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Treasury Stock</w:t>
            </w:r>
          </w:p>
        </w:tc>
        <w:tc>
          <w:tcPr>
            <w:tcW w:w="200" w:type="dxa"/>
            <w:vAlign w:val="bottom"/>
          </w:tcPr>
          <w:p>
            <w:pPr>
              <w:spacing w:after="0"/>
              <w:rPr>
                <w:sz w:val="20"/>
                <w:szCs w:val="20"/>
                <w:color w:val="auto"/>
              </w:rPr>
            </w:pPr>
          </w:p>
        </w:tc>
        <w:tc>
          <w:tcPr>
            <w:tcW w:w="110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Interest</w:t>
            </w:r>
          </w:p>
        </w:tc>
        <w:tc>
          <w:tcPr>
            <w:tcW w:w="2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7"/>
              </w:rPr>
              <w:t>Total Equity</w:t>
            </w:r>
          </w:p>
        </w:tc>
      </w:tr>
      <w:tr>
        <w:trPr>
          <w:trHeight w:val="209"/>
        </w:trPr>
        <w:tc>
          <w:tcPr>
            <w:tcW w:w="3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June 30, 2025</w:t>
            </w:r>
          </w:p>
        </w:tc>
        <w:tc>
          <w:tcPr>
            <w:tcW w:w="3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42,269</w:t>
            </w:r>
          </w:p>
        </w:tc>
        <w:tc>
          <w:tcPr>
            <w:tcW w:w="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157,548</w:t>
            </w:r>
          </w:p>
        </w:tc>
        <w:tc>
          <w:tcPr>
            <w:tcW w:w="40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3,730</w:t>
            </w:r>
          </w:p>
        </w:tc>
        <w:tc>
          <w:tcPr>
            <w:tcW w:w="44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(7,402)</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380</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196,525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106</w:t>
            </w:r>
          </w:p>
        </w:tc>
        <w:tc>
          <w:tcPr>
            <w:tcW w:w="2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(412)</w:t>
            </w: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Dividends paid to shareholders</w:t>
            </w: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(566)</w:t>
            </w: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Translation adjustments</w:t>
            </w: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(2,516)</w:t>
            </w: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85</w:t>
            </w:r>
          </w:p>
        </w:tc>
        <w:tc>
          <w:tcPr>
            <w:tcW w:w="2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(2,431)</w:t>
            </w: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Benefit plan adjustments, net of tax</w:t>
            </w: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632</w:t>
            </w: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632</w:t>
            </w: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Unrealized gain (loss) on hedges, net of tax</w:t>
            </w: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98</w:t>
            </w: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98</w:t>
            </w: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Compensation expense</w:t>
            </w: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862</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862</w:t>
            </w:r>
          </w:p>
        </w:tc>
      </w:tr>
      <w:tr>
        <w:trPr>
          <w:trHeight w:val="230"/>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Stock awards, net</w:t>
            </w:r>
          </w:p>
        </w:tc>
        <w:tc>
          <w:tcPr>
            <w:tcW w:w="360" w:type="dxa"/>
            <w:vAlign w:val="bottom"/>
          </w:tcPr>
          <w:p>
            <w:pPr>
              <w:spacing w:after="0"/>
              <w:rPr>
                <w:sz w:val="19"/>
                <w:szCs w:val="19"/>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(5,318)</w:t>
            </w: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3,632</w:t>
            </w: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(1,686)</w:t>
            </w:r>
          </w:p>
        </w:tc>
      </w:tr>
      <w:tr>
        <w:trPr>
          <w:trHeight w:val="223"/>
        </w:trPr>
        <w:tc>
          <w:tcPr>
            <w:tcW w:w="32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September 26, 2025</w:t>
            </w:r>
          </w:p>
        </w:tc>
        <w:tc>
          <w:tcPr>
            <w:tcW w:w="3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37,813</w:t>
            </w: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156,464</w:t>
            </w:r>
          </w:p>
        </w:tc>
        <w:tc>
          <w:tcPr>
            <w:tcW w:w="40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1,944</w:t>
            </w:r>
          </w:p>
        </w:tc>
        <w:tc>
          <w:tcPr>
            <w:tcW w:w="440" w:type="dxa"/>
            <w:vAlign w:val="bottom"/>
            <w:tcBorders>
              <w:top w:val="single" w:sz="8" w:color="auto"/>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(3,770)</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571</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193,022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Reconciliations for the changes in accumulated other comprehensive income (loss), net of tax, by component for the quarters ended September 25, 2026 and September 26, 2025 are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80" w:type="dxa"/>
            <w:vAlign w:val="bottom"/>
            <w:gridSpan w:val="4"/>
          </w:tcPr>
          <w:p>
            <w:pPr>
              <w:jc w:val="right"/>
              <w:ind w:right="500"/>
              <w:spacing w:after="0"/>
              <w:rPr>
                <w:sz w:val="20"/>
                <w:szCs w:val="20"/>
                <w:color w:val="auto"/>
              </w:rPr>
            </w:pPr>
            <w:r>
              <w:rPr>
                <w:rFonts w:ascii="Times New Roman" w:cs="Times New Roman" w:eastAsia="Times New Roman" w:hAnsi="Times New Roman"/>
                <w:sz w:val="18"/>
                <w:szCs w:val="18"/>
                <w:color w:val="auto"/>
              </w:rPr>
              <w:t>Translation</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Benefit Plan</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80" w:type="dxa"/>
            <w:vAlign w:val="bottom"/>
            <w:gridSpan w:val="4"/>
          </w:tcPr>
          <w:p>
            <w:pPr>
              <w:jc w:val="right"/>
              <w:ind w:right="500"/>
              <w:spacing w:after="0"/>
              <w:rPr>
                <w:sz w:val="20"/>
                <w:szCs w:val="20"/>
                <w:color w:val="auto"/>
              </w:rPr>
            </w:pPr>
            <w:r>
              <w:rPr>
                <w:rFonts w:ascii="Times New Roman" w:cs="Times New Roman" w:eastAsia="Times New Roman" w:hAnsi="Times New Roman"/>
                <w:sz w:val="18"/>
                <w:szCs w:val="18"/>
                <w:color w:val="auto"/>
              </w:rPr>
              <w:t>Adjustment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Adjustment</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5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June 30, 2026</w:t>
            </w:r>
          </w:p>
        </w:tc>
        <w:tc>
          <w:tcPr>
            <w:tcW w:w="1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9,041</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(8,753)</w:t>
            </w:r>
          </w:p>
        </w:tc>
        <w:tc>
          <w:tcPr>
            <w:tcW w:w="80" w:type="dxa"/>
            <w:vAlign w:val="bottom"/>
            <w:tcBorders>
              <w:top w:val="single" w:sz="8" w:color="CCEEFF"/>
            </w:tcBorders>
            <w:shd w:val="clear" w:color="auto" w:fill="CCEEFF"/>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Translation adjustment during the quarter</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(362)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Amounts reclassified from accumulated other comprehensive income (loss)</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w w:val="99"/>
              </w:rPr>
              <w:t>27</w:t>
            </w: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5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current period other comprehensive income (loss)</w:t>
            </w:r>
          </w:p>
        </w:tc>
        <w:tc>
          <w:tcPr>
            <w:tcW w:w="18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(362)</w:t>
            </w:r>
          </w:p>
        </w:tc>
        <w:tc>
          <w:tcPr>
            <w:tcW w:w="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27</w:t>
            </w:r>
          </w:p>
        </w:tc>
        <w:tc>
          <w:tcPr>
            <w:tcW w:w="80" w:type="dxa"/>
            <w:vAlign w:val="bottom"/>
            <w:tcBorders>
              <w:bottom w:val="single" w:sz="8" w:color="CCEEFF"/>
            </w:tcBorders>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September 25, 2026</w:t>
            </w:r>
          </w:p>
        </w:tc>
        <w:tc>
          <w:tcPr>
            <w:tcW w:w="1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8,679</w:t>
            </w:r>
          </w:p>
        </w:tc>
        <w:tc>
          <w:tcPr>
            <w:tcW w:w="12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(8,726</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8"/>
        </w:trPr>
        <w:tc>
          <w:tcPr>
            <w:tcW w:w="5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w w:val="99"/>
              </w:rPr>
              <w:t>Translation</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w w:val="96"/>
              </w:rPr>
              <w:t>Benefit Plan</w:t>
            </w:r>
          </w:p>
        </w:tc>
        <w:tc>
          <w:tcPr>
            <w:tcW w:w="1320" w:type="dxa"/>
            <w:vAlign w:val="bottom"/>
            <w:gridSpan w:val="4"/>
          </w:tcPr>
          <w:p>
            <w:pPr>
              <w:jc w:val="right"/>
              <w:ind w:right="380"/>
              <w:spacing w:after="0"/>
              <w:rPr>
                <w:sz w:val="20"/>
                <w:szCs w:val="20"/>
                <w:color w:val="auto"/>
              </w:rPr>
            </w:pPr>
            <w:r>
              <w:rPr>
                <w:rFonts w:ascii="Times New Roman" w:cs="Times New Roman" w:eastAsia="Times New Roman" w:hAnsi="Times New Roman"/>
                <w:sz w:val="18"/>
                <w:szCs w:val="18"/>
                <w:color w:val="auto"/>
              </w:rPr>
              <w:t>Cash Flow</w:t>
            </w:r>
          </w:p>
        </w:tc>
        <w:tc>
          <w:tcPr>
            <w:tcW w:w="1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Investment</w:t>
            </w:r>
          </w:p>
        </w:tc>
        <w:tc>
          <w:tcPr>
            <w:tcW w:w="0" w:type="dxa"/>
            <w:vAlign w:val="bottom"/>
          </w:tcPr>
          <w:p>
            <w:pPr>
              <w:spacing w:after="0"/>
              <w:rPr>
                <w:sz w:val="1"/>
                <w:szCs w:val="1"/>
                <w:color w:val="auto"/>
              </w:rPr>
            </w:pPr>
          </w:p>
        </w:tc>
      </w:tr>
      <w:tr>
        <w:trPr>
          <w:trHeight w:val="234"/>
        </w:trPr>
        <w:tc>
          <w:tcPr>
            <w:tcW w:w="5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w w:val="99"/>
              </w:rPr>
              <w:t>Adjustment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w w:val="99"/>
              </w:rPr>
              <w:t>Adjustment</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w w:val="96"/>
              </w:rPr>
              <w:t>Hedges</w:t>
            </w:r>
          </w:p>
        </w:tc>
        <w:tc>
          <w:tcPr>
            <w:tcW w:w="200" w:type="dxa"/>
            <w:vAlign w:val="bottom"/>
          </w:tcPr>
          <w:p>
            <w:pPr>
              <w:spacing w:after="0"/>
              <w:rPr>
                <w:sz w:val="20"/>
                <w:szCs w:val="20"/>
                <w:color w:val="auto"/>
              </w:rPr>
            </w:pPr>
          </w:p>
        </w:tc>
        <w:tc>
          <w:tcPr>
            <w:tcW w:w="10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Hedges</w:t>
            </w:r>
          </w:p>
        </w:tc>
        <w:tc>
          <w:tcPr>
            <w:tcW w:w="0" w:type="dxa"/>
            <w:vAlign w:val="bottom"/>
          </w:tcPr>
          <w:p>
            <w:pPr>
              <w:spacing w:after="0"/>
              <w:rPr>
                <w:sz w:val="1"/>
                <w:szCs w:val="1"/>
                <w:color w:val="auto"/>
              </w:rPr>
            </w:pPr>
          </w:p>
        </w:tc>
      </w:tr>
      <w:tr>
        <w:trPr>
          <w:trHeight w:val="210"/>
        </w:trPr>
        <w:tc>
          <w:tcPr>
            <w:tcW w:w="55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June 30, 2025</w:t>
            </w:r>
          </w:p>
        </w:tc>
        <w:tc>
          <w:tcPr>
            <w:tcW w:w="480" w:type="dxa"/>
            <w:vAlign w:val="bottom"/>
            <w:tcBorders>
              <w:top w:val="single" w:sz="8" w:color="CCEEFF"/>
            </w:tcBorders>
            <w:gridSpan w:val="2"/>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15,037</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(11,462)</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Translation adjustment during the quarter</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(2,516)</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Amounts reclassified from accumulated other comprehensive income (loss)</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633</w:t>
            </w: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(33)</w:t>
            </w: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210"/>
        </w:trPr>
        <w:tc>
          <w:tcPr>
            <w:tcW w:w="55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current period other comprehensive income (loss)</w:t>
            </w:r>
          </w:p>
        </w:tc>
        <w:tc>
          <w:tcPr>
            <w:tcW w:w="18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(2,516)</w:t>
            </w:r>
          </w:p>
        </w:tc>
        <w:tc>
          <w:tcPr>
            <w:tcW w:w="14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633</w:t>
            </w:r>
          </w:p>
        </w:tc>
        <w:tc>
          <w:tcPr>
            <w:tcW w:w="20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w:t>
            </w: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September 26, 2025</w:t>
            </w:r>
          </w:p>
        </w:tc>
        <w:tc>
          <w:tcPr>
            <w:tcW w:w="480" w:type="dxa"/>
            <w:vAlign w:val="bottom"/>
            <w:tcBorders>
              <w:bottom w:val="single" w:sz="8" w:color="CCEEFF"/>
            </w:tcBorders>
            <w:gridSpan w:val="2"/>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12,521</w:t>
            </w:r>
          </w:p>
        </w:tc>
        <w:tc>
          <w:tcPr>
            <w:tcW w:w="1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(10,829)</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252</w:t>
            </w:r>
          </w:p>
        </w:tc>
        <w:tc>
          <w:tcPr>
            <w:tcW w:w="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480" w:type="dxa"/>
            <w:vAlign w:val="bottom"/>
            <w:gridSpan w:val="2"/>
            <w:vMerge w:val="restart"/>
          </w:tcPr>
          <w:p>
            <w:pPr>
              <w:jc w:val="right"/>
              <w:ind w:right="176"/>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500" w:type="dxa"/>
            <w:vAlign w:val="bottom"/>
          </w:tcPr>
          <w:p>
            <w:pPr>
              <w:spacing w:after="0"/>
              <w:rPr>
                <w:sz w:val="24"/>
                <w:szCs w:val="24"/>
                <w:color w:val="auto"/>
              </w:rPr>
            </w:pPr>
          </w:p>
        </w:tc>
        <w:tc>
          <w:tcPr>
            <w:tcW w:w="48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5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07"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color w:val="auto"/>
        </w:rPr>
        <w:t>Reconciliation for the changes in benefit plan adjustments, net of tax for the quarter ended September 25, 2026 are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Amount Reclassified</w:t>
            </w:r>
          </w:p>
        </w:tc>
        <w:tc>
          <w:tcPr>
            <w:tcW w:w="280" w:type="dxa"/>
            <w:vAlign w:val="bottom"/>
          </w:tcPr>
          <w:p>
            <w:pPr>
              <w:spacing w:after="0"/>
              <w:rPr>
                <w:sz w:val="18"/>
                <w:szCs w:val="18"/>
                <w:color w:val="auto"/>
              </w:rPr>
            </w:pPr>
          </w:p>
        </w:tc>
      </w:tr>
      <w:tr>
        <w:trPr>
          <w:trHeight w:val="216"/>
        </w:trPr>
        <w:tc>
          <w:tcPr>
            <w:tcW w:w="49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Quarter Ended</w:t>
            </w:r>
          </w:p>
        </w:tc>
        <w:tc>
          <w:tcPr>
            <w:tcW w:w="280" w:type="dxa"/>
            <w:vAlign w:val="bottom"/>
          </w:tcPr>
          <w:p>
            <w:pPr>
              <w:spacing w:after="0"/>
              <w:rPr>
                <w:sz w:val="18"/>
                <w:szCs w:val="18"/>
                <w:color w:val="auto"/>
              </w:rPr>
            </w:pPr>
          </w:p>
        </w:tc>
      </w:tr>
      <w:tr>
        <w:trPr>
          <w:trHeight w:val="234"/>
        </w:trPr>
        <w:tc>
          <w:tcPr>
            <w:tcW w:w="49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September 25, 2026</w:t>
            </w:r>
          </w:p>
        </w:tc>
        <w:tc>
          <w:tcPr>
            <w:tcW w:w="280" w:type="dxa"/>
            <w:vAlign w:val="bottom"/>
          </w:tcPr>
          <w:p>
            <w:pPr>
              <w:spacing w:after="0"/>
              <w:rPr>
                <w:sz w:val="20"/>
                <w:szCs w:val="20"/>
                <w:color w:val="auto"/>
              </w:rPr>
            </w:pPr>
          </w:p>
        </w:tc>
      </w:tr>
      <w:tr>
        <w:trPr>
          <w:trHeight w:val="209"/>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Changes in benefit plan items</w:t>
            </w:r>
          </w:p>
        </w:tc>
        <w:tc>
          <w:tcPr>
            <w:tcW w:w="19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c>
          <w:tcPr>
            <w:tcW w:w="280" w:type="dxa"/>
            <w:vAlign w:val="bottom"/>
            <w:tcBorders>
              <w:left w:val="single" w:sz="8" w:color="CCEEFF"/>
            </w:tcBorders>
            <w:shd w:val="clear" w:color="auto" w:fill="CCEEFF"/>
          </w:tcPr>
          <w:p>
            <w:pPr>
              <w:spacing w:after="0"/>
              <w:rPr>
                <w:sz w:val="18"/>
                <w:szCs w:val="18"/>
                <w:color w:val="auto"/>
              </w:rPr>
            </w:pP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Actuarial gains</w:t>
            </w:r>
          </w:p>
        </w:tc>
        <w:tc>
          <w:tcPr>
            <w:tcW w:w="2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w:t>
            </w:r>
          </w:p>
        </w:tc>
      </w:tr>
      <w:tr>
        <w:trPr>
          <w:trHeight w:val="216"/>
        </w:trPr>
        <w:tc>
          <w:tcPr>
            <w:tcW w:w="492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280" w:type="dxa"/>
            <w:vAlign w:val="bottom"/>
            <w:tcBorders>
              <w:left w:val="single" w:sz="8" w:color="CCEEFF"/>
            </w:tcBorders>
            <w:shd w:val="clear" w:color="auto" w:fill="CCEEFF"/>
          </w:tcPr>
          <w:p>
            <w:pPr>
              <w:spacing w:after="0"/>
              <w:rPr>
                <w:sz w:val="18"/>
                <w:szCs w:val="18"/>
                <w:color w:val="auto"/>
              </w:rPr>
            </w:pP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Transition asset and prior service benefit</w:t>
            </w:r>
          </w:p>
        </w:tc>
        <w:tc>
          <w:tcPr>
            <w:tcW w:w="1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(11)(a)</w:t>
            </w:r>
          </w:p>
        </w:tc>
      </w:tr>
      <w:tr>
        <w:trPr>
          <w:trHeight w:val="20"/>
        </w:trPr>
        <w:tc>
          <w:tcPr>
            <w:tcW w:w="49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09"/>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amortization</w:t>
            </w:r>
          </w:p>
        </w:tc>
        <w:tc>
          <w:tcPr>
            <w:tcW w:w="1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80" w:type="dxa"/>
            <w:vAlign w:val="bottom"/>
            <w:tcBorders>
              <w:left w:val="single" w:sz="8" w:color="CCEEFF"/>
            </w:tcBorders>
            <w:shd w:val="clear" w:color="auto" w:fill="CCEEFF"/>
          </w:tcPr>
          <w:p>
            <w:pPr>
              <w:spacing w:after="0"/>
              <w:rPr>
                <w:sz w:val="18"/>
                <w:szCs w:val="18"/>
                <w:color w:val="auto"/>
              </w:rPr>
            </w:pP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(9)</w:t>
            </w:r>
          </w:p>
        </w:tc>
      </w:tr>
      <w:tr>
        <w:trPr>
          <w:trHeight w:val="20"/>
        </w:trPr>
        <w:tc>
          <w:tcPr>
            <w:tcW w:w="49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30"/>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reclassifications, net of tax</w:t>
            </w:r>
          </w:p>
        </w:tc>
        <w:tc>
          <w:tcPr>
            <w:tcW w:w="19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80" w:type="dxa"/>
            <w:vAlign w:val="bottom"/>
            <w:tcBorders>
              <w:left w:val="single" w:sz="8" w:color="CCEEFF"/>
            </w:tcBorders>
            <w:shd w:val="clear" w:color="auto" w:fill="CCEEFF"/>
          </w:tcPr>
          <w:p>
            <w:pPr>
              <w:spacing w:after="0"/>
              <w:rPr>
                <w:sz w:val="19"/>
                <w:szCs w:val="19"/>
                <w:color w:val="auto"/>
              </w:rPr>
            </w:pPr>
          </w:p>
        </w:tc>
      </w:tr>
      <w:tr>
        <w:trPr>
          <w:trHeight w:val="20"/>
        </w:trPr>
        <w:tc>
          <w:tcPr>
            <w:tcW w:w="4920" w:type="dxa"/>
            <w:vAlign w:val="bottom"/>
            <w:tcBorders>
              <w:top w:val="single" w:sz="8" w:color="CCEEFF"/>
            </w:tcBorders>
            <w:shd w:val="clear" w:color="auto" w:fill="CCEEFF"/>
          </w:tcPr>
          <w:p>
            <w:pPr>
              <w:spacing w:after="0" w:line="20" w:lineRule="exact"/>
              <w:rPr>
                <w:sz w:val="1"/>
                <w:szCs w:val="1"/>
                <w:color w:val="auto"/>
              </w:rPr>
            </w:pPr>
          </w:p>
        </w:tc>
        <w:tc>
          <w:tcPr>
            <w:tcW w:w="19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6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left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Reconciliation for the changes in benefit plan adjustments, net of tax for the quarter ended September 26, 2025 is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Amount Reclassified</w:t>
            </w:r>
          </w:p>
        </w:tc>
        <w:tc>
          <w:tcPr>
            <w:tcW w:w="280" w:type="dxa"/>
            <w:vAlign w:val="bottom"/>
          </w:tcPr>
          <w:p>
            <w:pPr>
              <w:spacing w:after="0"/>
              <w:rPr>
                <w:sz w:val="18"/>
                <w:szCs w:val="18"/>
                <w:color w:val="auto"/>
              </w:rPr>
            </w:pPr>
          </w:p>
        </w:tc>
      </w:tr>
      <w:tr>
        <w:trPr>
          <w:trHeight w:val="216"/>
        </w:trPr>
        <w:tc>
          <w:tcPr>
            <w:tcW w:w="49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Quarter Ended</w:t>
            </w:r>
          </w:p>
        </w:tc>
        <w:tc>
          <w:tcPr>
            <w:tcW w:w="280" w:type="dxa"/>
            <w:vAlign w:val="bottom"/>
          </w:tcPr>
          <w:p>
            <w:pPr>
              <w:spacing w:after="0"/>
              <w:rPr>
                <w:sz w:val="18"/>
                <w:szCs w:val="18"/>
                <w:color w:val="auto"/>
              </w:rPr>
            </w:pPr>
          </w:p>
        </w:tc>
      </w:tr>
      <w:tr>
        <w:trPr>
          <w:trHeight w:val="234"/>
        </w:trPr>
        <w:tc>
          <w:tcPr>
            <w:tcW w:w="49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September 26, 2025</w:t>
            </w:r>
          </w:p>
        </w:tc>
        <w:tc>
          <w:tcPr>
            <w:tcW w:w="280" w:type="dxa"/>
            <w:vAlign w:val="bottom"/>
          </w:tcPr>
          <w:p>
            <w:pPr>
              <w:spacing w:after="0"/>
              <w:rPr>
                <w:sz w:val="20"/>
                <w:szCs w:val="20"/>
                <w:color w:val="auto"/>
              </w:rPr>
            </w:pPr>
          </w:p>
        </w:tc>
      </w:tr>
      <w:tr>
        <w:trPr>
          <w:trHeight w:val="210"/>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Changes in benefit plan items</w:t>
            </w:r>
          </w:p>
        </w:tc>
        <w:tc>
          <w:tcPr>
            <w:tcW w:w="19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c>
          <w:tcPr>
            <w:tcW w:w="280" w:type="dxa"/>
            <w:vAlign w:val="bottom"/>
            <w:tcBorders>
              <w:left w:val="single" w:sz="8" w:color="CCEEFF"/>
            </w:tcBorders>
            <w:shd w:val="clear" w:color="auto" w:fill="CCEEFF"/>
          </w:tcPr>
          <w:p>
            <w:pPr>
              <w:spacing w:after="0"/>
              <w:rPr>
                <w:sz w:val="18"/>
                <w:szCs w:val="18"/>
                <w:color w:val="auto"/>
              </w:rPr>
            </w:pP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Actuarial losses</w:t>
            </w:r>
          </w:p>
        </w:tc>
        <w:tc>
          <w:tcPr>
            <w:tcW w:w="2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w:t>
            </w:r>
          </w:p>
        </w:tc>
        <w:tc>
          <w:tcPr>
            <w:tcW w:w="28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89"/>
              </w:rPr>
              <w:t>(a)</w:t>
            </w:r>
          </w:p>
        </w:tc>
      </w:tr>
      <w:tr>
        <w:trPr>
          <w:trHeight w:val="216"/>
        </w:trPr>
        <w:tc>
          <w:tcPr>
            <w:tcW w:w="492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280" w:type="dxa"/>
            <w:vAlign w:val="bottom"/>
            <w:tcBorders>
              <w:left w:val="single" w:sz="8" w:color="CCEEFF"/>
            </w:tcBorders>
            <w:shd w:val="clear" w:color="auto" w:fill="CCEEFF"/>
          </w:tcPr>
          <w:p>
            <w:pPr>
              <w:spacing w:after="0"/>
              <w:rPr>
                <w:sz w:val="18"/>
                <w:szCs w:val="18"/>
                <w:color w:val="auto"/>
              </w:rPr>
            </w:pP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Transition asset and prior service benefit</w:t>
            </w:r>
          </w:p>
        </w:tc>
        <w:tc>
          <w:tcPr>
            <w:tcW w:w="1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8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89"/>
              </w:rPr>
              <w:t>(a)</w:t>
            </w:r>
          </w:p>
        </w:tc>
      </w:tr>
      <w:tr>
        <w:trPr>
          <w:trHeight w:val="20"/>
        </w:trPr>
        <w:tc>
          <w:tcPr>
            <w:tcW w:w="49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10"/>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amortization</w:t>
            </w:r>
          </w:p>
        </w:tc>
        <w:tc>
          <w:tcPr>
            <w:tcW w:w="1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w:t>
            </w:r>
          </w:p>
        </w:tc>
        <w:tc>
          <w:tcPr>
            <w:tcW w:w="280" w:type="dxa"/>
            <w:vAlign w:val="bottom"/>
            <w:tcBorders>
              <w:left w:val="single" w:sz="8" w:color="CCEEFF"/>
            </w:tcBorders>
            <w:shd w:val="clear" w:color="auto" w:fill="CCEEFF"/>
          </w:tcPr>
          <w:p>
            <w:pPr>
              <w:spacing w:after="0"/>
              <w:rPr>
                <w:sz w:val="18"/>
                <w:szCs w:val="18"/>
                <w:color w:val="auto"/>
              </w:rPr>
            </w:pPr>
          </w:p>
        </w:tc>
      </w:tr>
      <w:tr>
        <w:trPr>
          <w:trHeight w:val="20"/>
        </w:trPr>
        <w:tc>
          <w:tcPr>
            <w:tcW w:w="4920" w:type="dxa"/>
            <w:vAlign w:val="bottom"/>
            <w:shd w:val="clear" w:color="auto" w:fill="CCEEFF"/>
          </w:tcPr>
          <w:p>
            <w:pPr>
              <w:spacing w:after="0" w:line="20" w:lineRule="exact"/>
              <w:rPr>
                <w:sz w:val="1"/>
                <w:szCs w:val="1"/>
                <w:color w:val="auto"/>
              </w:rPr>
            </w:pPr>
          </w:p>
        </w:tc>
        <w:tc>
          <w:tcPr>
            <w:tcW w:w="19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280" w:type="dxa"/>
            <w:vAlign w:val="bottom"/>
            <w:tcBorders>
              <w:left w:val="single" w:sz="8" w:color="CCEEFF"/>
            </w:tcBorders>
            <w:shd w:val="clear" w:color="auto" w:fill="CCEEFF"/>
          </w:tcPr>
          <w:p>
            <w:pPr>
              <w:spacing w:after="0" w:line="20" w:lineRule="exact"/>
              <w:rPr>
                <w:sz w:val="1"/>
                <w:szCs w:val="1"/>
                <w:color w:val="auto"/>
              </w:rPr>
            </w:pPr>
          </w:p>
        </w:tc>
      </w:tr>
      <w:tr>
        <w:trPr>
          <w:trHeight w:val="209"/>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tcPr>
          <w:p>
            <w:pPr>
              <w:spacing w:after="0"/>
              <w:rPr>
                <w:sz w:val="18"/>
                <w:szCs w:val="18"/>
                <w:color w:val="auto"/>
              </w:rPr>
            </w:pPr>
          </w:p>
        </w:tc>
      </w:tr>
      <w:tr>
        <w:trPr>
          <w:trHeight w:val="20"/>
        </w:trPr>
        <w:tc>
          <w:tcPr>
            <w:tcW w:w="49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29"/>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reclassifications, net of tax</w:t>
            </w:r>
          </w:p>
        </w:tc>
        <w:tc>
          <w:tcPr>
            <w:tcW w:w="19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280" w:type="dxa"/>
            <w:vAlign w:val="bottom"/>
            <w:tcBorders>
              <w:left w:val="single" w:sz="8" w:color="CCEEFF"/>
            </w:tcBorders>
            <w:shd w:val="clear" w:color="auto" w:fill="CCEEFF"/>
          </w:tcPr>
          <w:p>
            <w:pPr>
              <w:spacing w:after="0"/>
              <w:rPr>
                <w:sz w:val="19"/>
                <w:szCs w:val="19"/>
                <w:color w:val="auto"/>
              </w:rPr>
            </w:pPr>
          </w:p>
        </w:tc>
      </w:tr>
      <w:tr>
        <w:trPr>
          <w:trHeight w:val="20"/>
        </w:trPr>
        <w:tc>
          <w:tcPr>
            <w:tcW w:w="4920" w:type="dxa"/>
            <w:vAlign w:val="bottom"/>
            <w:tcBorders>
              <w:top w:val="single" w:sz="8" w:color="CCEEFF"/>
            </w:tcBorders>
            <w:shd w:val="clear" w:color="auto" w:fill="CCEEFF"/>
          </w:tcPr>
          <w:p>
            <w:pPr>
              <w:spacing w:after="0" w:line="20" w:lineRule="exact"/>
              <w:rPr>
                <w:sz w:val="1"/>
                <w:szCs w:val="1"/>
                <w:color w:val="auto"/>
              </w:rPr>
            </w:pPr>
          </w:p>
        </w:tc>
        <w:tc>
          <w:tcPr>
            <w:tcW w:w="19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6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left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ind w:left="660" w:hanging="328"/>
        <w:spacing w:after="0" w:line="282" w:lineRule="auto"/>
        <w:tabs>
          <w:tab w:leader="none" w:pos="66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accumulated other comprehensive income (loss) components are included in the computation of net periodic pension benefit cost (gain) (see H, "Pension and Other Postretirement Benefit Plans" for further details).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Earnings Per Share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calculates basic earnings per share (“EPS”) based upon the weighted average number of common shares outstanding during the period, while the calculation of diluted EPS includes the dilutive effect of potential common shares outstanding during the period. The calculation of diluted EPS excludes all potential common shares if their inclusion would have an anti-dilutive effect. Certain restricted stock award recipients have a non-forfeitable right to receive dividends declared by the Company and are therefore included in computing EPS pursuant to the two-class method.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The components of basic and diluted EPS were as follows:</w:t>
            </w:r>
          </w:p>
        </w:tc>
        <w:tc>
          <w:tcPr>
            <w:tcW w:w="5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6"/>
        </w:trPr>
        <w:tc>
          <w:tcPr>
            <w:tcW w:w="8000" w:type="dxa"/>
            <w:vAlign w:val="bottom"/>
          </w:tcPr>
          <w:p>
            <w:pPr>
              <w:spacing w:after="0"/>
              <w:rPr>
                <w:sz w:val="24"/>
                <w:szCs w:val="24"/>
                <w:color w:val="auto"/>
              </w:rPr>
            </w:pPr>
          </w:p>
        </w:tc>
        <w:tc>
          <w:tcPr>
            <w:tcW w:w="15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September 25, 2026</w:t>
            </w:r>
          </w:p>
        </w:tc>
        <w:tc>
          <w:tcPr>
            <w:tcW w:w="100" w:type="dxa"/>
            <w:vAlign w:val="bottom"/>
          </w:tcPr>
          <w:p>
            <w:pPr>
              <w:spacing w:after="0"/>
              <w:rPr>
                <w:sz w:val="24"/>
                <w:szCs w:val="24"/>
                <w:color w:val="auto"/>
              </w:rPr>
            </w:pPr>
          </w:p>
        </w:tc>
        <w:tc>
          <w:tcPr>
            <w:tcW w:w="1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September 26, 2025</w:t>
            </w:r>
          </w:p>
        </w:tc>
      </w:tr>
      <w:tr>
        <w:trPr>
          <w:trHeight w:val="209"/>
        </w:trPr>
        <w:tc>
          <w:tcPr>
            <w:tcW w:w="8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w:t>
            </w:r>
          </w:p>
        </w:tc>
        <w:tc>
          <w:tcPr>
            <w:tcW w:w="5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3,487</w:t>
            </w:r>
          </w:p>
        </w:tc>
        <w:tc>
          <w:tcPr>
            <w:tcW w:w="6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(412)</w:t>
            </w:r>
          </w:p>
        </w:tc>
      </w:tr>
      <w:tr>
        <w:trPr>
          <w:trHeight w:val="22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Net income (loss) attributable to noncontrolling interest, net of tax</w:t>
            </w:r>
          </w:p>
        </w:tc>
        <w:tc>
          <w:tcPr>
            <w:tcW w:w="5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106</w:t>
            </w:r>
          </w:p>
        </w:tc>
      </w:tr>
      <w:tr>
        <w:trPr>
          <w:trHeight w:val="21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 attributable to Twin Disc, Incorporated</w:t>
            </w:r>
          </w:p>
        </w:tc>
        <w:tc>
          <w:tcPr>
            <w:tcW w:w="5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9"/>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 outstanding - basic</w:t>
            </w:r>
          </w:p>
        </w:tc>
        <w:tc>
          <w:tcPr>
            <w:tcW w:w="54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14,238</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13,961</w:t>
            </w:r>
          </w:p>
        </w:tc>
      </w:tr>
      <w:tr>
        <w:trPr>
          <w:trHeight w:val="210"/>
        </w:trPr>
        <w:tc>
          <w:tcPr>
            <w:tcW w:w="80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Basic earnings (loss) per share:</w:t>
            </w: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earnings (loss) per share attributable to Twin Disc, Incorporated common shareholders</w:t>
            </w:r>
          </w:p>
        </w:tc>
        <w:tc>
          <w:tcPr>
            <w:tcW w:w="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0.24</w:t>
            </w:r>
          </w:p>
        </w:tc>
        <w:tc>
          <w:tcPr>
            <w:tcW w:w="6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(0.04)</w:t>
            </w: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6"/>
        </w:trPr>
        <w:tc>
          <w:tcPr>
            <w:tcW w:w="80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w:t>
            </w:r>
          </w:p>
        </w:tc>
        <w:tc>
          <w:tcPr>
            <w:tcW w:w="5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3,487</w:t>
            </w:r>
          </w:p>
        </w:tc>
        <w:tc>
          <w:tcPr>
            <w:tcW w:w="6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(412)</w:t>
            </w:r>
          </w:p>
        </w:tc>
      </w:tr>
      <w:tr>
        <w:trPr>
          <w:trHeight w:val="22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Net income (loss) attributable to noncontrolling interest, net of tax</w:t>
            </w:r>
          </w:p>
        </w:tc>
        <w:tc>
          <w:tcPr>
            <w:tcW w:w="5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106</w:t>
            </w:r>
          </w:p>
        </w:tc>
      </w:tr>
      <w:tr>
        <w:trPr>
          <w:trHeight w:val="209"/>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 attributable to Twin Disc, Incorporated</w:t>
            </w:r>
          </w:p>
        </w:tc>
        <w:tc>
          <w:tcPr>
            <w:tcW w:w="5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shares outstanding - basic</w:t>
            </w:r>
          </w:p>
        </w:tc>
        <w:tc>
          <w:tcPr>
            <w:tcW w:w="5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14,238</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13,961</w:t>
            </w:r>
          </w:p>
        </w:tc>
      </w:tr>
      <w:tr>
        <w:trPr>
          <w:trHeight w:val="22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dilutive stock awards</w:t>
            </w:r>
          </w:p>
        </w:tc>
        <w:tc>
          <w:tcPr>
            <w:tcW w:w="5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396</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8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Weighted average shares outstanding - diluted</w:t>
            </w:r>
          </w:p>
        </w:tc>
        <w:tc>
          <w:tcPr>
            <w:tcW w:w="5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14,634</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13,961</w:t>
            </w:r>
          </w:p>
        </w:tc>
        <w:tc>
          <w:tcPr>
            <w:tcW w:w="100" w:type="dxa"/>
            <w:vAlign w:val="bottom"/>
            <w:tcBorders>
              <w:bottom w:val="single" w:sz="8" w:color="CCEEFF"/>
            </w:tcBorders>
          </w:tcPr>
          <w:p>
            <w:pPr>
              <w:spacing w:after="0"/>
              <w:rPr>
                <w:sz w:val="18"/>
                <w:szCs w:val="18"/>
                <w:color w:val="auto"/>
              </w:rPr>
            </w:pPr>
          </w:p>
        </w:tc>
      </w:tr>
      <w:tr>
        <w:trPr>
          <w:trHeight w:val="209"/>
        </w:trPr>
        <w:tc>
          <w:tcPr>
            <w:tcW w:w="80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Diluted earnings (loss) per share:</w:t>
            </w: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earnings (loss) per share attributable to Twin Disc, Incorporated common shareholders</w:t>
            </w:r>
          </w:p>
        </w:tc>
        <w:tc>
          <w:tcPr>
            <w:tcW w:w="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0.24</w:t>
            </w:r>
          </w:p>
        </w:tc>
        <w:tc>
          <w:tcPr>
            <w:tcW w:w="6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(0.04)</w:t>
            </w: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potential common shares were excluded from diluted EPS for the quarter ended September 26, 2025 as the Company reported a net loss: 229.9 related to the Company’s unvested PSAs, 8.0 related to the Company’s unvested PSUA awards, 233.2 related to the Company’s unvested RS awards, and 79.2 related to the Company’s unvested RSUs.</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  Lease Liabilities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leases certain office and warehouse space, as well as production and office equipment.</w:t>
      </w:r>
    </w:p>
    <w:p>
      <w:pPr>
        <w:spacing w:after="0" w:line="225"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Company determines if an arrangement is a lease at contract inception. The lease term begins upon lease commencement, which is when the Company takes possession of the asset, and may include options to extend or terminate the lease when it is reasonably certain that such options will be exercised. As its lease agreements typically do not provide an implicit rate, the Company primarily uses an incremental borrowing rate based upon the information available at lease commencement. In determining the incremental borrowing rate, the Company considers its current borrowing rate, the term of the lease, and the economic environments where the lease activity is concentrated. Some of the Company’s leases contain non-lease components (e.g., common area, other maintenance costs, etc.) that relate to the lease components of the agreement. Non-lease components and the lease components to which they relate are accounted for as a single lease component.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color w:val="auto"/>
        </w:rPr>
        <w:t>The following table provides a summary of leases recorded on the condensed consolidated balance sheets.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Condensed Consolidated</w:t>
            </w:r>
          </w:p>
        </w:tc>
        <w:tc>
          <w:tcPr>
            <w:tcW w:w="10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94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2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Balance Sheets Location</w:t>
            </w:r>
          </w:p>
        </w:tc>
        <w:tc>
          <w:tcPr>
            <w:tcW w:w="208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September 25, 2026</w:t>
            </w:r>
          </w:p>
        </w:tc>
        <w:tc>
          <w:tcPr>
            <w:tcW w:w="260" w:type="dxa"/>
            <w:vAlign w:val="bottom"/>
          </w:tcPr>
          <w:p>
            <w:pPr>
              <w:spacing w:after="0"/>
              <w:rPr>
                <w:sz w:val="20"/>
                <w:szCs w:val="20"/>
                <w:color w:val="auto"/>
              </w:rPr>
            </w:pP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June 30, 2026</w:t>
            </w:r>
          </w:p>
        </w:tc>
      </w:tr>
      <w:tr>
        <w:trPr>
          <w:trHeight w:val="169"/>
        </w:trPr>
        <w:tc>
          <w:tcPr>
            <w:tcW w:w="3400" w:type="dxa"/>
            <w:vAlign w:val="bottom"/>
            <w:gridSpan w:val="2"/>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Lease Assets</w:t>
            </w:r>
          </w:p>
        </w:tc>
        <w:tc>
          <w:tcPr>
            <w:tcW w:w="880" w:type="dxa"/>
            <w:vAlign w:val="bottom"/>
            <w:shd w:val="clear" w:color="auto" w:fill="CCEEFF"/>
          </w:tcPr>
          <w:p>
            <w:pPr>
              <w:spacing w:after="0"/>
              <w:rPr>
                <w:sz w:val="14"/>
                <w:szCs w:val="14"/>
                <w:color w:val="auto"/>
              </w:rPr>
            </w:pPr>
          </w:p>
        </w:tc>
        <w:tc>
          <w:tcPr>
            <w:tcW w:w="322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130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21"/>
        </w:trPr>
        <w:tc>
          <w:tcPr>
            <w:tcW w:w="940" w:type="dxa"/>
            <w:vAlign w:val="bottom"/>
            <w:tcBorders>
              <w:top w:val="single" w:sz="8" w:color="auto"/>
            </w:tcBorders>
            <w:shd w:val="clear" w:color="auto" w:fill="CCEEFF"/>
          </w:tcPr>
          <w:p>
            <w:pPr>
              <w:spacing w:after="0" w:line="20" w:lineRule="exact"/>
              <w:rPr>
                <w:sz w:val="1"/>
                <w:szCs w:val="1"/>
                <w:color w:val="auto"/>
              </w:rPr>
            </w:pPr>
          </w:p>
        </w:tc>
        <w:tc>
          <w:tcPr>
            <w:tcW w:w="24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322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Right-of-use operating lease assets</w:t>
            </w:r>
          </w:p>
        </w:tc>
        <w:tc>
          <w:tcPr>
            <w:tcW w:w="410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Right-of-use operating lease assets</w:t>
            </w:r>
          </w:p>
        </w:tc>
        <w:tc>
          <w:tcPr>
            <w:tcW w:w="10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13,754</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14,730</w:t>
            </w:r>
          </w:p>
        </w:tc>
      </w:tr>
      <w:tr>
        <w:trPr>
          <w:trHeight w:val="216"/>
        </w:trPr>
        <w:tc>
          <w:tcPr>
            <w:tcW w:w="3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finance lease assets</w:t>
            </w:r>
          </w:p>
        </w:tc>
        <w:tc>
          <w:tcPr>
            <w:tcW w:w="410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0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4,660</w:t>
            </w: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4,960</w:t>
            </w:r>
          </w:p>
        </w:tc>
      </w:tr>
    </w:tbl>
    <w:p>
      <w:pPr>
        <w:spacing w:after="0" w:line="198" w:lineRule="exact"/>
        <w:rPr>
          <w:sz w:val="20"/>
          <w:szCs w:val="20"/>
          <w:color w:val="auto"/>
        </w:rPr>
      </w:pPr>
    </w:p>
    <w:p>
      <w:pPr>
        <w:sectPr>
          <w:pgSz w:w="11900" w:h="16838" w:orient="portrait"/>
          <w:cols w:equalWidth="0" w:num="1">
            <w:col w:w="11240"/>
          </w:cols>
          <w:pgMar w:left="320" w:top="607" w:right="339" w:bottom="1440" w:gutter="0" w:footer="0" w:header="0"/>
        </w:sectPr>
      </w:pPr>
    </w:p>
    <w:p>
      <w:pPr>
        <w:spacing w:after="0"/>
        <w:rPr>
          <w:sz w:val="20"/>
          <w:szCs w:val="20"/>
          <w:color w:val="auto"/>
        </w:rPr>
      </w:pPr>
      <w:r>
        <w:rPr>
          <w:rFonts w:ascii="Times New Roman" w:cs="Times New Roman" w:eastAsia="Times New Roman" w:hAnsi="Times New Roman"/>
          <w:sz w:val="18"/>
          <w:szCs w:val="18"/>
          <w:u w:val="single" w:color="auto"/>
          <w:color w:val="auto"/>
        </w:rPr>
        <w:t>Lease Liabilities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Right-of-use operating lease liabilities, current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Right-of-use operating lease liabilities, non-current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Right-of-use finance lease liabilities, current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Right-of-use finance lease liabilities, non-current</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Current maturities of right-of-use operating lease</w:t>
            </w:r>
          </w:p>
        </w:tc>
        <w:tc>
          <w:tcPr>
            <w:tcW w:w="6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obligations</w:t>
            </w:r>
          </w:p>
        </w:tc>
        <w:tc>
          <w:tcPr>
            <w:tcW w:w="62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3,219</w:t>
            </w:r>
          </w:p>
        </w:tc>
        <w:tc>
          <w:tcPr>
            <w:tcW w:w="6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3,527</w:t>
            </w:r>
          </w:p>
        </w:tc>
      </w:tr>
      <w:tr>
        <w:trPr>
          <w:trHeight w:val="216"/>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Right-of-use lease obligations</w:t>
            </w:r>
          </w:p>
        </w:tc>
        <w:tc>
          <w:tcPr>
            <w:tcW w:w="62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11,023</w:t>
            </w:r>
          </w:p>
        </w:tc>
        <w:tc>
          <w:tcPr>
            <w:tcW w:w="6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11,691</w:t>
            </w:r>
          </w:p>
        </w:tc>
      </w:tr>
      <w:tr>
        <w:trPr>
          <w:trHeight w:val="216"/>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Accrued liabilities</w:t>
            </w:r>
          </w:p>
        </w:tc>
        <w:tc>
          <w:tcPr>
            <w:tcW w:w="62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1,096</w:t>
            </w:r>
          </w:p>
        </w:tc>
        <w:tc>
          <w:tcPr>
            <w:tcW w:w="6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1,103</w:t>
            </w:r>
          </w:p>
        </w:tc>
      </w:tr>
      <w:tr>
        <w:trPr>
          <w:trHeight w:val="234"/>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62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4,147</w:t>
            </w:r>
          </w:p>
        </w:tc>
        <w:tc>
          <w:tcPr>
            <w:tcW w:w="6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-2712085</wp:posOffset>
            </wp:positionH>
            <wp:positionV relativeFrom="paragraph">
              <wp:posOffset>-822325</wp:posOffset>
            </wp:positionV>
            <wp:extent cx="713232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-2712085</wp:posOffset>
            </wp:positionH>
            <wp:positionV relativeFrom="paragraph">
              <wp:posOffset>-410845</wp:posOffset>
            </wp:positionV>
            <wp:extent cx="713232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-2712085</wp:posOffset>
            </wp:positionH>
            <wp:positionV relativeFrom="paragraph">
              <wp:posOffset>-136525</wp:posOffset>
            </wp:positionV>
            <wp:extent cx="713232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3700" w:space="580"/>
            <w:col w:w="6960"/>
          </w:cols>
          <w:pgMar w:left="320" w:top="607" w:right="339" w:bottom="1440" w:gutter="0" w:footer="0" w:header="0"/>
          <w:type w:val="continuous"/>
        </w:sectPr>
      </w:pPr>
    </w:p>
    <w:tbl>
      <w:tblPr>
        <w:tblLayout w:type="fixed"/>
        <w:tblInd w:w="0" w:type="dxa"/>
        <w:tblCellMar>
          <w:top w:w="0" w:type="dxa"/>
          <w:left w:w="0" w:type="dxa"/>
          <w:bottom w:w="0" w:type="dxa"/>
          <w:right w:w="0" w:type="dxa"/>
        </w:tblCellMar>
      </w:tblPr>
      <w:tr>
        <w:trPr>
          <w:trHeight w:val="234"/>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The components of lease expense were as follows:</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60" w:type="dxa"/>
            <w:vAlign w:val="bottom"/>
          </w:tcPr>
          <w:p>
            <w:pPr>
              <w:spacing w:after="0"/>
              <w:rPr>
                <w:sz w:val="20"/>
                <w:szCs w:val="20"/>
                <w:color w:val="auto"/>
              </w:rPr>
            </w:pPr>
          </w:p>
        </w:tc>
      </w:tr>
      <w:tr>
        <w:trPr>
          <w:trHeight w:val="427"/>
        </w:trPr>
        <w:tc>
          <w:tcPr>
            <w:tcW w:w="5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180" w:type="dxa"/>
            <w:vAlign w:val="bottom"/>
            <w:gridSpan w:val="6"/>
          </w:tcPr>
          <w:p>
            <w:pPr>
              <w:jc w:val="right"/>
              <w:ind w:right="73"/>
              <w:spacing w:after="0"/>
              <w:rPr>
                <w:sz w:val="20"/>
                <w:szCs w:val="20"/>
                <w:color w:val="auto"/>
              </w:rPr>
            </w:pPr>
            <w:r>
              <w:rPr>
                <w:rFonts w:ascii="Times New Roman" w:cs="Times New Roman" w:eastAsia="Times New Roman" w:hAnsi="Times New Roman"/>
                <w:sz w:val="18"/>
                <w:szCs w:val="18"/>
                <w:color w:val="auto"/>
              </w:rPr>
              <w:t>For the Quarter Ended</w:t>
            </w: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234"/>
        </w:trPr>
        <w:tc>
          <w:tcPr>
            <w:tcW w:w="5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September 25, 2026</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September 26, 2025</w:t>
            </w:r>
          </w:p>
        </w:tc>
        <w:tc>
          <w:tcPr>
            <w:tcW w:w="2260" w:type="dxa"/>
            <w:vAlign w:val="bottom"/>
          </w:tcPr>
          <w:p>
            <w:pPr>
              <w:spacing w:after="0"/>
              <w:rPr>
                <w:sz w:val="20"/>
                <w:szCs w:val="20"/>
                <w:color w:val="auto"/>
              </w:rPr>
            </w:pPr>
          </w:p>
        </w:tc>
      </w:tr>
      <w:tr>
        <w:trPr>
          <w:trHeight w:val="209"/>
        </w:trPr>
        <w:tc>
          <w:tcPr>
            <w:tcW w:w="5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lease cost:</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60" w:type="dxa"/>
            <w:vAlign w:val="bottom"/>
          </w:tcPr>
          <w:p>
            <w:pPr>
              <w:spacing w:after="0"/>
              <w:rPr>
                <w:sz w:val="18"/>
                <w:szCs w:val="18"/>
                <w:color w:val="auto"/>
              </w:rPr>
            </w:pPr>
          </w:p>
        </w:tc>
      </w:tr>
      <w:tr>
        <w:trPr>
          <w:trHeight w:val="216"/>
        </w:trPr>
        <w:tc>
          <w:tcPr>
            <w:tcW w:w="5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760" w:type="dxa"/>
            <w:vAlign w:val="bottom"/>
            <w:gridSpan w:val="3"/>
          </w:tcPr>
          <w:p>
            <w:pPr>
              <w:jc w:val="right"/>
              <w:ind w:right="233"/>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296</w:t>
            </w:r>
          </w:p>
        </w:tc>
        <w:tc>
          <w:tcPr>
            <w:tcW w:w="960" w:type="dxa"/>
            <w:vAlign w:val="bottom"/>
            <w:gridSpan w:val="3"/>
          </w:tcPr>
          <w:p>
            <w:pPr>
              <w:jc w:val="right"/>
              <w:ind w:right="713"/>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281</w:t>
            </w:r>
          </w:p>
        </w:tc>
        <w:tc>
          <w:tcPr>
            <w:tcW w:w="2260" w:type="dxa"/>
            <w:vAlign w:val="bottom"/>
          </w:tcPr>
          <w:p>
            <w:pPr>
              <w:spacing w:after="0"/>
              <w:rPr>
                <w:sz w:val="18"/>
                <w:szCs w:val="18"/>
                <w:color w:val="auto"/>
              </w:rPr>
            </w:pPr>
          </w:p>
        </w:tc>
      </w:tr>
      <w:tr>
        <w:trPr>
          <w:trHeight w:val="216"/>
        </w:trPr>
        <w:tc>
          <w:tcPr>
            <w:tcW w:w="5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90</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105</w:t>
            </w:r>
          </w:p>
        </w:tc>
        <w:tc>
          <w:tcPr>
            <w:tcW w:w="2260" w:type="dxa"/>
            <w:vAlign w:val="bottom"/>
          </w:tcPr>
          <w:p>
            <w:pPr>
              <w:spacing w:after="0"/>
              <w:rPr>
                <w:sz w:val="18"/>
                <w:szCs w:val="18"/>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1,136</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1,073</w:t>
            </w:r>
          </w:p>
        </w:tc>
        <w:tc>
          <w:tcPr>
            <w:tcW w:w="2260" w:type="dxa"/>
            <w:vAlign w:val="bottom"/>
          </w:tcPr>
          <w:p>
            <w:pPr>
              <w:spacing w:after="0"/>
              <w:rPr>
                <w:sz w:val="18"/>
                <w:szCs w:val="18"/>
                <w:color w:val="auto"/>
              </w:rPr>
            </w:pPr>
          </w:p>
        </w:tc>
      </w:tr>
      <w:tr>
        <w:trPr>
          <w:trHeight w:val="21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lease cost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54</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84</w:t>
            </w:r>
          </w:p>
        </w:tc>
        <w:tc>
          <w:tcPr>
            <w:tcW w:w="2260" w:type="dxa"/>
            <w:vAlign w:val="bottom"/>
          </w:tcPr>
          <w:p>
            <w:pPr>
              <w:spacing w:after="0"/>
              <w:rPr>
                <w:sz w:val="18"/>
                <w:szCs w:val="18"/>
                <w:color w:val="auto"/>
              </w:rPr>
            </w:pPr>
          </w:p>
        </w:tc>
      </w:tr>
      <w:tr>
        <w:trPr>
          <w:trHeight w:val="229"/>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Variable lease cost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137</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133</w:t>
            </w:r>
          </w:p>
        </w:tc>
        <w:tc>
          <w:tcPr>
            <w:tcW w:w="2260" w:type="dxa"/>
            <w:vAlign w:val="bottom"/>
          </w:tcPr>
          <w:p>
            <w:pPr>
              <w:spacing w:after="0"/>
              <w:rPr>
                <w:sz w:val="19"/>
                <w:szCs w:val="19"/>
                <w:color w:val="auto"/>
              </w:rPr>
            </w:pPr>
          </w:p>
        </w:tc>
      </w:tr>
      <w:tr>
        <w:trPr>
          <w:trHeight w:val="210"/>
        </w:trPr>
        <w:tc>
          <w:tcPr>
            <w:tcW w:w="5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cost</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1,713</w:t>
            </w: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1,676</w:t>
            </w:r>
          </w:p>
        </w:tc>
        <w:tc>
          <w:tcPr>
            <w:tcW w:w="80" w:type="dxa"/>
            <w:vAlign w:val="bottom"/>
            <w:tcBorders>
              <w:top w:val="single" w:sz="8" w:color="CCEEFF"/>
            </w:tcBorders>
            <w:shd w:val="clear" w:color="auto" w:fill="CCEEFF"/>
          </w:tcPr>
          <w:p>
            <w:pPr>
              <w:spacing w:after="0"/>
              <w:rPr>
                <w:sz w:val="18"/>
                <w:szCs w:val="18"/>
                <w:color w:val="auto"/>
              </w:rPr>
            </w:pPr>
          </w:p>
        </w:tc>
        <w:tc>
          <w:tcPr>
            <w:tcW w:w="2260" w:type="dxa"/>
            <w:vAlign w:val="bottom"/>
          </w:tcPr>
          <w:p>
            <w:pPr>
              <w:spacing w:after="0"/>
              <w:rPr>
                <w:sz w:val="18"/>
                <w:szCs w:val="18"/>
                <w:color w:val="auto"/>
              </w:rPr>
            </w:pPr>
          </w:p>
        </w:tc>
      </w:tr>
      <w:tr>
        <w:trPr>
          <w:trHeight w:val="229"/>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Less: Sublease income</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(26)</w:t>
            </w:r>
          </w:p>
        </w:tc>
        <w:tc>
          <w:tcPr>
            <w:tcW w:w="2260" w:type="dxa"/>
            <w:vAlign w:val="bottom"/>
          </w:tcPr>
          <w:p>
            <w:pPr>
              <w:spacing w:after="0"/>
              <w:rPr>
                <w:sz w:val="19"/>
                <w:szCs w:val="19"/>
                <w:color w:val="auto"/>
              </w:rPr>
            </w:pPr>
          </w:p>
        </w:tc>
      </w:tr>
      <w:tr>
        <w:trPr>
          <w:trHeight w:val="210"/>
        </w:trPr>
        <w:tc>
          <w:tcPr>
            <w:tcW w:w="5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lease cost</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ind w:right="233"/>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1,711</w:t>
            </w: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ind w:right="713"/>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1,650</w:t>
            </w:r>
          </w:p>
        </w:tc>
        <w:tc>
          <w:tcPr>
            <w:tcW w:w="80" w:type="dxa"/>
            <w:vAlign w:val="bottom"/>
            <w:tcBorders>
              <w:top w:val="single" w:sz="8" w:color="CCEEFF"/>
            </w:tcBorders>
            <w:shd w:val="clear" w:color="auto" w:fill="CCEEFF"/>
          </w:tcPr>
          <w:p>
            <w:pPr>
              <w:spacing w:after="0"/>
              <w:rPr>
                <w:sz w:val="18"/>
                <w:szCs w:val="18"/>
                <w:color w:val="auto"/>
              </w:rPr>
            </w:pPr>
          </w:p>
        </w:tc>
        <w:tc>
          <w:tcPr>
            <w:tcW w:w="2260" w:type="dxa"/>
            <w:vAlign w:val="bottom"/>
          </w:tcPr>
          <w:p>
            <w:pPr>
              <w:spacing w:after="0"/>
              <w:rPr>
                <w:sz w:val="18"/>
                <w:szCs w:val="18"/>
                <w:color w:val="auto"/>
              </w:rPr>
            </w:pPr>
          </w:p>
        </w:tc>
      </w:tr>
      <w:tr>
        <w:trPr>
          <w:trHeight w:val="425"/>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Other information related to leases was as follows:</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427"/>
        </w:trPr>
        <w:tc>
          <w:tcPr>
            <w:tcW w:w="5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180" w:type="dxa"/>
            <w:vAlign w:val="bottom"/>
            <w:gridSpan w:val="6"/>
          </w:tcPr>
          <w:p>
            <w:pPr>
              <w:jc w:val="right"/>
              <w:ind w:right="173"/>
              <w:spacing w:after="0"/>
              <w:rPr>
                <w:sz w:val="20"/>
                <w:szCs w:val="20"/>
                <w:color w:val="auto"/>
              </w:rPr>
            </w:pPr>
            <w:r>
              <w:rPr>
                <w:rFonts w:ascii="Times New Roman" w:cs="Times New Roman" w:eastAsia="Times New Roman" w:hAnsi="Times New Roman"/>
                <w:sz w:val="18"/>
                <w:szCs w:val="18"/>
                <w:color w:val="auto"/>
              </w:rPr>
              <w:t>For the Quarter Ended</w:t>
            </w: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234"/>
        </w:trPr>
        <w:tc>
          <w:tcPr>
            <w:tcW w:w="5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40" w:type="dxa"/>
            <w:vAlign w:val="bottom"/>
            <w:gridSpan w:val="5"/>
          </w:tcPr>
          <w:p>
            <w:pPr>
              <w:jc w:val="right"/>
              <w:ind w:right="260"/>
              <w:spacing w:after="0"/>
              <w:rPr>
                <w:sz w:val="20"/>
                <w:szCs w:val="20"/>
                <w:color w:val="auto"/>
              </w:rPr>
            </w:pPr>
            <w:r>
              <w:rPr>
                <w:rFonts w:ascii="Times New Roman" w:cs="Times New Roman" w:eastAsia="Times New Roman" w:hAnsi="Times New Roman"/>
                <w:sz w:val="18"/>
                <w:szCs w:val="18"/>
                <w:color w:val="auto"/>
              </w:rPr>
              <w:t>September 25, 2026</w:t>
            </w:r>
          </w:p>
        </w:tc>
        <w:tc>
          <w:tcPr>
            <w:tcW w:w="20" w:type="dxa"/>
            <w:vAlign w:val="bottom"/>
          </w:tcPr>
          <w:p>
            <w:pPr>
              <w:spacing w:after="0"/>
              <w:rPr>
                <w:sz w:val="20"/>
                <w:szCs w:val="20"/>
                <w:color w:val="auto"/>
              </w:rPr>
            </w:pPr>
          </w:p>
        </w:tc>
        <w:tc>
          <w:tcPr>
            <w:tcW w:w="1660" w:type="dxa"/>
            <w:vAlign w:val="bottom"/>
            <w:gridSpan w:val="5"/>
          </w:tcPr>
          <w:p>
            <w:pPr>
              <w:jc w:val="right"/>
              <w:ind w:right="200"/>
              <w:spacing w:after="0"/>
              <w:rPr>
                <w:sz w:val="20"/>
                <w:szCs w:val="20"/>
                <w:color w:val="auto"/>
              </w:rPr>
            </w:pPr>
            <w:r>
              <w:rPr>
                <w:rFonts w:ascii="Times New Roman" w:cs="Times New Roman" w:eastAsia="Times New Roman" w:hAnsi="Times New Roman"/>
                <w:sz w:val="18"/>
                <w:szCs w:val="18"/>
                <w:color w:val="auto"/>
                <w:w w:val="99"/>
              </w:rPr>
              <w:t>September 26, 2025</w:t>
            </w:r>
          </w:p>
        </w:tc>
        <w:tc>
          <w:tcPr>
            <w:tcW w:w="2260" w:type="dxa"/>
            <w:vAlign w:val="bottom"/>
          </w:tcPr>
          <w:p>
            <w:pPr>
              <w:spacing w:after="0"/>
              <w:rPr>
                <w:sz w:val="20"/>
                <w:szCs w:val="20"/>
                <w:color w:val="auto"/>
              </w:rPr>
            </w:pPr>
          </w:p>
        </w:tc>
      </w:tr>
      <w:tr>
        <w:trPr>
          <w:trHeight w:val="210"/>
        </w:trPr>
        <w:tc>
          <w:tcPr>
            <w:tcW w:w="5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60" w:type="dxa"/>
            <w:vAlign w:val="bottom"/>
          </w:tcPr>
          <w:p>
            <w:pPr>
              <w:spacing w:after="0"/>
              <w:rPr>
                <w:sz w:val="18"/>
                <w:szCs w:val="18"/>
                <w:color w:val="auto"/>
              </w:rPr>
            </w:pPr>
          </w:p>
        </w:tc>
      </w:tr>
      <w:tr>
        <w:trPr>
          <w:trHeight w:val="216"/>
        </w:trPr>
        <w:tc>
          <w:tcPr>
            <w:tcW w:w="5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1,276</w:t>
            </w:r>
          </w:p>
        </w:tc>
        <w:tc>
          <w:tcPr>
            <w:tcW w:w="80" w:type="dxa"/>
            <w:vAlign w:val="bottom"/>
          </w:tcPr>
          <w:p>
            <w:pPr>
              <w:spacing w:after="0"/>
              <w:rPr>
                <w:sz w:val="18"/>
                <w:szCs w:val="18"/>
                <w:color w:val="auto"/>
              </w:rPr>
            </w:pPr>
          </w:p>
        </w:tc>
        <w:tc>
          <w:tcPr>
            <w:tcW w:w="960" w:type="dxa"/>
            <w:vAlign w:val="bottom"/>
            <w:gridSpan w:val="3"/>
          </w:tcPr>
          <w:p>
            <w:pPr>
              <w:jc w:val="right"/>
              <w:ind w:right="773"/>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1,240</w:t>
            </w:r>
          </w:p>
        </w:tc>
        <w:tc>
          <w:tcPr>
            <w:tcW w:w="80" w:type="dxa"/>
            <w:vAlign w:val="bottom"/>
          </w:tcPr>
          <w:p>
            <w:pPr>
              <w:spacing w:after="0"/>
              <w:rPr>
                <w:sz w:val="18"/>
                <w:szCs w:val="18"/>
                <w:color w:val="auto"/>
              </w:rPr>
            </w:pPr>
          </w:p>
        </w:tc>
        <w:tc>
          <w:tcPr>
            <w:tcW w:w="2260" w:type="dxa"/>
            <w:vAlign w:val="bottom"/>
          </w:tcPr>
          <w:p>
            <w:pPr>
              <w:spacing w:after="0"/>
              <w:rPr>
                <w:sz w:val="18"/>
                <w:szCs w:val="18"/>
                <w:color w:val="auto"/>
              </w:rPr>
            </w:pPr>
          </w:p>
        </w:tc>
      </w:tr>
      <w:tr>
        <w:trPr>
          <w:trHeight w:val="216"/>
        </w:trPr>
        <w:tc>
          <w:tcPr>
            <w:tcW w:w="5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cash flows from finance leases</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91</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106</w:t>
            </w:r>
          </w:p>
        </w:tc>
        <w:tc>
          <w:tcPr>
            <w:tcW w:w="80" w:type="dxa"/>
            <w:vAlign w:val="bottom"/>
            <w:shd w:val="clear" w:color="auto" w:fill="CCEEFF"/>
          </w:tcPr>
          <w:p>
            <w:pPr>
              <w:spacing w:after="0"/>
              <w:rPr>
                <w:sz w:val="18"/>
                <w:szCs w:val="18"/>
                <w:color w:val="auto"/>
              </w:rPr>
            </w:pPr>
          </w:p>
        </w:tc>
        <w:tc>
          <w:tcPr>
            <w:tcW w:w="2260" w:type="dxa"/>
            <w:vAlign w:val="bottom"/>
          </w:tcPr>
          <w:p>
            <w:pPr>
              <w:spacing w:after="0"/>
              <w:rPr>
                <w:sz w:val="18"/>
                <w:szCs w:val="18"/>
                <w:color w:val="auto"/>
              </w:rPr>
            </w:pPr>
          </w:p>
        </w:tc>
      </w:tr>
      <w:tr>
        <w:trPr>
          <w:trHeight w:val="216"/>
        </w:trPr>
        <w:tc>
          <w:tcPr>
            <w:tcW w:w="5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Financing cash flows from finance leases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328</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284</w:t>
            </w:r>
          </w:p>
        </w:tc>
        <w:tc>
          <w:tcPr>
            <w:tcW w:w="80" w:type="dxa"/>
            <w:vAlign w:val="bottom"/>
          </w:tcPr>
          <w:p>
            <w:pPr>
              <w:spacing w:after="0"/>
              <w:rPr>
                <w:sz w:val="18"/>
                <w:szCs w:val="18"/>
                <w:color w:val="auto"/>
              </w:rPr>
            </w:pPr>
          </w:p>
        </w:tc>
        <w:tc>
          <w:tcPr>
            <w:tcW w:w="2260" w:type="dxa"/>
            <w:vAlign w:val="bottom"/>
          </w:tcPr>
          <w:p>
            <w:pPr>
              <w:spacing w:after="0"/>
              <w:rPr>
                <w:sz w:val="18"/>
                <w:szCs w:val="18"/>
                <w:color w:val="auto"/>
              </w:rPr>
            </w:pPr>
          </w:p>
        </w:tc>
      </w:tr>
      <w:tr>
        <w:trPr>
          <w:trHeight w:val="21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Right-of-use-assets obtained in exchange for lease obligations:</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60" w:type="dxa"/>
            <w:vAlign w:val="bottom"/>
          </w:tcPr>
          <w:p>
            <w:pPr>
              <w:spacing w:after="0"/>
              <w:rPr>
                <w:sz w:val="18"/>
                <w:szCs w:val="18"/>
                <w:color w:val="auto"/>
              </w:rPr>
            </w:pPr>
          </w:p>
        </w:tc>
      </w:tr>
      <w:tr>
        <w:trPr>
          <w:trHeight w:val="216"/>
        </w:trPr>
        <w:tc>
          <w:tcPr>
            <w:tcW w:w="5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tcPr>
          <w:p>
            <w:pPr>
              <w:spacing w:after="0"/>
              <w:rPr>
                <w:sz w:val="18"/>
                <w:szCs w:val="18"/>
                <w:color w:val="auto"/>
              </w:rPr>
            </w:pPr>
          </w:p>
        </w:tc>
        <w:tc>
          <w:tcPr>
            <w:tcW w:w="2260" w:type="dxa"/>
            <w:vAlign w:val="bottom"/>
          </w:tcPr>
          <w:p>
            <w:pPr>
              <w:spacing w:after="0"/>
              <w:rPr>
                <w:sz w:val="18"/>
                <w:szCs w:val="18"/>
                <w:color w:val="auto"/>
              </w:rPr>
            </w:pPr>
          </w:p>
        </w:tc>
      </w:tr>
      <w:tr>
        <w:trPr>
          <w:trHeight w:val="216"/>
        </w:trPr>
        <w:tc>
          <w:tcPr>
            <w:tcW w:w="5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Finance leases</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202</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47</w:t>
            </w:r>
          </w:p>
        </w:tc>
        <w:tc>
          <w:tcPr>
            <w:tcW w:w="80" w:type="dxa"/>
            <w:vAlign w:val="bottom"/>
            <w:shd w:val="clear" w:color="auto" w:fill="CCEEFF"/>
          </w:tcPr>
          <w:p>
            <w:pPr>
              <w:spacing w:after="0"/>
              <w:rPr>
                <w:sz w:val="18"/>
                <w:szCs w:val="18"/>
                <w:color w:val="auto"/>
              </w:rPr>
            </w:pPr>
          </w:p>
        </w:tc>
        <w:tc>
          <w:tcPr>
            <w:tcW w:w="2260" w:type="dxa"/>
            <w:vAlign w:val="bottom"/>
          </w:tcPr>
          <w:p>
            <w:pPr>
              <w:spacing w:after="0"/>
              <w:rPr>
                <w:sz w:val="18"/>
                <w:szCs w:val="18"/>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remaining lease term (years):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60" w:type="dxa"/>
            <w:vAlign w:val="bottom"/>
          </w:tcPr>
          <w:p>
            <w:pPr>
              <w:spacing w:after="0"/>
              <w:rPr>
                <w:sz w:val="18"/>
                <w:szCs w:val="18"/>
                <w:color w:val="auto"/>
              </w:rPr>
            </w:pPr>
          </w:p>
        </w:tc>
      </w:tr>
      <w:tr>
        <w:trPr>
          <w:trHeight w:val="216"/>
        </w:trPr>
        <w:tc>
          <w:tcPr>
            <w:tcW w:w="5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leases</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6.8</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7.2</w:t>
            </w:r>
          </w:p>
        </w:tc>
        <w:tc>
          <w:tcPr>
            <w:tcW w:w="80" w:type="dxa"/>
            <w:vAlign w:val="bottom"/>
            <w:shd w:val="clear" w:color="auto" w:fill="CCEEFF"/>
          </w:tcPr>
          <w:p>
            <w:pPr>
              <w:spacing w:after="0"/>
              <w:rPr>
                <w:sz w:val="18"/>
                <w:szCs w:val="18"/>
                <w:color w:val="auto"/>
              </w:rPr>
            </w:pPr>
          </w:p>
        </w:tc>
        <w:tc>
          <w:tcPr>
            <w:tcW w:w="2260" w:type="dxa"/>
            <w:vAlign w:val="bottom"/>
          </w:tcPr>
          <w:p>
            <w:pPr>
              <w:spacing w:after="0"/>
              <w:rPr>
                <w:sz w:val="18"/>
                <w:szCs w:val="18"/>
                <w:color w:val="auto"/>
              </w:rPr>
            </w:pPr>
          </w:p>
        </w:tc>
      </w:tr>
      <w:tr>
        <w:trPr>
          <w:trHeight w:val="216"/>
        </w:trPr>
        <w:tc>
          <w:tcPr>
            <w:tcW w:w="5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Finance lease</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6.4</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7.0</w:t>
            </w:r>
          </w:p>
        </w:tc>
        <w:tc>
          <w:tcPr>
            <w:tcW w:w="80" w:type="dxa"/>
            <w:vAlign w:val="bottom"/>
          </w:tcPr>
          <w:p>
            <w:pPr>
              <w:spacing w:after="0"/>
              <w:rPr>
                <w:sz w:val="18"/>
                <w:szCs w:val="18"/>
                <w:color w:val="auto"/>
              </w:rPr>
            </w:pPr>
          </w:p>
        </w:tc>
        <w:tc>
          <w:tcPr>
            <w:tcW w:w="2260" w:type="dxa"/>
            <w:vAlign w:val="bottom"/>
          </w:tcPr>
          <w:p>
            <w:pPr>
              <w:spacing w:after="0"/>
              <w:rPr>
                <w:sz w:val="18"/>
                <w:szCs w:val="18"/>
                <w:color w:val="auto"/>
              </w:rPr>
            </w:pPr>
          </w:p>
        </w:tc>
      </w:tr>
      <w:tr>
        <w:trPr>
          <w:trHeight w:val="21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60" w:type="dxa"/>
            <w:vAlign w:val="bottom"/>
          </w:tcPr>
          <w:p>
            <w:pPr>
              <w:spacing w:after="0"/>
              <w:rPr>
                <w:sz w:val="18"/>
                <w:szCs w:val="18"/>
                <w:color w:val="auto"/>
              </w:rPr>
            </w:pPr>
          </w:p>
        </w:tc>
      </w:tr>
      <w:tr>
        <w:trPr>
          <w:trHeight w:val="216"/>
        </w:trPr>
        <w:tc>
          <w:tcPr>
            <w:tcW w:w="5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8.5%</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2260" w:type="dxa"/>
            <w:vAlign w:val="bottom"/>
          </w:tcPr>
          <w:p>
            <w:pPr>
              <w:spacing w:after="0"/>
              <w:rPr>
                <w:sz w:val="18"/>
                <w:szCs w:val="18"/>
                <w:color w:val="auto"/>
              </w:rPr>
            </w:pPr>
          </w:p>
        </w:tc>
      </w:tr>
      <w:tr>
        <w:trPr>
          <w:trHeight w:val="216"/>
        </w:trPr>
        <w:tc>
          <w:tcPr>
            <w:tcW w:w="5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Finance leases</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6.6%</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260" w:type="dxa"/>
            <w:vAlign w:val="bottom"/>
          </w:tcPr>
          <w:p>
            <w:pPr>
              <w:spacing w:after="0"/>
              <w:rPr>
                <w:sz w:val="18"/>
                <w:szCs w:val="18"/>
                <w:color w:val="auto"/>
              </w:rPr>
            </w:pPr>
          </w:p>
        </w:tc>
      </w:tr>
      <w:tr>
        <w:trPr>
          <w:trHeight w:val="432"/>
        </w:trPr>
        <w:tc>
          <w:tcPr>
            <w:tcW w:w="5320" w:type="dxa"/>
            <w:vAlign w:val="bottom"/>
          </w:tcPr>
          <w:p>
            <w:pPr>
              <w:spacing w:after="0"/>
              <w:rPr>
                <w:sz w:val="24"/>
                <w:szCs w:val="24"/>
                <w:color w:val="auto"/>
              </w:rPr>
            </w:pPr>
          </w:p>
        </w:tc>
        <w:tc>
          <w:tcPr>
            <w:tcW w:w="760" w:type="dxa"/>
            <w:vAlign w:val="bottom"/>
            <w:gridSpan w:val="3"/>
          </w:tcPr>
          <w:p>
            <w:pPr>
              <w:jc w:val="right"/>
              <w:ind w:right="273"/>
              <w:spacing w:after="0"/>
              <w:rPr>
                <w:sz w:val="20"/>
                <w:szCs w:val="20"/>
                <w:color w:val="auto"/>
              </w:rPr>
            </w:pPr>
            <w:r>
              <w:rPr>
                <w:rFonts w:ascii="Times New Roman" w:cs="Times New Roman" w:eastAsia="Times New Roman" w:hAnsi="Times New Roman"/>
                <w:sz w:val="18"/>
                <w:szCs w:val="18"/>
                <w:color w:val="auto"/>
              </w:rPr>
              <w:t>21</w:t>
            </w: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60" w:type="dxa"/>
            <w:vAlign w:val="bottom"/>
          </w:tcPr>
          <w:p>
            <w:pPr>
              <w:spacing w:after="0"/>
              <w:rPr>
                <w:sz w:val="24"/>
                <w:szCs w:val="24"/>
                <w:color w:val="auto"/>
              </w:rPr>
            </w:pPr>
          </w:p>
        </w:tc>
      </w:tr>
      <w:tr>
        <w:trPr>
          <w:trHeight w:val="115"/>
        </w:trPr>
        <w:tc>
          <w:tcPr>
            <w:tcW w:w="53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26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607" w:right="33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color w:val="auto"/>
        </w:rPr>
        <w:t>Approximate future minimum rental commitments under non-cancellable leases as of September 25, 2026 were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Operating Leases</w:t>
            </w:r>
          </w:p>
        </w:tc>
        <w:tc>
          <w:tcPr>
            <w:tcW w:w="140" w:type="dxa"/>
            <w:vAlign w:val="bottom"/>
          </w:tcPr>
          <w:p>
            <w:pPr>
              <w:spacing w:after="0"/>
              <w:rPr>
                <w:sz w:val="20"/>
                <w:szCs w:val="20"/>
                <w:color w:val="auto"/>
              </w:rPr>
            </w:pPr>
          </w:p>
        </w:tc>
        <w:tc>
          <w:tcPr>
            <w:tcW w:w="146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Finance Leases</w:t>
            </w:r>
          </w:p>
        </w:tc>
      </w:tr>
      <w:tr>
        <w:trPr>
          <w:trHeight w:val="209"/>
        </w:trPr>
        <w:tc>
          <w:tcPr>
            <w:tcW w:w="5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3,219</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120" w:type="dxa"/>
            <w:vAlign w:val="bottom"/>
          </w:tcPr>
          <w:p>
            <w:pPr>
              <w:spacing w:after="0"/>
              <w:rPr>
                <w:sz w:val="18"/>
                <w:szCs w:val="18"/>
                <w:color w:val="auto"/>
              </w:rPr>
            </w:pP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3,162</w:t>
            </w:r>
          </w:p>
        </w:tc>
        <w:tc>
          <w:tcPr>
            <w:tcW w:w="14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1,337</w:t>
            </w:r>
          </w:p>
        </w:tc>
        <w:tc>
          <w:tcPr>
            <w:tcW w:w="60" w:type="dxa"/>
            <w:vAlign w:val="bottom"/>
          </w:tcPr>
          <w:p>
            <w:pPr>
              <w:spacing w:after="0"/>
              <w:rPr>
                <w:sz w:val="18"/>
                <w:szCs w:val="18"/>
                <w:color w:val="auto"/>
              </w:rPr>
            </w:pPr>
          </w:p>
        </w:tc>
      </w:tr>
      <w:tr>
        <w:trPr>
          <w:trHeight w:val="216"/>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2029</w:t>
            </w:r>
          </w:p>
        </w:tc>
        <w:tc>
          <w:tcPr>
            <w:tcW w:w="1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2,466</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987</w:t>
            </w:r>
          </w:p>
        </w:tc>
        <w:tc>
          <w:tcPr>
            <w:tcW w:w="60" w:type="dxa"/>
            <w:vAlign w:val="bottom"/>
            <w:shd w:val="clear" w:color="auto" w:fill="CCEEFF"/>
          </w:tcPr>
          <w:p>
            <w:pPr>
              <w:spacing w:after="0"/>
              <w:rPr>
                <w:sz w:val="18"/>
                <w:szCs w:val="18"/>
                <w:color w:val="auto"/>
              </w:rPr>
            </w:pPr>
          </w:p>
        </w:tc>
      </w:tr>
      <w:tr>
        <w:trPr>
          <w:trHeight w:val="216"/>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2030</w:t>
            </w:r>
          </w:p>
        </w:tc>
        <w:tc>
          <w:tcPr>
            <w:tcW w:w="120" w:type="dxa"/>
            <w:vAlign w:val="bottom"/>
          </w:tcPr>
          <w:p>
            <w:pPr>
              <w:spacing w:after="0"/>
              <w:rPr>
                <w:sz w:val="18"/>
                <w:szCs w:val="18"/>
                <w:color w:val="auto"/>
              </w:rPr>
            </w:pP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1,907</w:t>
            </w:r>
          </w:p>
        </w:tc>
        <w:tc>
          <w:tcPr>
            <w:tcW w:w="14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699</w:t>
            </w:r>
          </w:p>
        </w:tc>
        <w:tc>
          <w:tcPr>
            <w:tcW w:w="60" w:type="dxa"/>
            <w:vAlign w:val="bottom"/>
          </w:tcPr>
          <w:p>
            <w:pPr>
              <w:spacing w:after="0"/>
              <w:rPr>
                <w:sz w:val="18"/>
                <w:szCs w:val="18"/>
                <w:color w:val="auto"/>
              </w:rPr>
            </w:pPr>
          </w:p>
        </w:tc>
      </w:tr>
      <w:tr>
        <w:trPr>
          <w:trHeight w:val="216"/>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2031</w:t>
            </w:r>
          </w:p>
        </w:tc>
        <w:tc>
          <w:tcPr>
            <w:tcW w:w="1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1,815</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602</w:t>
            </w:r>
          </w:p>
        </w:tc>
        <w:tc>
          <w:tcPr>
            <w:tcW w:w="60" w:type="dxa"/>
            <w:vAlign w:val="bottom"/>
            <w:shd w:val="clear" w:color="auto" w:fill="CCEEFF"/>
          </w:tcPr>
          <w:p>
            <w:pPr>
              <w:spacing w:after="0"/>
              <w:rPr>
                <w:sz w:val="18"/>
                <w:szCs w:val="18"/>
                <w:color w:val="auto"/>
              </w:rPr>
            </w:pPr>
          </w:p>
        </w:tc>
      </w:tr>
      <w:tr>
        <w:trPr>
          <w:trHeight w:val="216"/>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2032</w:t>
            </w:r>
          </w:p>
        </w:tc>
        <w:tc>
          <w:tcPr>
            <w:tcW w:w="120" w:type="dxa"/>
            <w:vAlign w:val="bottom"/>
          </w:tcPr>
          <w:p>
            <w:pPr>
              <w:spacing w:after="0"/>
              <w:rPr>
                <w:sz w:val="18"/>
                <w:szCs w:val="18"/>
                <w:color w:val="auto"/>
              </w:rPr>
            </w:pP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1,822</w:t>
            </w:r>
          </w:p>
        </w:tc>
        <w:tc>
          <w:tcPr>
            <w:tcW w:w="14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514</w:t>
            </w:r>
          </w:p>
        </w:tc>
        <w:tc>
          <w:tcPr>
            <w:tcW w:w="60" w:type="dxa"/>
            <w:vAlign w:val="bottom"/>
          </w:tcPr>
          <w:p>
            <w:pPr>
              <w:spacing w:after="0"/>
              <w:rPr>
                <w:sz w:val="18"/>
                <w:szCs w:val="18"/>
                <w:color w:val="auto"/>
              </w:rPr>
            </w:pPr>
          </w:p>
        </w:tc>
      </w:tr>
      <w:tr>
        <w:trPr>
          <w:trHeight w:val="229"/>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Thereafter</w:t>
            </w:r>
          </w:p>
        </w:tc>
        <w:tc>
          <w:tcPr>
            <w:tcW w:w="12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4,632</w:t>
            </w: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1,332</w:t>
            </w:r>
          </w:p>
        </w:tc>
        <w:tc>
          <w:tcPr>
            <w:tcW w:w="60" w:type="dxa"/>
            <w:vAlign w:val="bottom"/>
            <w:shd w:val="clear" w:color="auto" w:fill="CCEEFF"/>
          </w:tcPr>
          <w:p>
            <w:pPr>
              <w:spacing w:after="0"/>
              <w:rPr>
                <w:sz w:val="19"/>
                <w:szCs w:val="19"/>
                <w:color w:val="auto"/>
              </w:rPr>
            </w:pPr>
          </w:p>
        </w:tc>
      </w:tr>
      <w:tr>
        <w:trPr>
          <w:trHeight w:val="210"/>
        </w:trPr>
        <w:tc>
          <w:tcPr>
            <w:tcW w:w="5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future lease payments</w:t>
            </w:r>
          </w:p>
        </w:tc>
        <w:tc>
          <w:tcPr>
            <w:tcW w:w="12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19,023</w:t>
            </w: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6,567</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9"/>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Amount representing interest</w:t>
            </w:r>
          </w:p>
        </w:tc>
        <w:tc>
          <w:tcPr>
            <w:tcW w:w="12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(4,781)</w:t>
            </w:r>
          </w:p>
        </w:tc>
        <w:tc>
          <w:tcPr>
            <w:tcW w:w="140" w:type="dxa"/>
            <w:vAlign w:val="bottom"/>
            <w:shd w:val="clear" w:color="auto" w:fill="CCEEFF"/>
          </w:tcPr>
          <w:p>
            <w:pPr>
              <w:spacing w:after="0"/>
              <w:rPr>
                <w:sz w:val="19"/>
                <w:szCs w:val="19"/>
                <w:color w:val="auto"/>
              </w:rPr>
            </w:pPr>
          </w:p>
        </w:tc>
        <w:tc>
          <w:tcPr>
            <w:tcW w:w="14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(1,324)</w:t>
            </w:r>
          </w:p>
        </w:tc>
      </w:tr>
      <w:tr>
        <w:trPr>
          <w:trHeight w:val="223"/>
        </w:trPr>
        <w:tc>
          <w:tcPr>
            <w:tcW w:w="5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Present value of future payments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14,242</w:t>
            </w:r>
          </w:p>
        </w:tc>
        <w:tc>
          <w:tcPr>
            <w:tcW w:w="1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5,243</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0"/>
        </w:trPr>
        <w:tc>
          <w:tcPr>
            <w:tcW w:w="5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  Derivative Financial Instruments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From time to time, the Company enters into derivative instruments to manage volatility arising from risks relating to interest rates and foreign currency exchange rates. The Company does not purchase, hold or sell derivative financial instruments for trading purposes. The Company’s practice is to terminate derivative transactions if the underlying asset or liability matures or is sold or terminated, or if it determines the underlying forecasted transaction is no longer probable of occurring.</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reports all derivative instruments on its condensed consolidated balance sheets at fair value and establishes criteria for designation and effectiveness of transactions entered into for hedging purposes.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Swap Contracts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had one interest rate swap contract that matured as of March 4, 2026, with a notional amount of $6,500. It had been designated as a cash flow hedge in accordance with ASC 815, Derivatives and Hedging.</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primary purpose of the Company’s cash flow hedging activities is to manage the potential changes in value associated with interest payments on the Company’s SOFR-based indebtedness. The Company records gains and losses on interest rate swap contracts qualifying as cash flow hedges in accumulated other comprehensive income (loss) to the extent that these hedges are effective and until the Company recognizes the underlying transactions in net earnings, at which time these gains and losses are recognized in interest expense on its consolidated statements of operations and comprehensive income (loss). Cash flows from derivative financial instruments are classified as cash flows from financing activities on the condensed consolidated statements of cash flows. These contracts generally have original maturities of greater than twelve months.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Derivatives Designated as Net Investment Hedges</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June 30, 2026, the Company refinanced and replaced its Credit Agreement as discussed in Note K, Long-term Debt, of the notes to the condensed consolidated financial statements. As part of the refinance of the credit agreement the Revolving Loan designated in euro was paid in full.</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is exposed to foreign currency exchange risk related to its investment in net assets in foreign countries. During the fourth quarter of fiscal 2021, the Company designated its euro denominated Revolving Loan, with a notional amount of €13,000, as a net investment hedge to mitigate the risk of variability in its euro denominated net investments in wholly-owned foreign subsidiaries. All changes in the fair value of the euro revolver were then recorded in accumulated other comprehensive income (loss) along with the foreign currency translation adjustments on those foreign investments. Net unrealized after-tax gains (loss) related to net investment hedging activities that were included in accumulated other comprehensive income (loss) were $0 and $0 as of September 25, 2026 and June 30, 2026, respectively.</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i w:val="1"/>
          <w:iCs w:val="1"/>
          <w:color w:val="auto"/>
        </w:rPr>
        <w:t>Fair Value of Derivative Instruments</w:t>
      </w:r>
    </w:p>
    <w:p>
      <w:pPr>
        <w:spacing w:after="0" w:line="227"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 impact of the Company’s derivative instruments on the condensed consolidated statements of operations and comprehensive income (loss) for the quarters ended September 25, 2026 and September 26, 2025, respectively, was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Condensed Consolidated Statements</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of Operations and Comprehensive</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4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For the Quarter Ended</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27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Income (Loss) Location</w:t>
            </w:r>
          </w:p>
        </w:tc>
        <w:tc>
          <w:tcPr>
            <w:tcW w:w="100" w:type="dxa"/>
            <w:vAlign w:val="bottom"/>
          </w:tcPr>
          <w:p>
            <w:pPr>
              <w:spacing w:after="0"/>
              <w:rPr>
                <w:sz w:val="20"/>
                <w:szCs w:val="20"/>
                <w:color w:val="auto"/>
              </w:rPr>
            </w:pPr>
          </w:p>
        </w:tc>
        <w:tc>
          <w:tcPr>
            <w:tcW w:w="17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September 25, 2026</w:t>
            </w:r>
          </w:p>
        </w:tc>
        <w:tc>
          <w:tcPr>
            <w:tcW w:w="15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September 26, 2025</w:t>
            </w:r>
          </w:p>
        </w:tc>
      </w:tr>
      <w:tr>
        <w:trPr>
          <w:trHeight w:val="210"/>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Derivative designated as hedge:</w:t>
            </w:r>
          </w:p>
        </w:tc>
        <w:tc>
          <w:tcPr>
            <w:tcW w:w="400" w:type="dxa"/>
            <w:vAlign w:val="bottom"/>
            <w:shd w:val="clear" w:color="auto" w:fill="CCEEFF"/>
          </w:tcPr>
          <w:p>
            <w:pPr>
              <w:spacing w:after="0"/>
              <w:rPr>
                <w:sz w:val="18"/>
                <w:szCs w:val="18"/>
                <w:color w:val="auto"/>
              </w:rPr>
            </w:pPr>
          </w:p>
        </w:tc>
        <w:tc>
          <w:tcPr>
            <w:tcW w:w="3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Interest rate swap</w:t>
            </w:r>
          </w:p>
        </w:tc>
        <w:tc>
          <w:tcPr>
            <w:tcW w:w="39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Interest expense</w:t>
            </w:r>
          </w:p>
        </w:tc>
        <w:tc>
          <w:tcPr>
            <w:tcW w:w="54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rate swap</w:t>
            </w:r>
          </w:p>
        </w:tc>
        <w:tc>
          <w:tcPr>
            <w:tcW w:w="39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Unrealized gain (loss) on hedges</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w:t>
            </w:r>
          </w:p>
        </w:tc>
      </w:tr>
      <w:tr>
        <w:trPr>
          <w:trHeight w:val="234"/>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Net investment hedge</w:t>
            </w:r>
          </w:p>
        </w:tc>
        <w:tc>
          <w:tcPr>
            <w:tcW w:w="39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Unrealized gain (loss) on hedges</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spacing w:after="0"/>
              <w:rPr>
                <w:sz w:val="20"/>
                <w:szCs w:val="20"/>
                <w:color w:val="auto"/>
              </w:rPr>
            </w:pPr>
          </w:p>
        </w:tc>
        <w:tc>
          <w:tcPr>
            <w:tcW w:w="6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130</w:t>
            </w: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Discussion and Analysis of Financial Condition and Results of Operations</w:t>
      </w:r>
    </w:p>
    <w:p>
      <w:pPr>
        <w:spacing w:after="0" w:line="22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In the financial review that follows, we discuss our results of operations, financial condition and certain other information. This discussion should be read in conjunction with our condensed consolidated financial statements as of September 25, 2026, and related notes, as reported in Item 1 of this Quarterly Report.</w:t>
      </w:r>
    </w:p>
    <w:p>
      <w:pPr>
        <w:spacing w:after="0" w:line="17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Some of the statements in this Quarterly Report on Form 10-Q are “forward-looking statements” as defined in the Private Securities Litigation Reform Act of 1995. Forward-looking statements include the Company’s description of plans and objectives for future operations and assumptions behind those plans. The words “anticipates,” “believes,” “intends,” “estimates,” and “expects,” or similar anticipatory expressions, usually identify forward-looking statements. In addition, goals established by the Company should not be viewed as guarantees or promises of future performance. There can be no assurance the Company will be successful in achieving its goals.</w:t>
      </w:r>
    </w:p>
    <w:p>
      <w:pPr>
        <w:spacing w:after="0" w:line="183"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In addition to the assumptions and information referred to specifically in the forward-looking statements, other factors, including but not limited to those factors discussed under Item 1A, Risk Factors, of the Company’s Annual Report filed on Form 10-K for June 30, 2026, as supplemented in this Quarterly Report, could cause actual results to be materially different from what is expressed or implied in any forward-looking statement.</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453"/>
        </w:trPr>
        <w:tc>
          <w:tcPr>
            <w:tcW w:w="16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42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4"/>
          </w:tcPr>
          <w:p>
            <w:pPr>
              <w:ind w:left="780"/>
              <w:spacing w:after="0"/>
              <w:rPr>
                <w:sz w:val="20"/>
                <w:szCs w:val="20"/>
                <w:color w:val="auto"/>
              </w:rPr>
            </w:pPr>
            <w:r>
              <w:rPr>
                <w:rFonts w:ascii="Times New Roman" w:cs="Times New Roman" w:eastAsia="Times New Roman" w:hAnsi="Times New Roman"/>
                <w:sz w:val="18"/>
                <w:szCs w:val="18"/>
                <w:color w:val="auto"/>
              </w:rPr>
              <w:t>Quarter Ended</w:t>
            </w:r>
          </w:p>
        </w:tc>
        <w:tc>
          <w:tcPr>
            <w:tcW w:w="12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191"/>
        </w:trPr>
        <w:tc>
          <w:tcPr>
            <w:tcW w:w="1660" w:type="dxa"/>
            <w:vAlign w:val="bottom"/>
          </w:tcPr>
          <w:p>
            <w:pPr>
              <w:spacing w:after="0"/>
              <w:rPr>
                <w:sz w:val="16"/>
                <w:szCs w:val="16"/>
                <w:color w:val="auto"/>
              </w:rPr>
            </w:pPr>
          </w:p>
        </w:tc>
        <w:tc>
          <w:tcPr>
            <w:tcW w:w="4280" w:type="dxa"/>
            <w:vAlign w:val="bottom"/>
          </w:tcPr>
          <w:p>
            <w:pPr>
              <w:spacing w:after="0"/>
              <w:rPr>
                <w:sz w:val="16"/>
                <w:szCs w:val="16"/>
                <w:color w:val="auto"/>
              </w:rPr>
            </w:pPr>
          </w:p>
        </w:tc>
        <w:tc>
          <w:tcPr>
            <w:tcW w:w="1260" w:type="dxa"/>
            <w:vAlign w:val="bottom"/>
            <w:gridSpan w:val="3"/>
          </w:tcPr>
          <w:p>
            <w:pPr>
              <w:jc w:val="right"/>
              <w:ind w:right="180"/>
              <w:spacing w:after="0" w:line="191" w:lineRule="exact"/>
              <w:rPr>
                <w:sz w:val="20"/>
                <w:szCs w:val="20"/>
                <w:color w:val="auto"/>
              </w:rPr>
            </w:pPr>
            <w:r>
              <w:rPr>
                <w:rFonts w:ascii="Times New Roman" w:cs="Times New Roman" w:eastAsia="Times New Roman" w:hAnsi="Times New Roman"/>
                <w:sz w:val="18"/>
                <w:szCs w:val="18"/>
                <w:color w:val="auto"/>
              </w:rPr>
              <w:t>September 25,</w:t>
            </w:r>
          </w:p>
        </w:tc>
        <w:tc>
          <w:tcPr>
            <w:tcW w:w="1440" w:type="dxa"/>
            <w:vAlign w:val="bottom"/>
          </w:tcPr>
          <w:p>
            <w:pPr>
              <w:spacing w:after="0"/>
              <w:rPr>
                <w:sz w:val="16"/>
                <w:szCs w:val="16"/>
                <w:color w:val="auto"/>
              </w:rPr>
            </w:pPr>
          </w:p>
        </w:tc>
        <w:tc>
          <w:tcPr>
            <w:tcW w:w="1240" w:type="dxa"/>
            <w:vAlign w:val="bottom"/>
            <w:gridSpan w:val="3"/>
          </w:tcPr>
          <w:p>
            <w:pPr>
              <w:ind w:left="40"/>
              <w:spacing w:after="0" w:line="191" w:lineRule="exact"/>
              <w:rPr>
                <w:sz w:val="20"/>
                <w:szCs w:val="20"/>
                <w:color w:val="auto"/>
              </w:rPr>
            </w:pPr>
            <w:r>
              <w:rPr>
                <w:rFonts w:ascii="Times New Roman" w:cs="Times New Roman" w:eastAsia="Times New Roman" w:hAnsi="Times New Roman"/>
                <w:sz w:val="18"/>
                <w:szCs w:val="18"/>
                <w:color w:val="auto"/>
              </w:rPr>
              <w:t>September 26,</w:t>
            </w:r>
          </w:p>
        </w:tc>
        <w:tc>
          <w:tcPr>
            <w:tcW w:w="120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34"/>
        </w:trPr>
        <w:tc>
          <w:tcPr>
            <w:tcW w:w="166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2026</w:t>
            </w:r>
          </w:p>
        </w:tc>
        <w:tc>
          <w:tcPr>
            <w:tcW w:w="140" w:type="dxa"/>
            <w:vAlign w:val="bottom"/>
          </w:tcPr>
          <w:p>
            <w:pPr>
              <w:spacing w:after="0"/>
              <w:rPr>
                <w:sz w:val="20"/>
                <w:szCs w:val="20"/>
                <w:color w:val="auto"/>
              </w:rPr>
            </w:pPr>
          </w:p>
        </w:tc>
        <w:tc>
          <w:tcPr>
            <w:tcW w:w="14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 of Net Sales</w:t>
            </w: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Pr>
          <w:p>
            <w:pPr>
              <w:spacing w:after="0"/>
              <w:rPr>
                <w:sz w:val="20"/>
                <w:szCs w:val="20"/>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of Net Sales</w:t>
            </w:r>
          </w:p>
        </w:tc>
      </w:tr>
      <w:tr>
        <w:trPr>
          <w:trHeight w:val="210"/>
        </w:trPr>
        <w:tc>
          <w:tcPr>
            <w:tcW w:w="5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88,745</w:t>
            </w:r>
          </w:p>
        </w:tc>
        <w:tc>
          <w:tcPr>
            <w:tcW w:w="14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79,996</w:t>
            </w:r>
          </w:p>
        </w:tc>
        <w:tc>
          <w:tcPr>
            <w:tcW w:w="12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63,319</w:t>
            </w: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57,062</w:t>
            </w: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0"/>
        </w:trPr>
        <w:tc>
          <w:tcPr>
            <w:tcW w:w="5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25,426</w:t>
            </w:r>
          </w:p>
        </w:tc>
        <w:tc>
          <w:tcPr>
            <w:tcW w:w="14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28.7%</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22,934</w:t>
            </w:r>
          </w:p>
        </w:tc>
        <w:tc>
          <w:tcPr>
            <w:tcW w:w="1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28.7%</w:t>
            </w:r>
          </w:p>
        </w:tc>
      </w:tr>
      <w:tr>
        <w:trPr>
          <w:trHeight w:val="216"/>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Marketing, engineering and administrative expenses</w:t>
            </w:r>
          </w:p>
        </w:tc>
        <w:tc>
          <w:tcPr>
            <w:tcW w:w="24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20,845</w:t>
            </w: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23.5%</w:t>
            </w:r>
          </w:p>
        </w:tc>
        <w:tc>
          <w:tcPr>
            <w:tcW w:w="24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20,699</w:t>
            </w: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25.9%</w:t>
            </w:r>
          </w:p>
        </w:tc>
      </w:tr>
      <w:tr>
        <w:trPr>
          <w:trHeight w:val="216"/>
        </w:trPr>
        <w:tc>
          <w:tcPr>
            <w:tcW w:w="5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Restructuring expense</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52</w:t>
            </w:r>
          </w:p>
        </w:tc>
        <w:tc>
          <w:tcPr>
            <w:tcW w:w="14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0.1%</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0.0%</w:t>
            </w:r>
          </w:p>
        </w:tc>
      </w:tr>
      <w:tr>
        <w:trPr>
          <w:trHeight w:val="216"/>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operating income</w:t>
            </w:r>
          </w:p>
        </w:tc>
        <w:tc>
          <w:tcPr>
            <w:tcW w:w="24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(47)</w:t>
            </w: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-0.1%</w:t>
            </w:r>
          </w:p>
        </w:tc>
        <w:tc>
          <w:tcPr>
            <w:tcW w:w="24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w:t>
            </w:r>
          </w:p>
        </w:tc>
      </w:tr>
      <w:tr>
        <w:trPr>
          <w:trHeight w:val="250"/>
        </w:trPr>
        <w:tc>
          <w:tcPr>
            <w:tcW w:w="59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4,576</w:t>
            </w: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5.2%</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2,235</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Comparison of the First Quarter of Fiscal 2027 with the First Quarter of Fiscal 2026</w:t>
      </w:r>
    </w:p>
    <w:p>
      <w:pPr>
        <w:spacing w:after="0" w:line="22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Net sales for the first quarter increased 10.9%, or $8.7 million, to $88.7 million from $80.0 million in fiscal 2026. The Company continues to see strong growth from the Veth product line, along with the initial impact of expanding military demand at the Katsa operation in Finland, improved oil and gas demand and generally strong market conditions across the global enterprise. Global sales of marine and propulsion products improved 14.4% from the prior year, largely on the strength of the Veth product demand. Sales of industrial products improved 35.3% from the prior year first quarter, with a significant contribution from demand for military applications at our Finnish operation. Shipments of off-highway transmission products decreased (14.7%) with reduced shipments of ARFF transmissions as we transition assembly to our Lufkin facility. The North American region, saw a significant decrease in revenue ($3.1 million or 11.8%) as the current tariff structure continues to hamper shipments into the region. Sales into the North American region represented 26.3% of total revenue compared to 33.1% in the prior year first quarter. Sales into Europe increased 31.4%, or $9.8 million, on growing demand for the Veth and Katsa product lines. With this growth, Europe represented 46.4% of total revenue for the quarter compared to 39.1% in the prior year. The Asia Pacific region increased 26.2%, or $3.8 million, on stronger commercial marine demand and improved shipments of oilfield transmissions into China. With this improvement, Asia Pacific represented 20.4% of fiscal first quarter revenue compared to 17.9% in the first quarter of fiscal 2026. Currency translation had an unfavorable impact on fiscal 2027 sales compared to the prior year totaling $0.7 million, primarily due to the weakening of the euro against the U.S. dollar.</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5" w:right="339" w:bottom="1440" w:gutter="0" w:footer="0" w:header="0"/>
        </w:sectPr>
      </w:pPr>
    </w:p>
    <w:bookmarkStart w:id="23" w:name="page24"/>
    <w:bookmarkEnd w:id="23"/>
    <w:p>
      <w:pPr>
        <w:spacing w:after="0" w:line="253" w:lineRule="auto"/>
        <w:rPr>
          <w:sz w:val="20"/>
          <w:szCs w:val="20"/>
          <w:color w:val="auto"/>
        </w:rPr>
      </w:pPr>
      <w:r>
        <w:rPr>
          <w:rFonts w:ascii="Times New Roman" w:cs="Times New Roman" w:eastAsia="Times New Roman" w:hAnsi="Times New Roman"/>
          <w:sz w:val="18"/>
          <w:szCs w:val="18"/>
          <w:color w:val="auto"/>
        </w:rPr>
        <w:t>Sales for our manufacturing segment increased 8.4%, or $6.2 million, versus the same period last year. The Company’s Veth propulsion operation in the Netherlands experienced a 17.5% increase in sales compared to fiscal 2026, continuing a strong growth trend. The primary driver for this increase remains growing demand through market and geographic penetration for the Company’s innovative propulsion solutions around the globe, along with improving supply chain and operational performance. The Company’s Katsa operation in Finland experienced an increase of 31.9%, with acceleration in demand from European military applications. The Company’s domestic manufacturing operation had essentially flat revenue compared to the prior year first quarter, as improved oil and gas demand was offset by reduced ARFF shipments. The Company’s Italian manufacturing operations reported a 6.7% decrease in sales from fiscal 2026 reflecting a difficult European market for its marine and propulsion products. The Company’s Belgian manufacturing operation was essentially flat with the prior year first quarter, with shipments into the US still hampered by the existing tariff structure. The Company’s Swiss manufacturing operation, which supplies customized propellers for the global mega yacht and patrol boat markets, experienced a 15.0% decrease in sales compared to the first quarter of fiscal 2026, primarily due shipment timing on some larger propulsion projects.</w:t>
      </w:r>
    </w:p>
    <w:p>
      <w:pPr>
        <w:spacing w:after="0" w:line="194"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Sales for our distribution segment were up 23.3%, or $5.1 million, compared to fiscal 2026. The Company’s Asian distribution operations in Singapore, China and Japan experienced a 32.5% increase in sales on improved demand for energy related products in China and strong commercial marine activity in the region. The Company’s North American distribution operation reported a 23.8% increase compared to the prior year on a catch-up in tariff delayed demand. The Company’s European distribution operation was up 15.1% from the prior year, driven by improving European demand. The Company’s distribution operation in Australia and New Zealand, which provides boat accessories, propulsion and marine transmission systems for the pleasure craft market, saw a 14.7% increase in revenue on improving demand for pleasure craft products in the region.</w:t>
      </w:r>
    </w:p>
    <w:p>
      <w:pPr>
        <w:spacing w:after="0" w:line="187"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Gross profit for the first quarter of fiscal 2027 improved $2.5 million, or 10.9%, to $25.4 million on a sales increase of $8.7 million. Gross profit as a percentage of sales remained level with the prior year first quarter at 28.7%. Margin for the quarter was favorably impacted by the additional sales volume (approximately $3.5 million). This positive movement was partially offset by a less favorable mix of products ($1.0 million), along with the incremental impact of tariff dilution.</w:t>
      </w:r>
    </w:p>
    <w:p>
      <w:pPr>
        <w:spacing w:after="0" w:line="18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Marketing, engineering, and administrative (ME&amp;A) expenses of $20.8 million were up just $0.1 million, or 0.7%, in the first quarter of fiscal 2027 compared to the prior fiscal year. As a percentage of sales, ME&amp;A expenses decreased to 23.5% of sales versus 25.9% of sales in the first quarter of fiscal 2026. The small increase in ME&amp;A spending in fiscal 2027 compared to the prior year first quarter was primarily driven by an inflationary impact to wages and benefits nearly offset by active and aggressive spending controls.</w:t>
      </w:r>
    </w:p>
    <w:p>
      <w:pPr>
        <w:spacing w:after="0" w:line="180"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Interest expense of $0.4 million for the fiscal 2027 first quarter was $0.4 million lower than fiscal 2026 due to a reduced average balance and a lower average interest rate.</w:t>
      </w:r>
    </w:p>
    <w:p>
      <w:pPr>
        <w:spacing w:after="0" w:line="162"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In the fiscal 2027 first quarter, other expense, net, of $0.2 million decreased by $0.6 million from the prior fiscal year first quarter other expense, net, of $0.9 million. This change is primarily due to a decrease in defined benefit pension amortization ($0.6 million).</w:t>
      </w:r>
    </w:p>
    <w:p>
      <w:pPr>
        <w:spacing w:after="0" w:line="162"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The fiscal 2027 first quarter effective tax rate was 10.6% compared to 172.2% in the prior fiscal year first quarter. The full domestic valuation allowance in the comparable prior year first quarter contributed to a very volatile effective tax rate. This, along with the mix of foreign earnings by jurisdiction, resulted in the change to the effective tax rate.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Financial Condition, Liquidity and Capital Resources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Comparison between September 25, 2026 and June 30, 2026</w:t>
      </w:r>
    </w:p>
    <w:p>
      <w:pPr>
        <w:spacing w:after="0" w:line="225"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As of September 25, 2026, the Company had net working capital of $165.9 million, which represents an increase of $6.2 million, or 3.9%, from the net working capital of $159.6 million as of June 30, 2026.</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24" w:name="page25"/>
    <w:bookmarkEnd w:id="24"/>
    <w:p>
      <w:pPr>
        <w:ind w:right="140"/>
        <w:spacing w:after="0" w:line="266" w:lineRule="auto"/>
        <w:rPr>
          <w:sz w:val="20"/>
          <w:szCs w:val="20"/>
          <w:color w:val="auto"/>
        </w:rPr>
      </w:pPr>
      <w:r>
        <w:rPr>
          <w:rFonts w:ascii="Times New Roman" w:cs="Times New Roman" w:eastAsia="Times New Roman" w:hAnsi="Times New Roman"/>
          <w:sz w:val="18"/>
          <w:szCs w:val="18"/>
          <w:color w:val="auto"/>
        </w:rPr>
        <w:t>Cash of $26.7 million as of September 25, 2026 was up $10.7 million from June 30, 2026. As of September 25, 2026, the majority of the cash was at the Company’s overseas operations in Europe ($5.3 million) and Asia-Pacific ($12.0 million). The remaining domestic balance of approximately $9.0 million reflects short term funds driven by timing of payments on the Company’s credit facility.</w:t>
      </w:r>
    </w:p>
    <w:p>
      <w:pPr>
        <w:spacing w:after="0" w:line="17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Trade receivables of $55.0 million were down $11.8 million, or 17.7%, when compared to last fiscal year-end. The impact of foreign currency translation was essentially neutral versus June 30, 2026. As a percent of sales, trade receivables finished at 61.9% in the first quarter of fiscal 2027 compared to 79.9% for the comparable period in fiscal 2026 and 58.4% for the fourth quarter of fiscal 2026.</w:t>
      </w:r>
    </w:p>
    <w:p>
      <w:pPr>
        <w:spacing w:after="0" w:line="176" w:lineRule="exact"/>
        <w:rPr>
          <w:sz w:val="20"/>
          <w:szCs w:val="20"/>
          <w:color w:val="auto"/>
        </w:rPr>
      </w:pPr>
    </w:p>
    <w:p>
      <w:pPr>
        <w:ind w:right="280"/>
        <w:spacing w:after="0" w:line="255" w:lineRule="auto"/>
        <w:rPr>
          <w:sz w:val="20"/>
          <w:szCs w:val="20"/>
          <w:color w:val="auto"/>
        </w:rPr>
      </w:pPr>
      <w:r>
        <w:rPr>
          <w:rFonts w:ascii="Times New Roman" w:cs="Times New Roman" w:eastAsia="Times New Roman" w:hAnsi="Times New Roman"/>
          <w:sz w:val="18"/>
          <w:szCs w:val="18"/>
          <w:color w:val="auto"/>
        </w:rPr>
        <w:t>Inventories increased by $1.0 million, or 0.5%, versus June 30, 2026 to $178.9 million. The impact of foreign currency translation was to increase inventories by $0.2 million versus June 30, 2026. The largest increase came at our distribution entity in Singapore, a $2.6 million increase, related to the timing of oilfield transmissions into China. Our operations in Finland and Belgium saw a $1.1 million and $1.2 million increase, respectively, driven by growing demand for product in the defense and commercial marine markets. Our operation in the Netherlands saw a $2.7 million decrease due to the shipments of large projects. On a consolidated basis, as of September 25, 2026, the Company’s backlog of orders to be shipped over the next six months approximates $190.6 million, compared to $178.3 million at June 30, 2026 and $163.3 million at September 26, 2025. As a percentage of six-month backlog, inventory has decreased from 99% at June 30, 2026 to 94% at September 25, 2026.</w:t>
      </w:r>
    </w:p>
    <w:p>
      <w:pPr>
        <w:spacing w:after="0" w:line="18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Net property, plant and equipment increased $2.5 million (3.7%) to $70.6 million versus $68.1 million at June 30, 2026. The Company had capital spending of $5.5 million in the quarter. This increase was offset by depreciation of $2.7 million, along with some disposal activity. Capital spending occurring in the first quarter was primarily related to replacement capital, along with capital to drive growth and operating efficiencies. In total, the Company expects to invest between $20 and $25 million in capital assets in fiscal 2027. The Company continues to review its capital plans based on overall market conditions and availability of capital and may make changes to its capital plans accordingly. The Company’s capital program is focused on modernizing key core manufacturing, assembly and testing processes and improving efficiencies at its facilities around the world.</w:t>
      </w:r>
    </w:p>
    <w:p>
      <w:pPr>
        <w:spacing w:after="0" w:line="187"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Accounts payable as of September 25, 2026 of $30.5 million was down $0.3 million, or 1.0%, from June 30, 2026. The decrease is primarily related to the normal timing of inventory receipts and payments within the quarter.</w:t>
      </w:r>
    </w:p>
    <w:p>
      <w:pPr>
        <w:spacing w:after="0" w:line="162"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Total borrowings and long-term debt as of September 25, 2026 increased $10.0 million to $39.8 million versus $29.8 million at June 30, 2026. During the first quarter, the Company reported positive free cash flow of $5.6 million (defined as operating cash flow less acquisitions of fixed assets), driven by favorable working capital movement related primarily to inventory, timing of trade receivable receipts and capital spending. The Company ended the quarter with total debt, net of cash, of $13.1 million, compared to $13.8 million at June 30, 2026, for a net improvement of $0.7 million.</w:t>
      </w:r>
    </w:p>
    <w:p>
      <w:pPr>
        <w:spacing w:after="0" w:line="180"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Total equity increased $0.4 million to $220.3 million as of September 25, 2026. The net income during the first quarter increased equity by $3.5 million, partially offset by an unfavorable foreign currency translation of $0.2 million. The net change in common stock and treasury stock resulting from the accounting for stock-based compensation decreased equity by $2.2 million. The quarterly dividend decreased equity by $0.7 million.</w:t>
      </w:r>
    </w:p>
    <w:p>
      <w:pPr>
        <w:spacing w:after="0" w:line="17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On June 30, 2026, Twin Disc, Incorporated (the “Company”) entered into a Credit Agreement (the “Credit Agreement”) among the Company, as Borrower; Kobelt Manufacturing Co. Ltd. ("Kobelt"), as Guarantor; Bank of Montreal, as a Lender, Administrative Agent, Swing Line Lender, and L/C Issuer; and JPMorgan Chase Bank, N.A. ("Chase"), as a Lender. The Credit Agreement refinanced and replaced the credit agreement dated February 14, 2025 among the Company, Kobelt, and Bank of Montreal. Capitalized terms that are not otherwise defined herein are defined in the Credit Agreement.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the Credit Agreement, Bank of Montreal and Chase (the “Lenders”) made Term Loans to the Company in an aggregate principal amount of</w:t>
      </w:r>
    </w:p>
    <w:p>
      <w:pPr>
        <w:spacing w:after="0" w:line="27"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$30.0 million. The maturity date of the Term Loans is June 30, 2031, and the Company is required to make principal installments on the Term Loans of at least $0.4 million per quarter (increasing to $0.6 million per quarter for the quarter ending on or about September 30, 2028, and $0.8 million per quarter for the quarter ending on or about September 30, 2030).</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5" w:name="page26"/>
    <w:bookmarkEnd w:id="25"/>
    <w:p>
      <w:pPr>
        <w:ind w:right="120"/>
        <w:spacing w:after="0" w:line="258" w:lineRule="auto"/>
        <w:rPr>
          <w:sz w:val="20"/>
          <w:szCs w:val="20"/>
          <w:color w:val="auto"/>
        </w:rPr>
      </w:pPr>
      <w:r>
        <w:rPr>
          <w:rFonts w:ascii="Times New Roman" w:cs="Times New Roman" w:eastAsia="Times New Roman" w:hAnsi="Times New Roman"/>
          <w:sz w:val="18"/>
          <w:szCs w:val="18"/>
          <w:color w:val="auto"/>
        </w:rPr>
        <w:t>The Credit Agreement also allows the Company to enter into Revolving Loans with the Lenders from time to time prior to June 30, 2031 (the “Revolving Credit Termination Date”) in amounts not to exceed $60.0 million (the “Revolving Credit Commitment”). The Revolving Credit Commitment includes a $5.0 million sublimit for Swing Loans and a $4.0 million sublimit for Letters of Credit that may be requested by the Company from time to time until the Revolving Credit Termination Date. Each Swing Loan or Letter of Credit provided pursuant to the terms of the Credit Agreement shall be a Revolving Loan provided under the Revolving Credit Commitment.</w:t>
      </w:r>
    </w:p>
    <w:p>
      <w:pPr>
        <w:spacing w:after="0" w:line="18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Interest rates under the Credit Agreement are based on the secured overnight financing rate (“SOFR”), the euro interbank offered rate (the “EURIBO Rate”), the Canadian Overnight Repo Rate Average (the “CORRA”), or a Base Rate based on the highest of the prime rate, federal funds rate, or Term SOFR. Loans under the Credit Agreement are designated as either as SOFR Loans, which accrue interest at a Term SOFR plus an Applicable Margin; Base Rate Loans, which accrue interest at the Base Rate plus an Applicable Margin; Eurodollar Loans, which accrue interest at the EURIBO Rate plus an Applicable Margin; Term CORRA Loans, which accrue interest at an Adjusted Term CORRA plus an Applicable Margin; Daily Compounded CORRA Loans, which accrue interest at a Daily Compounded CORRA plus an Applicable Margin; or Canadian Prime Rate Loans, which accrue interest at the Canadian Prime Rate plus an Applicable Margin. The Applicable Margin for Loans is between 1.50% and 3.00%, and the Applicable Margin for the Unused Revolving Credit Commitment is between 0.15% and 0.30% (each depending on the Company’s Total Funded Debt to EBITDA ratio). The Term Loan has been designated as a SOFR Loan.</w:t>
      </w:r>
    </w:p>
    <w:p>
      <w:pPr>
        <w:spacing w:after="0" w:line="18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Borrowings under the Credit Agreement are secured by substantially all of the Company’s and Kobelt’s personal property, including accounts receivable, inventory, machinery and equipment, and intellectual property. The Company has also pledged 65% of its equity interests in certain foreign subsidiaries. To effect these security interests, the Company entered into an Amended and Restated Security Agreement, Amended and Restated IP Security Agreement, Amended and Restated Pledge Agreement, and Amended and Restated Perfection Certificate with the Administrative Agent, and the Company has entered into an Amended Restated Agreement as to Liens and Encumbrances and an Amended and Restated Negative Pledge Agreement with the Administrative Agent with regard to the Company’s real property.</w:t>
      </w:r>
    </w:p>
    <w:p>
      <w:pPr>
        <w:spacing w:after="0" w:line="187"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Upon the occurrence of an Event of Default, the Administrative Agent may take the following actions upon written notice to the Company: (1) terminate the remaining Commitments and all obligations of the Lenders under the Credit Agreement; (2) declare the principal and accrued interest of all Loans outstanding under the Credit Agreement to be immediately due and payable; and (3) demand the Company to immediately Cash Collateralize the outstanding L/C Obligations in an amount equal to 105% of the aggregate L/C Obligations. If such Event of Default is due to the Company’s bankruptcy, the actions and obligations listed above shall occur without notice to the Company.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remains in compliance with its liquidity and other covenants under the Credit Agreement.</w:t>
      </w:r>
    </w:p>
    <w:p>
      <w:pPr>
        <w:spacing w:after="0" w:line="225"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Management believes that available cash, the Credit Agreement, the unsecured lines of credit, cash generated from future operations, and potential access to debt markets will be adequate to fund the Company's cash and capital requirements for the foreseeable future.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Contractual Obligations</w:t>
      </w:r>
    </w:p>
    <w:p>
      <w:pPr>
        <w:spacing w:after="0" w:line="22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Other significant contractual obligations as of September 25, 2026 are disclosed in Note N "Lease Liabilities" in the Notes to Condensed Consolidated Financial Statements in Part I, Item 1 of this Quarterly Report on Form 10-Q. There are no material undisclosed guarantees. As of September 25, 2026, the Company had no additional material purchase obligations other than those created in the ordinary course of business related to inventory and property, plant, and equipment, which generally have terms of less than 90 days. The Company has long-term obligations related to its postretirement plans which are discussed in detail in Note H "Pension and Other Postretirement Benefit Plans” in the Notes to Condensed Consolidated Financial Statements in Part I, Item 1of this Quarterly Report on Form 10-Q. Postretirement medical claims are paid by the Company as they are submitted. In fiscal 2027, the Company expects to contribute $0.6 million to postretirement benefits based on actuarial estimates; however, these amounts can vary significantly from year to year because the Company is self-insured. In fiscal 2027, the Company expects to contribute $2.0 million to its defined benefit pension plans. The Company does not have any material off-balance sheet arrangements.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New Accounting Releases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A, Basis of Presentation, to the condensed consolidated financial statements for a discussion of recently issued accounting standards.</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80" w:right="37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i w:val="1"/>
          <w:iCs w:val="1"/>
          <w:u w:val="single" w:color="auto"/>
          <w:color w:val="auto"/>
        </w:rPr>
        <w:t>Critical Accounting Policies</w:t>
      </w:r>
    </w:p>
    <w:p>
      <w:pPr>
        <w:spacing w:after="0" w:line="22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preparation of this Quarterly Report requires management’s judgment to make estimates and assumptions that affect the reported amounts of assets and liabilities, disclosure of contingent assets and liabilities at the dates of the financial statements, and the reported amounts of revenues and expenses during the reporting period. There can be no assurance that actual results will not differ from those estimates.</w:t>
      </w:r>
    </w:p>
    <w:p>
      <w:pPr>
        <w:spacing w:after="0" w:line="176"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Company’s critical accounting policies are described in Item 7 of the Company’s Annual Report filed on Form 10-K for June 30, 2026. There have been no significant changes to those accounting policies subsequent to June 30, 2026.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 electing not to provide this disclosure due to its status as a Smaller Reporting Company.</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7" w:lineRule="exact"/>
        <w:rPr>
          <w:sz w:val="20"/>
          <w:szCs w:val="20"/>
          <w:color w:val="auto"/>
        </w:rPr>
      </w:pPr>
    </w:p>
    <w:p>
      <w:pPr>
        <w:ind w:left="660" w:hanging="652"/>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22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Company’s management, with the participation of the Company’s Chief Executive Officer and Chief Financial Officer, has evaluated the effectiveness of the Company’s disclosure controls and procedures (as such term is defined in Rules 13a-15(e) and 15d-15(e) under the Securities Exchange Act of 1934, as amended (“the Exchange Act”)) as of the end of the period covered by this report. Based on such evaluation, the Company’s Chief Executive Officer and Chief Financial Officer have concluded that, as of the end of such period, the Company’s disclosure controls and procedures are effective in recording, processing, summarizing, and reporting, on a timely basis, information required to be disclosed by the Company in the reports that it files or submits under the Exchange Act, and that such information is accumulated and communicated to the Chief Executive Officer and Chief Financial Officer, as appropriate, to allow timely discussions regarding required disclosure.</w:t>
      </w:r>
    </w:p>
    <w:p>
      <w:pPr>
        <w:spacing w:after="0" w:line="187" w:lineRule="exact"/>
        <w:rPr>
          <w:sz w:val="20"/>
          <w:szCs w:val="20"/>
          <w:color w:val="auto"/>
        </w:rPr>
      </w:pPr>
    </w:p>
    <w:p>
      <w:pPr>
        <w:ind w:left="660" w:hanging="652"/>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227"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Management of the Company is responsible for establishing and maintaining adequate internal control over financial reporting, as such term is defined in Exchange Act Rules 13a-15(f) and 15d-15(f). During the most recent fiscal quarter, no changes were made which have materially affected, or which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Part II.</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Company is a defendant in several product liability or related claims which are considered either adequately covered by appropriate liability insurance or involving amounts not deemed material to the business or financial condition of the Company.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material changes to the risk factors previously disclosed in Part I, Item 1A, “Risk Factors,” of our 2026 Annual Report on Form 10-K.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7" w:lineRule="exact"/>
        <w:rPr>
          <w:sz w:val="20"/>
          <w:szCs w:val="20"/>
          <w:color w:val="auto"/>
        </w:rPr>
      </w:pPr>
    </w:p>
    <w:p>
      <w:pPr>
        <w:ind w:left="340" w:hanging="332"/>
        <w:spacing w:after="0"/>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Unregistered Sales of Equity Securities</w:t>
      </w:r>
    </w:p>
    <w:p>
      <w:pPr>
        <w:spacing w:after="0" w:line="227"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There were no securities of the Company sold by the Company during the quarter ended September 25, 2026 that were not registered under the Securities Act of 1933 in reliance upon an exemption from registration provided by Section 4(a)(2) of the Act.</w:t>
      </w:r>
    </w:p>
    <w:p>
      <w:pPr>
        <w:spacing w:after="0" w:line="160" w:lineRule="exact"/>
        <w:rPr>
          <w:sz w:val="20"/>
          <w:szCs w:val="20"/>
          <w:color w:val="auto"/>
        </w:rPr>
      </w:pPr>
    </w:p>
    <w:p>
      <w:pPr>
        <w:ind w:left="340" w:hanging="332"/>
        <w:spacing w:after="0"/>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Use of Proceeds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78" w:right="359" w:bottom="1440" w:gutter="0" w:footer="0" w:header="0"/>
        </w:sectPr>
      </w:pPr>
    </w:p>
    <w:bookmarkStart w:id="27" w:name="page28"/>
    <w:bookmarkEnd w:id="27"/>
    <w:p>
      <w:pPr>
        <w:ind w:left="340" w:hanging="332"/>
        <w:spacing w:after="0"/>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Issuer Purchases of Equity Securities</w:t>
      </w:r>
    </w:p>
    <w:p>
      <w:pPr>
        <w:spacing w:after="0" w:line="227" w:lineRule="exact"/>
        <w:rPr>
          <w:sz w:val="20"/>
          <w:szCs w:val="20"/>
          <w:color w:val="auto"/>
        </w:rPr>
      </w:pPr>
    </w:p>
    <w:tbl>
      <w:tblPr>
        <w:tblLayout w:type="fixed"/>
        <w:tblInd w:w="10" w:type="dxa"/>
        <w:tblCellMar>
          <w:top w:w="0" w:type="dxa"/>
          <w:left w:w="0" w:type="dxa"/>
          <w:bottom w:w="0" w:type="dxa"/>
          <w:right w:w="0" w:type="dxa"/>
        </w:tblCellMar>
      </w:tblPr>
      <w:tr>
        <w:trPr>
          <w:trHeight w:val="234"/>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Issuer Purchases of Equity Securities</w:t>
            </w:r>
          </w:p>
        </w:tc>
        <w:tc>
          <w:tcPr>
            <w:tcW w:w="1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39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3980" w:type="dxa"/>
            <w:vAlign w:val="bottom"/>
            <w:tcBorders>
              <w:left w:val="single" w:sz="8" w:color="auto"/>
              <w:right w:val="single" w:sz="8" w:color="auto"/>
            </w:tcBorders>
          </w:tcPr>
          <w:p>
            <w:pPr>
              <w:spacing w:after="0"/>
              <w:rPr>
                <w:sz w:val="18"/>
                <w:szCs w:val="18"/>
                <w:color w:val="auto"/>
              </w:rPr>
            </w:pPr>
          </w:p>
        </w:tc>
        <w:tc>
          <w:tcPr>
            <w:tcW w:w="13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(a) Total</w:t>
            </w:r>
          </w:p>
        </w:tc>
        <w:tc>
          <w:tcPr>
            <w:tcW w:w="12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(b)</w:t>
            </w:r>
          </w:p>
        </w:tc>
        <w:tc>
          <w:tcPr>
            <w:tcW w:w="2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 Total Number of</w:t>
            </w:r>
          </w:p>
        </w:tc>
        <w:tc>
          <w:tcPr>
            <w:tcW w:w="2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(d) Maximum Number of</w:t>
            </w:r>
          </w:p>
        </w:tc>
        <w:tc>
          <w:tcPr>
            <w:tcW w:w="0" w:type="dxa"/>
            <w:vAlign w:val="bottom"/>
          </w:tcPr>
          <w:p>
            <w:pPr>
              <w:spacing w:after="0"/>
              <w:rPr>
                <w:sz w:val="1"/>
                <w:szCs w:val="1"/>
                <w:color w:val="auto"/>
              </w:rPr>
            </w:pPr>
          </w:p>
        </w:tc>
      </w:tr>
      <w:tr>
        <w:trPr>
          <w:trHeight w:val="108"/>
        </w:trPr>
        <w:tc>
          <w:tcPr>
            <w:tcW w:w="3980" w:type="dxa"/>
            <w:vAlign w:val="bottom"/>
            <w:tcBorders>
              <w:left w:val="single" w:sz="8" w:color="auto"/>
              <w:right w:val="single" w:sz="8" w:color="auto"/>
            </w:tcBorders>
          </w:tcPr>
          <w:p>
            <w:pPr>
              <w:spacing w:after="0"/>
              <w:rPr>
                <w:sz w:val="9"/>
                <w:szCs w:val="9"/>
                <w:color w:val="auto"/>
              </w:rPr>
            </w:pPr>
          </w:p>
        </w:tc>
        <w:tc>
          <w:tcPr>
            <w:tcW w:w="1340" w:type="dxa"/>
            <w:vAlign w:val="bottom"/>
            <w:tcBorders>
              <w:right w:val="single" w:sz="8" w:color="auto"/>
            </w:tcBorders>
            <w:vMerge w:val="continue"/>
          </w:tcPr>
          <w:p>
            <w:pPr>
              <w:spacing w:after="0"/>
              <w:rPr>
                <w:sz w:val="9"/>
                <w:szCs w:val="9"/>
                <w:color w:val="auto"/>
              </w:rPr>
            </w:pPr>
          </w:p>
        </w:tc>
        <w:tc>
          <w:tcPr>
            <w:tcW w:w="1240" w:type="dxa"/>
            <w:vAlign w:val="bottom"/>
            <w:tcBorders>
              <w:right w:val="single" w:sz="8" w:color="auto"/>
            </w:tcBorders>
            <w:vMerge w:val="continue"/>
          </w:tcPr>
          <w:p>
            <w:pPr>
              <w:spacing w:after="0"/>
              <w:rPr>
                <w:sz w:val="9"/>
                <w:szCs w:val="9"/>
                <w:color w:val="auto"/>
              </w:rPr>
            </w:pPr>
          </w:p>
        </w:tc>
        <w:tc>
          <w:tcPr>
            <w:tcW w:w="20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Shares Purchased as</w:t>
            </w:r>
          </w:p>
        </w:tc>
        <w:tc>
          <w:tcPr>
            <w:tcW w:w="26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980" w:type="dxa"/>
            <w:vAlign w:val="bottom"/>
            <w:tcBorders>
              <w:left w:val="single" w:sz="8" w:color="auto"/>
              <w:right w:val="single" w:sz="8" w:color="auto"/>
            </w:tcBorders>
          </w:tcPr>
          <w:p>
            <w:pPr>
              <w:spacing w:after="0"/>
              <w:rPr>
                <w:sz w:val="9"/>
                <w:szCs w:val="9"/>
                <w:color w:val="auto"/>
              </w:rPr>
            </w:pPr>
          </w:p>
        </w:tc>
        <w:tc>
          <w:tcPr>
            <w:tcW w:w="13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12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Average</w:t>
            </w:r>
          </w:p>
        </w:tc>
        <w:tc>
          <w:tcPr>
            <w:tcW w:w="2000" w:type="dxa"/>
            <w:vAlign w:val="bottom"/>
            <w:tcBorders>
              <w:right w:val="single" w:sz="8" w:color="auto"/>
            </w:tcBorders>
            <w:vMerge w:val="continue"/>
          </w:tcPr>
          <w:p>
            <w:pPr>
              <w:spacing w:after="0"/>
              <w:rPr>
                <w:sz w:val="9"/>
                <w:szCs w:val="9"/>
                <w:color w:val="auto"/>
              </w:rPr>
            </w:pPr>
          </w:p>
        </w:tc>
        <w:tc>
          <w:tcPr>
            <w:tcW w:w="2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Shares that May Yet Be</w:t>
            </w:r>
          </w:p>
        </w:tc>
        <w:tc>
          <w:tcPr>
            <w:tcW w:w="0" w:type="dxa"/>
            <w:vAlign w:val="bottom"/>
          </w:tcPr>
          <w:p>
            <w:pPr>
              <w:spacing w:after="0"/>
              <w:rPr>
                <w:sz w:val="1"/>
                <w:szCs w:val="1"/>
                <w:color w:val="auto"/>
              </w:rPr>
            </w:pPr>
          </w:p>
        </w:tc>
      </w:tr>
      <w:tr>
        <w:trPr>
          <w:trHeight w:val="108"/>
        </w:trPr>
        <w:tc>
          <w:tcPr>
            <w:tcW w:w="3980" w:type="dxa"/>
            <w:vAlign w:val="bottom"/>
            <w:tcBorders>
              <w:left w:val="single" w:sz="8" w:color="auto"/>
              <w:right w:val="single" w:sz="8" w:color="auto"/>
            </w:tcBorders>
            <w:vMerge w:val="restart"/>
          </w:tcPr>
          <w:p>
            <w:pPr>
              <w:ind w:left="1740"/>
              <w:spacing w:after="0"/>
              <w:rPr>
                <w:sz w:val="20"/>
                <w:szCs w:val="20"/>
                <w:color w:val="auto"/>
              </w:rPr>
            </w:pPr>
            <w:r>
              <w:rPr>
                <w:rFonts w:ascii="Times New Roman" w:cs="Times New Roman" w:eastAsia="Times New Roman" w:hAnsi="Times New Roman"/>
                <w:sz w:val="18"/>
                <w:szCs w:val="18"/>
                <w:color w:val="auto"/>
              </w:rPr>
              <w:t>Period</w:t>
            </w:r>
          </w:p>
        </w:tc>
        <w:tc>
          <w:tcPr>
            <w:tcW w:w="1340" w:type="dxa"/>
            <w:vAlign w:val="bottom"/>
            <w:tcBorders>
              <w:right w:val="single" w:sz="8" w:color="auto"/>
            </w:tcBorders>
            <w:vMerge w:val="continue"/>
          </w:tcPr>
          <w:p>
            <w:pPr>
              <w:spacing w:after="0"/>
              <w:rPr>
                <w:sz w:val="9"/>
                <w:szCs w:val="9"/>
                <w:color w:val="auto"/>
              </w:rPr>
            </w:pPr>
          </w:p>
        </w:tc>
        <w:tc>
          <w:tcPr>
            <w:tcW w:w="1240" w:type="dxa"/>
            <w:vAlign w:val="bottom"/>
            <w:tcBorders>
              <w:right w:val="single" w:sz="8" w:color="auto"/>
            </w:tcBorders>
            <w:vMerge w:val="continue"/>
          </w:tcPr>
          <w:p>
            <w:pPr>
              <w:spacing w:after="0"/>
              <w:rPr>
                <w:sz w:val="9"/>
                <w:szCs w:val="9"/>
                <w:color w:val="auto"/>
              </w:rPr>
            </w:pPr>
          </w:p>
        </w:tc>
        <w:tc>
          <w:tcPr>
            <w:tcW w:w="20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Part of Publicly</w:t>
            </w:r>
          </w:p>
        </w:tc>
        <w:tc>
          <w:tcPr>
            <w:tcW w:w="26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980" w:type="dxa"/>
            <w:vAlign w:val="bottom"/>
            <w:tcBorders>
              <w:left w:val="single" w:sz="8" w:color="auto"/>
              <w:right w:val="single" w:sz="8" w:color="auto"/>
            </w:tcBorders>
            <w:vMerge w:val="continue"/>
          </w:tcPr>
          <w:p>
            <w:pPr>
              <w:spacing w:after="0"/>
              <w:rPr>
                <w:sz w:val="9"/>
                <w:szCs w:val="9"/>
                <w:color w:val="auto"/>
              </w:rPr>
            </w:pPr>
          </w:p>
        </w:tc>
        <w:tc>
          <w:tcPr>
            <w:tcW w:w="13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Shares</w:t>
            </w:r>
          </w:p>
        </w:tc>
        <w:tc>
          <w:tcPr>
            <w:tcW w:w="12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Price Paid</w:t>
            </w:r>
          </w:p>
        </w:tc>
        <w:tc>
          <w:tcPr>
            <w:tcW w:w="2000" w:type="dxa"/>
            <w:vAlign w:val="bottom"/>
            <w:tcBorders>
              <w:right w:val="single" w:sz="8" w:color="auto"/>
            </w:tcBorders>
            <w:vMerge w:val="continue"/>
          </w:tcPr>
          <w:p>
            <w:pPr>
              <w:spacing w:after="0"/>
              <w:rPr>
                <w:sz w:val="9"/>
                <w:szCs w:val="9"/>
                <w:color w:val="auto"/>
              </w:rPr>
            </w:pPr>
          </w:p>
        </w:tc>
        <w:tc>
          <w:tcPr>
            <w:tcW w:w="2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Purchased Under the Plans or</w:t>
            </w:r>
          </w:p>
        </w:tc>
        <w:tc>
          <w:tcPr>
            <w:tcW w:w="0" w:type="dxa"/>
            <w:vAlign w:val="bottom"/>
          </w:tcPr>
          <w:p>
            <w:pPr>
              <w:spacing w:after="0"/>
              <w:rPr>
                <w:sz w:val="1"/>
                <w:szCs w:val="1"/>
                <w:color w:val="auto"/>
              </w:rPr>
            </w:pPr>
          </w:p>
        </w:tc>
      </w:tr>
      <w:tr>
        <w:trPr>
          <w:trHeight w:val="108"/>
        </w:trPr>
        <w:tc>
          <w:tcPr>
            <w:tcW w:w="3980" w:type="dxa"/>
            <w:vAlign w:val="bottom"/>
            <w:tcBorders>
              <w:left w:val="single" w:sz="8" w:color="auto"/>
              <w:right w:val="single" w:sz="8" w:color="auto"/>
            </w:tcBorders>
          </w:tcPr>
          <w:p>
            <w:pPr>
              <w:spacing w:after="0"/>
              <w:rPr>
                <w:sz w:val="9"/>
                <w:szCs w:val="9"/>
                <w:color w:val="auto"/>
              </w:rPr>
            </w:pPr>
          </w:p>
        </w:tc>
        <w:tc>
          <w:tcPr>
            <w:tcW w:w="1340" w:type="dxa"/>
            <w:vAlign w:val="bottom"/>
            <w:tcBorders>
              <w:right w:val="single" w:sz="8" w:color="auto"/>
            </w:tcBorders>
            <w:vMerge w:val="continue"/>
          </w:tcPr>
          <w:p>
            <w:pPr>
              <w:spacing w:after="0"/>
              <w:rPr>
                <w:sz w:val="9"/>
                <w:szCs w:val="9"/>
                <w:color w:val="auto"/>
              </w:rPr>
            </w:pPr>
          </w:p>
        </w:tc>
        <w:tc>
          <w:tcPr>
            <w:tcW w:w="1240" w:type="dxa"/>
            <w:vAlign w:val="bottom"/>
            <w:tcBorders>
              <w:right w:val="single" w:sz="8" w:color="auto"/>
            </w:tcBorders>
            <w:vMerge w:val="continue"/>
          </w:tcPr>
          <w:p>
            <w:pPr>
              <w:spacing w:after="0"/>
              <w:rPr>
                <w:sz w:val="9"/>
                <w:szCs w:val="9"/>
                <w:color w:val="auto"/>
              </w:rPr>
            </w:pPr>
          </w:p>
        </w:tc>
        <w:tc>
          <w:tcPr>
            <w:tcW w:w="20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Announced Plans or</w:t>
            </w:r>
          </w:p>
        </w:tc>
        <w:tc>
          <w:tcPr>
            <w:tcW w:w="26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980" w:type="dxa"/>
            <w:vAlign w:val="bottom"/>
            <w:tcBorders>
              <w:left w:val="single" w:sz="8" w:color="auto"/>
              <w:right w:val="single" w:sz="8" w:color="auto"/>
            </w:tcBorders>
          </w:tcPr>
          <w:p>
            <w:pPr>
              <w:spacing w:after="0"/>
              <w:rPr>
                <w:sz w:val="9"/>
                <w:szCs w:val="9"/>
                <w:color w:val="auto"/>
              </w:rPr>
            </w:pPr>
          </w:p>
        </w:tc>
        <w:tc>
          <w:tcPr>
            <w:tcW w:w="13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Purchased</w:t>
            </w:r>
          </w:p>
        </w:tc>
        <w:tc>
          <w:tcPr>
            <w:tcW w:w="12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per Share</w:t>
            </w:r>
          </w:p>
        </w:tc>
        <w:tc>
          <w:tcPr>
            <w:tcW w:w="2000" w:type="dxa"/>
            <w:vAlign w:val="bottom"/>
            <w:tcBorders>
              <w:right w:val="single" w:sz="8" w:color="auto"/>
            </w:tcBorders>
            <w:vMerge w:val="continue"/>
          </w:tcPr>
          <w:p>
            <w:pPr>
              <w:spacing w:after="0"/>
              <w:rPr>
                <w:sz w:val="9"/>
                <w:szCs w:val="9"/>
                <w:color w:val="auto"/>
              </w:rPr>
            </w:pPr>
          </w:p>
        </w:tc>
        <w:tc>
          <w:tcPr>
            <w:tcW w:w="2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Programs</w:t>
            </w:r>
          </w:p>
        </w:tc>
        <w:tc>
          <w:tcPr>
            <w:tcW w:w="0" w:type="dxa"/>
            <w:vAlign w:val="bottom"/>
          </w:tcPr>
          <w:p>
            <w:pPr>
              <w:spacing w:after="0"/>
              <w:rPr>
                <w:sz w:val="1"/>
                <w:szCs w:val="1"/>
                <w:color w:val="auto"/>
              </w:rPr>
            </w:pPr>
          </w:p>
        </w:tc>
      </w:tr>
      <w:tr>
        <w:trPr>
          <w:trHeight w:val="126"/>
        </w:trPr>
        <w:tc>
          <w:tcPr>
            <w:tcW w:w="3980" w:type="dxa"/>
            <w:vAlign w:val="bottom"/>
            <w:tcBorders>
              <w:left w:val="single" w:sz="8" w:color="auto"/>
              <w:right w:val="single" w:sz="8" w:color="auto"/>
            </w:tcBorders>
          </w:tcPr>
          <w:p>
            <w:pPr>
              <w:spacing w:after="0"/>
              <w:rPr>
                <w:sz w:val="10"/>
                <w:szCs w:val="10"/>
                <w:color w:val="auto"/>
              </w:rPr>
            </w:pPr>
          </w:p>
        </w:tc>
        <w:tc>
          <w:tcPr>
            <w:tcW w:w="1340" w:type="dxa"/>
            <w:vAlign w:val="bottom"/>
            <w:tcBorders>
              <w:right w:val="single" w:sz="8" w:color="auto"/>
            </w:tcBorders>
            <w:vMerge w:val="continue"/>
          </w:tcPr>
          <w:p>
            <w:pPr>
              <w:spacing w:after="0"/>
              <w:rPr>
                <w:sz w:val="10"/>
                <w:szCs w:val="10"/>
                <w:color w:val="auto"/>
              </w:rPr>
            </w:pPr>
          </w:p>
        </w:tc>
        <w:tc>
          <w:tcPr>
            <w:tcW w:w="1240" w:type="dxa"/>
            <w:vAlign w:val="bottom"/>
            <w:tcBorders>
              <w:right w:val="single" w:sz="8" w:color="auto"/>
            </w:tcBorders>
            <w:vMerge w:val="continue"/>
          </w:tcPr>
          <w:p>
            <w:pPr>
              <w:spacing w:after="0"/>
              <w:rPr>
                <w:sz w:val="10"/>
                <w:szCs w:val="10"/>
                <w:color w:val="auto"/>
              </w:rPr>
            </w:pPr>
          </w:p>
        </w:tc>
        <w:tc>
          <w:tcPr>
            <w:tcW w:w="20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Programs</w:t>
            </w:r>
          </w:p>
        </w:tc>
        <w:tc>
          <w:tcPr>
            <w:tcW w:w="26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980" w:type="dxa"/>
            <w:vAlign w:val="bottom"/>
            <w:tcBorders>
              <w:left w:val="single" w:sz="8" w:color="auto"/>
              <w:right w:val="single" w:sz="8" w:color="auto"/>
            </w:tcBorders>
          </w:tcPr>
          <w:p>
            <w:pPr>
              <w:spacing w:after="0"/>
              <w:rPr>
                <w:sz w:val="9"/>
                <w:szCs w:val="9"/>
                <w:color w:val="auto"/>
              </w:rPr>
            </w:pPr>
          </w:p>
        </w:tc>
        <w:tc>
          <w:tcPr>
            <w:tcW w:w="1340" w:type="dxa"/>
            <w:vAlign w:val="bottom"/>
            <w:tcBorders>
              <w:right w:val="single" w:sz="8" w:color="auto"/>
            </w:tcBorders>
          </w:tcPr>
          <w:p>
            <w:pPr>
              <w:spacing w:after="0"/>
              <w:rPr>
                <w:sz w:val="9"/>
                <w:szCs w:val="9"/>
                <w:color w:val="auto"/>
              </w:rPr>
            </w:pPr>
          </w:p>
        </w:tc>
        <w:tc>
          <w:tcPr>
            <w:tcW w:w="1240" w:type="dxa"/>
            <w:vAlign w:val="bottom"/>
            <w:tcBorders>
              <w:right w:val="single" w:sz="8" w:color="auto"/>
            </w:tcBorders>
          </w:tcPr>
          <w:p>
            <w:pPr>
              <w:spacing w:after="0"/>
              <w:rPr>
                <w:sz w:val="9"/>
                <w:szCs w:val="9"/>
                <w:color w:val="auto"/>
              </w:rPr>
            </w:pPr>
          </w:p>
        </w:tc>
        <w:tc>
          <w:tcPr>
            <w:tcW w:w="2000" w:type="dxa"/>
            <w:vAlign w:val="bottom"/>
            <w:tcBorders>
              <w:right w:val="single" w:sz="8" w:color="auto"/>
            </w:tcBorders>
            <w:vMerge w:val="continue"/>
          </w:tcPr>
          <w:p>
            <w:pPr>
              <w:spacing w:after="0"/>
              <w:rPr>
                <w:sz w:val="9"/>
                <w:szCs w:val="9"/>
                <w:color w:val="auto"/>
              </w:rPr>
            </w:pPr>
          </w:p>
        </w:tc>
        <w:tc>
          <w:tcPr>
            <w:tcW w:w="26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7"/>
        </w:trPr>
        <w:tc>
          <w:tcPr>
            <w:tcW w:w="3980" w:type="dxa"/>
            <w:vAlign w:val="bottom"/>
            <w:tcBorders>
              <w:left w:val="single" w:sz="8" w:color="auto"/>
              <w:bottom w:val="single" w:sz="8" w:color="auto"/>
              <w:right w:val="single" w:sz="8" w:color="auto"/>
            </w:tcBorders>
          </w:tcPr>
          <w:p>
            <w:pPr>
              <w:spacing w:after="0"/>
              <w:rPr>
                <w:sz w:val="3"/>
                <w:szCs w:val="3"/>
                <w:color w:val="auto"/>
              </w:rPr>
            </w:pPr>
          </w:p>
        </w:tc>
        <w:tc>
          <w:tcPr>
            <w:tcW w:w="1340" w:type="dxa"/>
            <w:vAlign w:val="bottom"/>
            <w:tcBorders>
              <w:bottom w:val="single" w:sz="8" w:color="auto"/>
              <w:right w:val="single" w:sz="8" w:color="auto"/>
            </w:tcBorders>
          </w:tcPr>
          <w:p>
            <w:pPr>
              <w:spacing w:after="0"/>
              <w:rPr>
                <w:sz w:val="3"/>
                <w:szCs w:val="3"/>
                <w:color w:val="auto"/>
              </w:rPr>
            </w:pPr>
          </w:p>
        </w:tc>
        <w:tc>
          <w:tcPr>
            <w:tcW w:w="1240" w:type="dxa"/>
            <w:vAlign w:val="bottom"/>
            <w:tcBorders>
              <w:bottom w:val="single" w:sz="8" w:color="auto"/>
              <w:right w:val="single" w:sz="8" w:color="auto"/>
            </w:tcBorders>
          </w:tcPr>
          <w:p>
            <w:pPr>
              <w:spacing w:after="0"/>
              <w:rPr>
                <w:sz w:val="3"/>
                <w:szCs w:val="3"/>
                <w:color w:val="auto"/>
              </w:rPr>
            </w:pPr>
          </w:p>
        </w:tc>
        <w:tc>
          <w:tcPr>
            <w:tcW w:w="2000" w:type="dxa"/>
            <w:vAlign w:val="bottom"/>
            <w:tcBorders>
              <w:bottom w:val="single" w:sz="8" w:color="auto"/>
              <w:right w:val="single" w:sz="8" w:color="auto"/>
            </w:tcBorders>
          </w:tcPr>
          <w:p>
            <w:pPr>
              <w:spacing w:after="0"/>
              <w:rPr>
                <w:sz w:val="3"/>
                <w:szCs w:val="3"/>
                <w:color w:val="auto"/>
              </w:rPr>
            </w:pPr>
          </w:p>
        </w:tc>
        <w:tc>
          <w:tcPr>
            <w:tcW w:w="26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94"/>
        </w:trPr>
        <w:tc>
          <w:tcPr>
            <w:tcW w:w="3980" w:type="dxa"/>
            <w:vAlign w:val="bottom"/>
            <w:tcBorders>
              <w:left w:val="single" w:sz="8" w:color="auto"/>
              <w:bottom w:val="single" w:sz="8" w:color="auto"/>
              <w:right w:val="single" w:sz="8" w:color="auto"/>
            </w:tcBorders>
          </w:tcPr>
          <w:p>
            <w:pPr>
              <w:spacing w:after="0"/>
              <w:rPr>
                <w:sz w:val="24"/>
                <w:szCs w:val="24"/>
                <w:color w:val="auto"/>
              </w:rPr>
            </w:pPr>
          </w:p>
        </w:tc>
        <w:tc>
          <w:tcPr>
            <w:tcW w:w="1340" w:type="dxa"/>
            <w:vAlign w:val="bottom"/>
            <w:tcBorders>
              <w:bottom w:val="single" w:sz="8" w:color="auto"/>
              <w:right w:val="single" w:sz="8" w:color="auto"/>
            </w:tcBorders>
          </w:tcPr>
          <w:p>
            <w:pPr>
              <w:spacing w:after="0"/>
              <w:rPr>
                <w:sz w:val="24"/>
                <w:szCs w:val="24"/>
                <w:color w:val="auto"/>
              </w:rPr>
            </w:pPr>
          </w:p>
        </w:tc>
        <w:tc>
          <w:tcPr>
            <w:tcW w:w="1240" w:type="dxa"/>
            <w:vAlign w:val="bottom"/>
            <w:tcBorders>
              <w:bottom w:val="single" w:sz="8" w:color="auto"/>
              <w:right w:val="single" w:sz="8" w:color="auto"/>
            </w:tcBorders>
          </w:tcPr>
          <w:p>
            <w:pPr>
              <w:spacing w:after="0"/>
              <w:rPr>
                <w:sz w:val="24"/>
                <w:szCs w:val="24"/>
                <w:color w:val="auto"/>
              </w:rPr>
            </w:pPr>
          </w:p>
        </w:tc>
        <w:tc>
          <w:tcPr>
            <w:tcW w:w="2000" w:type="dxa"/>
            <w:vAlign w:val="bottom"/>
            <w:tcBorders>
              <w:bottom w:val="single" w:sz="8" w:color="auto"/>
              <w:right w:val="single" w:sz="8" w:color="auto"/>
            </w:tcBorders>
          </w:tcPr>
          <w:p>
            <w:pPr>
              <w:spacing w:after="0"/>
              <w:rPr>
                <w:sz w:val="24"/>
                <w:szCs w:val="24"/>
                <w:color w:val="auto"/>
              </w:rPr>
            </w:pPr>
          </w:p>
        </w:tc>
        <w:tc>
          <w:tcPr>
            <w:tcW w:w="26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98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July 1 – July 31, 2026</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w:t>
            </w:r>
          </w:p>
        </w:tc>
        <w:tc>
          <w:tcPr>
            <w:tcW w:w="2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2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315,000</w:t>
            </w:r>
          </w:p>
        </w:tc>
        <w:tc>
          <w:tcPr>
            <w:tcW w:w="0" w:type="dxa"/>
            <w:vAlign w:val="bottom"/>
          </w:tcPr>
          <w:p>
            <w:pPr>
              <w:spacing w:after="0"/>
              <w:rPr>
                <w:sz w:val="1"/>
                <w:szCs w:val="1"/>
                <w:color w:val="auto"/>
              </w:rPr>
            </w:pPr>
          </w:p>
        </w:tc>
      </w:tr>
      <w:tr>
        <w:trPr>
          <w:trHeight w:val="41"/>
        </w:trPr>
        <w:tc>
          <w:tcPr>
            <w:tcW w:w="3980" w:type="dxa"/>
            <w:vAlign w:val="bottom"/>
            <w:tcBorders>
              <w:left w:val="single" w:sz="8" w:color="auto"/>
              <w:bottom w:val="single" w:sz="8" w:color="auto"/>
              <w:right w:val="single" w:sz="8" w:color="auto"/>
            </w:tcBorders>
          </w:tcPr>
          <w:p>
            <w:pPr>
              <w:spacing w:after="0"/>
              <w:rPr>
                <w:sz w:val="3"/>
                <w:szCs w:val="3"/>
                <w:color w:val="auto"/>
              </w:rPr>
            </w:pPr>
          </w:p>
        </w:tc>
        <w:tc>
          <w:tcPr>
            <w:tcW w:w="1340" w:type="dxa"/>
            <w:vAlign w:val="bottom"/>
            <w:tcBorders>
              <w:bottom w:val="single" w:sz="8" w:color="auto"/>
              <w:right w:val="single" w:sz="8" w:color="auto"/>
            </w:tcBorders>
          </w:tcPr>
          <w:p>
            <w:pPr>
              <w:spacing w:after="0"/>
              <w:rPr>
                <w:sz w:val="3"/>
                <w:szCs w:val="3"/>
                <w:color w:val="auto"/>
              </w:rPr>
            </w:pPr>
          </w:p>
        </w:tc>
        <w:tc>
          <w:tcPr>
            <w:tcW w:w="1240" w:type="dxa"/>
            <w:vAlign w:val="bottom"/>
            <w:tcBorders>
              <w:bottom w:val="single" w:sz="8" w:color="auto"/>
              <w:right w:val="single" w:sz="8" w:color="auto"/>
            </w:tcBorders>
          </w:tcPr>
          <w:p>
            <w:pPr>
              <w:spacing w:after="0"/>
              <w:rPr>
                <w:sz w:val="3"/>
                <w:szCs w:val="3"/>
                <w:color w:val="auto"/>
              </w:rPr>
            </w:pPr>
          </w:p>
        </w:tc>
        <w:tc>
          <w:tcPr>
            <w:tcW w:w="2000" w:type="dxa"/>
            <w:vAlign w:val="bottom"/>
            <w:tcBorders>
              <w:bottom w:val="single" w:sz="8" w:color="auto"/>
              <w:right w:val="single" w:sz="8" w:color="auto"/>
            </w:tcBorders>
          </w:tcPr>
          <w:p>
            <w:pPr>
              <w:spacing w:after="0"/>
              <w:rPr>
                <w:sz w:val="3"/>
                <w:szCs w:val="3"/>
                <w:color w:val="auto"/>
              </w:rPr>
            </w:pPr>
          </w:p>
        </w:tc>
        <w:tc>
          <w:tcPr>
            <w:tcW w:w="26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90"/>
        </w:trPr>
        <w:tc>
          <w:tcPr>
            <w:tcW w:w="3980" w:type="dxa"/>
            <w:vAlign w:val="bottom"/>
            <w:tcBorders>
              <w:left w:val="single" w:sz="8" w:color="auto"/>
              <w:bottom w:val="single" w:sz="8" w:color="auto"/>
              <w:right w:val="single" w:sz="8" w:color="auto"/>
            </w:tcBorders>
          </w:tcPr>
          <w:p>
            <w:pPr>
              <w:spacing w:after="0"/>
              <w:rPr>
                <w:sz w:val="24"/>
                <w:szCs w:val="24"/>
                <w:color w:val="auto"/>
              </w:rPr>
            </w:pPr>
          </w:p>
        </w:tc>
        <w:tc>
          <w:tcPr>
            <w:tcW w:w="1340" w:type="dxa"/>
            <w:vAlign w:val="bottom"/>
            <w:tcBorders>
              <w:bottom w:val="single" w:sz="8" w:color="auto"/>
              <w:right w:val="single" w:sz="8" w:color="auto"/>
            </w:tcBorders>
          </w:tcPr>
          <w:p>
            <w:pPr>
              <w:spacing w:after="0"/>
              <w:rPr>
                <w:sz w:val="24"/>
                <w:szCs w:val="24"/>
                <w:color w:val="auto"/>
              </w:rPr>
            </w:pPr>
          </w:p>
        </w:tc>
        <w:tc>
          <w:tcPr>
            <w:tcW w:w="1240" w:type="dxa"/>
            <w:vAlign w:val="bottom"/>
            <w:tcBorders>
              <w:bottom w:val="single" w:sz="8" w:color="auto"/>
              <w:right w:val="single" w:sz="8" w:color="auto"/>
            </w:tcBorders>
          </w:tcPr>
          <w:p>
            <w:pPr>
              <w:spacing w:after="0"/>
              <w:rPr>
                <w:sz w:val="24"/>
                <w:szCs w:val="24"/>
                <w:color w:val="auto"/>
              </w:rPr>
            </w:pPr>
          </w:p>
        </w:tc>
        <w:tc>
          <w:tcPr>
            <w:tcW w:w="2000" w:type="dxa"/>
            <w:vAlign w:val="bottom"/>
            <w:tcBorders>
              <w:bottom w:val="single" w:sz="8" w:color="auto"/>
              <w:right w:val="single" w:sz="8" w:color="auto"/>
            </w:tcBorders>
          </w:tcPr>
          <w:p>
            <w:pPr>
              <w:spacing w:after="0"/>
              <w:rPr>
                <w:sz w:val="24"/>
                <w:szCs w:val="24"/>
                <w:color w:val="auto"/>
              </w:rPr>
            </w:pPr>
          </w:p>
        </w:tc>
        <w:tc>
          <w:tcPr>
            <w:tcW w:w="26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98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August 1 – August 28, 2026</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118,029</w:t>
            </w: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w:t>
            </w:r>
          </w:p>
        </w:tc>
        <w:tc>
          <w:tcPr>
            <w:tcW w:w="2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2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315,000</w:t>
            </w:r>
          </w:p>
        </w:tc>
        <w:tc>
          <w:tcPr>
            <w:tcW w:w="0" w:type="dxa"/>
            <w:vAlign w:val="bottom"/>
          </w:tcPr>
          <w:p>
            <w:pPr>
              <w:spacing w:after="0"/>
              <w:rPr>
                <w:sz w:val="1"/>
                <w:szCs w:val="1"/>
                <w:color w:val="auto"/>
              </w:rPr>
            </w:pPr>
          </w:p>
        </w:tc>
      </w:tr>
      <w:tr>
        <w:trPr>
          <w:trHeight w:val="40"/>
        </w:trPr>
        <w:tc>
          <w:tcPr>
            <w:tcW w:w="3980" w:type="dxa"/>
            <w:vAlign w:val="bottom"/>
            <w:tcBorders>
              <w:left w:val="single" w:sz="8" w:color="auto"/>
              <w:bottom w:val="single" w:sz="8" w:color="auto"/>
              <w:right w:val="single" w:sz="8" w:color="auto"/>
            </w:tcBorders>
          </w:tcPr>
          <w:p>
            <w:pPr>
              <w:spacing w:after="0"/>
              <w:rPr>
                <w:sz w:val="3"/>
                <w:szCs w:val="3"/>
                <w:color w:val="auto"/>
              </w:rPr>
            </w:pPr>
          </w:p>
        </w:tc>
        <w:tc>
          <w:tcPr>
            <w:tcW w:w="1340" w:type="dxa"/>
            <w:vAlign w:val="bottom"/>
            <w:tcBorders>
              <w:bottom w:val="single" w:sz="8" w:color="auto"/>
              <w:right w:val="single" w:sz="8" w:color="auto"/>
            </w:tcBorders>
          </w:tcPr>
          <w:p>
            <w:pPr>
              <w:spacing w:after="0"/>
              <w:rPr>
                <w:sz w:val="3"/>
                <w:szCs w:val="3"/>
                <w:color w:val="auto"/>
              </w:rPr>
            </w:pPr>
          </w:p>
        </w:tc>
        <w:tc>
          <w:tcPr>
            <w:tcW w:w="1240" w:type="dxa"/>
            <w:vAlign w:val="bottom"/>
            <w:tcBorders>
              <w:bottom w:val="single" w:sz="8" w:color="auto"/>
              <w:right w:val="single" w:sz="8" w:color="auto"/>
            </w:tcBorders>
          </w:tcPr>
          <w:p>
            <w:pPr>
              <w:spacing w:after="0"/>
              <w:rPr>
                <w:sz w:val="3"/>
                <w:szCs w:val="3"/>
                <w:color w:val="auto"/>
              </w:rPr>
            </w:pPr>
          </w:p>
        </w:tc>
        <w:tc>
          <w:tcPr>
            <w:tcW w:w="2000" w:type="dxa"/>
            <w:vAlign w:val="bottom"/>
            <w:tcBorders>
              <w:bottom w:val="single" w:sz="8" w:color="auto"/>
              <w:right w:val="single" w:sz="8" w:color="auto"/>
            </w:tcBorders>
          </w:tcPr>
          <w:p>
            <w:pPr>
              <w:spacing w:after="0"/>
              <w:rPr>
                <w:sz w:val="3"/>
                <w:szCs w:val="3"/>
                <w:color w:val="auto"/>
              </w:rPr>
            </w:pPr>
          </w:p>
        </w:tc>
        <w:tc>
          <w:tcPr>
            <w:tcW w:w="26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91"/>
        </w:trPr>
        <w:tc>
          <w:tcPr>
            <w:tcW w:w="3980" w:type="dxa"/>
            <w:vAlign w:val="bottom"/>
            <w:tcBorders>
              <w:left w:val="single" w:sz="8" w:color="auto"/>
              <w:bottom w:val="single" w:sz="8" w:color="auto"/>
              <w:right w:val="single" w:sz="8" w:color="auto"/>
            </w:tcBorders>
          </w:tcPr>
          <w:p>
            <w:pPr>
              <w:spacing w:after="0"/>
              <w:rPr>
                <w:sz w:val="24"/>
                <w:szCs w:val="24"/>
                <w:color w:val="auto"/>
              </w:rPr>
            </w:pPr>
          </w:p>
        </w:tc>
        <w:tc>
          <w:tcPr>
            <w:tcW w:w="1340" w:type="dxa"/>
            <w:vAlign w:val="bottom"/>
            <w:tcBorders>
              <w:bottom w:val="single" w:sz="8" w:color="auto"/>
              <w:right w:val="single" w:sz="8" w:color="auto"/>
            </w:tcBorders>
          </w:tcPr>
          <w:p>
            <w:pPr>
              <w:spacing w:after="0"/>
              <w:rPr>
                <w:sz w:val="24"/>
                <w:szCs w:val="24"/>
                <w:color w:val="auto"/>
              </w:rPr>
            </w:pPr>
          </w:p>
        </w:tc>
        <w:tc>
          <w:tcPr>
            <w:tcW w:w="1240" w:type="dxa"/>
            <w:vAlign w:val="bottom"/>
            <w:tcBorders>
              <w:bottom w:val="single" w:sz="8" w:color="auto"/>
              <w:right w:val="single" w:sz="8" w:color="auto"/>
            </w:tcBorders>
          </w:tcPr>
          <w:p>
            <w:pPr>
              <w:spacing w:after="0"/>
              <w:rPr>
                <w:sz w:val="24"/>
                <w:szCs w:val="24"/>
                <w:color w:val="auto"/>
              </w:rPr>
            </w:pPr>
          </w:p>
        </w:tc>
        <w:tc>
          <w:tcPr>
            <w:tcW w:w="2000" w:type="dxa"/>
            <w:vAlign w:val="bottom"/>
            <w:tcBorders>
              <w:bottom w:val="single" w:sz="8" w:color="auto"/>
              <w:right w:val="single" w:sz="8" w:color="auto"/>
            </w:tcBorders>
          </w:tcPr>
          <w:p>
            <w:pPr>
              <w:spacing w:after="0"/>
              <w:rPr>
                <w:sz w:val="24"/>
                <w:szCs w:val="24"/>
                <w:color w:val="auto"/>
              </w:rPr>
            </w:pPr>
          </w:p>
        </w:tc>
        <w:tc>
          <w:tcPr>
            <w:tcW w:w="26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98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August 29 – September 25, 2026</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w:t>
            </w:r>
          </w:p>
        </w:tc>
        <w:tc>
          <w:tcPr>
            <w:tcW w:w="2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2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315,000</w:t>
            </w:r>
          </w:p>
        </w:tc>
        <w:tc>
          <w:tcPr>
            <w:tcW w:w="0" w:type="dxa"/>
            <w:vAlign w:val="bottom"/>
          </w:tcPr>
          <w:p>
            <w:pPr>
              <w:spacing w:after="0"/>
              <w:rPr>
                <w:sz w:val="1"/>
                <w:szCs w:val="1"/>
                <w:color w:val="auto"/>
              </w:rPr>
            </w:pPr>
          </w:p>
        </w:tc>
      </w:tr>
      <w:tr>
        <w:trPr>
          <w:trHeight w:val="40"/>
        </w:trPr>
        <w:tc>
          <w:tcPr>
            <w:tcW w:w="3980" w:type="dxa"/>
            <w:vAlign w:val="bottom"/>
            <w:tcBorders>
              <w:left w:val="single" w:sz="8" w:color="auto"/>
              <w:bottom w:val="single" w:sz="8" w:color="auto"/>
              <w:right w:val="single" w:sz="8" w:color="auto"/>
            </w:tcBorders>
          </w:tcPr>
          <w:p>
            <w:pPr>
              <w:spacing w:after="0"/>
              <w:rPr>
                <w:sz w:val="3"/>
                <w:szCs w:val="3"/>
                <w:color w:val="auto"/>
              </w:rPr>
            </w:pPr>
          </w:p>
        </w:tc>
        <w:tc>
          <w:tcPr>
            <w:tcW w:w="1340" w:type="dxa"/>
            <w:vAlign w:val="bottom"/>
            <w:tcBorders>
              <w:bottom w:val="single" w:sz="8" w:color="auto"/>
              <w:right w:val="single" w:sz="8" w:color="auto"/>
            </w:tcBorders>
          </w:tcPr>
          <w:p>
            <w:pPr>
              <w:spacing w:after="0"/>
              <w:rPr>
                <w:sz w:val="3"/>
                <w:szCs w:val="3"/>
                <w:color w:val="auto"/>
              </w:rPr>
            </w:pPr>
          </w:p>
        </w:tc>
        <w:tc>
          <w:tcPr>
            <w:tcW w:w="1240" w:type="dxa"/>
            <w:vAlign w:val="bottom"/>
            <w:tcBorders>
              <w:bottom w:val="single" w:sz="8" w:color="auto"/>
              <w:right w:val="single" w:sz="8" w:color="auto"/>
            </w:tcBorders>
          </w:tcPr>
          <w:p>
            <w:pPr>
              <w:spacing w:after="0"/>
              <w:rPr>
                <w:sz w:val="3"/>
                <w:szCs w:val="3"/>
                <w:color w:val="auto"/>
              </w:rPr>
            </w:pPr>
          </w:p>
        </w:tc>
        <w:tc>
          <w:tcPr>
            <w:tcW w:w="2000" w:type="dxa"/>
            <w:vAlign w:val="bottom"/>
            <w:tcBorders>
              <w:bottom w:val="single" w:sz="8" w:color="auto"/>
              <w:right w:val="single" w:sz="8" w:color="auto"/>
            </w:tcBorders>
          </w:tcPr>
          <w:p>
            <w:pPr>
              <w:spacing w:after="0"/>
              <w:rPr>
                <w:sz w:val="3"/>
                <w:szCs w:val="3"/>
                <w:color w:val="auto"/>
              </w:rPr>
            </w:pPr>
          </w:p>
        </w:tc>
        <w:tc>
          <w:tcPr>
            <w:tcW w:w="26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91"/>
        </w:trPr>
        <w:tc>
          <w:tcPr>
            <w:tcW w:w="3980" w:type="dxa"/>
            <w:vAlign w:val="bottom"/>
            <w:tcBorders>
              <w:left w:val="single" w:sz="8" w:color="auto"/>
              <w:bottom w:val="single" w:sz="8" w:color="auto"/>
              <w:right w:val="single" w:sz="8" w:color="auto"/>
            </w:tcBorders>
          </w:tcPr>
          <w:p>
            <w:pPr>
              <w:spacing w:after="0"/>
              <w:rPr>
                <w:sz w:val="24"/>
                <w:szCs w:val="24"/>
                <w:color w:val="auto"/>
              </w:rPr>
            </w:pPr>
          </w:p>
        </w:tc>
        <w:tc>
          <w:tcPr>
            <w:tcW w:w="1340" w:type="dxa"/>
            <w:vAlign w:val="bottom"/>
            <w:tcBorders>
              <w:bottom w:val="single" w:sz="8" w:color="auto"/>
              <w:right w:val="single" w:sz="8" w:color="auto"/>
            </w:tcBorders>
          </w:tcPr>
          <w:p>
            <w:pPr>
              <w:spacing w:after="0"/>
              <w:rPr>
                <w:sz w:val="24"/>
                <w:szCs w:val="24"/>
                <w:color w:val="auto"/>
              </w:rPr>
            </w:pPr>
          </w:p>
        </w:tc>
        <w:tc>
          <w:tcPr>
            <w:tcW w:w="1240" w:type="dxa"/>
            <w:vAlign w:val="bottom"/>
            <w:tcBorders>
              <w:bottom w:val="single" w:sz="8" w:color="auto"/>
              <w:right w:val="single" w:sz="8" w:color="auto"/>
            </w:tcBorders>
          </w:tcPr>
          <w:p>
            <w:pPr>
              <w:spacing w:after="0"/>
              <w:rPr>
                <w:sz w:val="24"/>
                <w:szCs w:val="24"/>
                <w:color w:val="auto"/>
              </w:rPr>
            </w:pPr>
          </w:p>
        </w:tc>
        <w:tc>
          <w:tcPr>
            <w:tcW w:w="2000" w:type="dxa"/>
            <w:vAlign w:val="bottom"/>
            <w:tcBorders>
              <w:bottom w:val="single" w:sz="8" w:color="auto"/>
              <w:right w:val="single" w:sz="8" w:color="auto"/>
            </w:tcBorders>
          </w:tcPr>
          <w:p>
            <w:pPr>
              <w:spacing w:after="0"/>
              <w:rPr>
                <w:sz w:val="24"/>
                <w:szCs w:val="24"/>
                <w:color w:val="auto"/>
              </w:rPr>
            </w:pPr>
          </w:p>
        </w:tc>
        <w:tc>
          <w:tcPr>
            <w:tcW w:w="26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98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Total</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118,029</w:t>
            </w: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w:t>
            </w:r>
          </w:p>
        </w:tc>
        <w:tc>
          <w:tcPr>
            <w:tcW w:w="2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2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315,000</w:t>
            </w:r>
          </w:p>
        </w:tc>
        <w:tc>
          <w:tcPr>
            <w:tcW w:w="0" w:type="dxa"/>
            <w:vAlign w:val="bottom"/>
          </w:tcPr>
          <w:p>
            <w:pPr>
              <w:spacing w:after="0"/>
              <w:rPr>
                <w:sz w:val="1"/>
                <w:szCs w:val="1"/>
                <w:color w:val="auto"/>
              </w:rPr>
            </w:pPr>
          </w:p>
        </w:tc>
      </w:tr>
      <w:tr>
        <w:trPr>
          <w:trHeight w:val="40"/>
        </w:trPr>
        <w:tc>
          <w:tcPr>
            <w:tcW w:w="3980" w:type="dxa"/>
            <w:vAlign w:val="bottom"/>
            <w:tcBorders>
              <w:left w:val="single" w:sz="8" w:color="auto"/>
              <w:bottom w:val="single" w:sz="8" w:color="auto"/>
              <w:right w:val="single" w:sz="8" w:color="auto"/>
            </w:tcBorders>
          </w:tcPr>
          <w:p>
            <w:pPr>
              <w:spacing w:after="0"/>
              <w:rPr>
                <w:sz w:val="3"/>
                <w:szCs w:val="3"/>
                <w:color w:val="auto"/>
              </w:rPr>
            </w:pPr>
          </w:p>
        </w:tc>
        <w:tc>
          <w:tcPr>
            <w:tcW w:w="1340" w:type="dxa"/>
            <w:vAlign w:val="bottom"/>
            <w:tcBorders>
              <w:bottom w:val="single" w:sz="8" w:color="auto"/>
              <w:right w:val="single" w:sz="8" w:color="auto"/>
            </w:tcBorders>
          </w:tcPr>
          <w:p>
            <w:pPr>
              <w:spacing w:after="0"/>
              <w:rPr>
                <w:sz w:val="3"/>
                <w:szCs w:val="3"/>
                <w:color w:val="auto"/>
              </w:rPr>
            </w:pPr>
          </w:p>
        </w:tc>
        <w:tc>
          <w:tcPr>
            <w:tcW w:w="1240" w:type="dxa"/>
            <w:vAlign w:val="bottom"/>
            <w:tcBorders>
              <w:bottom w:val="single" w:sz="8" w:color="auto"/>
              <w:right w:val="single" w:sz="8" w:color="auto"/>
            </w:tcBorders>
          </w:tcPr>
          <w:p>
            <w:pPr>
              <w:spacing w:after="0"/>
              <w:rPr>
                <w:sz w:val="3"/>
                <w:szCs w:val="3"/>
                <w:color w:val="auto"/>
              </w:rPr>
            </w:pPr>
          </w:p>
        </w:tc>
        <w:tc>
          <w:tcPr>
            <w:tcW w:w="2000" w:type="dxa"/>
            <w:vAlign w:val="bottom"/>
            <w:tcBorders>
              <w:bottom w:val="single" w:sz="8" w:color="auto"/>
              <w:right w:val="single" w:sz="8" w:color="auto"/>
            </w:tcBorders>
          </w:tcPr>
          <w:p>
            <w:pPr>
              <w:spacing w:after="0"/>
              <w:rPr>
                <w:sz w:val="3"/>
                <w:szCs w:val="3"/>
                <w:color w:val="auto"/>
              </w:rPr>
            </w:pPr>
          </w:p>
        </w:tc>
        <w:tc>
          <w:tcPr>
            <w:tcW w:w="26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amounts shown in Column (a) above represent shares of common stock delivered to the Company as payment of withholding taxes due on the vesting of restricted stock and performance stock issued under the Twin Disc, Incorporated 2021 Long-Term Incentive Compensation Plans.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February 1, 2008, the Board of Directors authorized the purchase of up to 500,000 shares of Common Stock at market values, of which 250,000 shares were purchased during fiscal 2009 and 125,000 shares were purchased during fiscal 2012. On July 27, 2012, the Board of Directors authorized the purchase of an additional 375,000 shares of Common Stock at market values. This authorization has no expiration. During the second quarter of fiscal 2013, the Company purchased 185,000 shares under this authorization. The Company did not make any purchases during the quarter ended September 25, 2026. As of September 25, 2026, 315,000 shares remain authorized for purchase.</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discussion of limitations upon the payment of dividends as a result of the Credit Agreement between the Company and BMO Harris Bank, N.A., as discussed in Part I, Item 2, "Management's Discussion and Analysis " under the heading "Financial Condition, Liquidity and Capital Resources," is incorporated herein by reference.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38"/>
        </w:trPr>
        <w:tc>
          <w:tcPr>
            <w:tcW w:w="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7380" w:type="dxa"/>
            <w:vAlign w:val="bottom"/>
            <w:gridSpan w:val="4"/>
          </w:tcPr>
          <w:p>
            <w:pPr>
              <w:ind w:left="140"/>
              <w:spacing w:after="0"/>
              <w:rPr>
                <w:sz w:val="20"/>
                <w:szCs w:val="20"/>
                <w:color w:val="auto"/>
              </w:rPr>
            </w:pPr>
            <w:r>
              <w:rPr>
                <w:rFonts w:ascii="Times New Roman" w:cs="Times New Roman" w:eastAsia="Times New Roman" w:hAnsi="Times New Roman"/>
                <w:sz w:val="18"/>
                <w:szCs w:val="18"/>
                <w:b w:val="1"/>
                <w:bCs w:val="1"/>
                <w:color w:val="auto"/>
              </w:rPr>
              <w:t>Exhibits</w:t>
            </w:r>
          </w:p>
        </w:tc>
      </w:tr>
      <w:tr>
        <w:trPr>
          <w:trHeight w:val="392"/>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31a</w:t>
            </w:r>
          </w:p>
        </w:tc>
        <w:tc>
          <w:tcPr>
            <w:tcW w:w="160" w:type="dxa"/>
            <w:vAlign w:val="bottom"/>
          </w:tcPr>
          <w:p>
            <w:pPr>
              <w:spacing w:after="0"/>
              <w:rPr>
                <w:sz w:val="24"/>
                <w:szCs w:val="24"/>
                <w:color w:val="auto"/>
              </w:rPr>
            </w:pPr>
          </w:p>
        </w:tc>
        <w:tc>
          <w:tcPr>
            <w:tcW w:w="722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9"/>
              </w:rPr>
              <w:t>Certification of Chief Executive Officer pursuant to Section 302 of the Sarbanes-Oxley Act of 2002.</w:t>
            </w:r>
          </w:p>
        </w:tc>
      </w:tr>
      <w:tr>
        <w:trPr>
          <w:trHeight w:val="412"/>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31b</w:t>
            </w:r>
          </w:p>
        </w:tc>
        <w:tc>
          <w:tcPr>
            <w:tcW w:w="160" w:type="dxa"/>
            <w:vAlign w:val="bottom"/>
          </w:tcPr>
          <w:p>
            <w:pPr>
              <w:spacing w:after="0"/>
              <w:rPr>
                <w:sz w:val="24"/>
                <w:szCs w:val="24"/>
                <w:color w:val="auto"/>
              </w:rPr>
            </w:pPr>
          </w:p>
        </w:tc>
        <w:tc>
          <w:tcPr>
            <w:tcW w:w="720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9"/>
              </w:rPr>
              <w:t>Certification of Chief Financial Officer pursuant to Section 302 of the Sarbanes-Oxley Act of 2002.</w:t>
            </w:r>
          </w:p>
        </w:tc>
        <w:tc>
          <w:tcPr>
            <w:tcW w:w="20" w:type="dxa"/>
            <w:vAlign w:val="bottom"/>
          </w:tcPr>
          <w:p>
            <w:pPr>
              <w:spacing w:after="0"/>
              <w:rPr>
                <w:sz w:val="24"/>
                <w:szCs w:val="24"/>
                <w:color w:val="auto"/>
              </w:rPr>
            </w:pPr>
          </w:p>
        </w:tc>
      </w:tr>
      <w:tr>
        <w:trPr>
          <w:trHeight w:val="412"/>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32a</w:t>
            </w:r>
          </w:p>
        </w:tc>
        <w:tc>
          <w:tcPr>
            <w:tcW w:w="160" w:type="dxa"/>
            <w:vAlign w:val="bottom"/>
          </w:tcPr>
          <w:p>
            <w:pPr>
              <w:spacing w:after="0"/>
              <w:rPr>
                <w:sz w:val="24"/>
                <w:szCs w:val="24"/>
                <w:color w:val="auto"/>
              </w:rPr>
            </w:pPr>
          </w:p>
        </w:tc>
        <w:tc>
          <w:tcPr>
            <w:tcW w:w="722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9"/>
              </w:rPr>
              <w:t>Certification of Chief Executive Officer pursuant to Section 906 of the Sarbanes-Oxley Act of 2002.</w:t>
            </w:r>
          </w:p>
        </w:tc>
      </w:tr>
      <w:tr>
        <w:trPr>
          <w:trHeight w:val="412"/>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32b</w:t>
            </w:r>
          </w:p>
        </w:tc>
        <w:tc>
          <w:tcPr>
            <w:tcW w:w="160" w:type="dxa"/>
            <w:vAlign w:val="bottom"/>
          </w:tcPr>
          <w:p>
            <w:pPr>
              <w:spacing w:after="0"/>
              <w:rPr>
                <w:sz w:val="24"/>
                <w:szCs w:val="24"/>
                <w:color w:val="auto"/>
              </w:rPr>
            </w:pPr>
          </w:p>
        </w:tc>
        <w:tc>
          <w:tcPr>
            <w:tcW w:w="71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9"/>
              </w:rPr>
              <w:t>Certification of Chief Financial Officer pursuant to Section 906 of the Sarbanes-Oxley Act of 2002.</w:t>
            </w:r>
          </w:p>
        </w:tc>
        <w:tc>
          <w:tcPr>
            <w:tcW w:w="40" w:type="dxa"/>
            <w:vAlign w:val="bottom"/>
            <w:gridSpan w:val="2"/>
          </w:tcPr>
          <w:p>
            <w:pPr>
              <w:spacing w:after="0"/>
              <w:rPr>
                <w:sz w:val="24"/>
                <w:szCs w:val="24"/>
                <w:color w:val="auto"/>
              </w:rPr>
            </w:pPr>
          </w:p>
        </w:tc>
      </w:tr>
      <w:tr>
        <w:trPr>
          <w:trHeight w:val="453"/>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60" w:type="dxa"/>
            <w:vAlign w:val="bottom"/>
          </w:tcPr>
          <w:p>
            <w:pPr>
              <w:spacing w:after="0"/>
              <w:rPr>
                <w:sz w:val="24"/>
                <w:szCs w:val="24"/>
                <w:color w:val="auto"/>
              </w:rPr>
            </w:pPr>
          </w:p>
        </w:tc>
        <w:tc>
          <w:tcPr>
            <w:tcW w:w="7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r>
      <w:tr>
        <w:trPr>
          <w:trHeight w:val="432"/>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60" w:type="dxa"/>
            <w:vAlign w:val="bottom"/>
          </w:tcPr>
          <w:p>
            <w:pPr>
              <w:spacing w:after="0"/>
              <w:rPr>
                <w:sz w:val="24"/>
                <w:szCs w:val="24"/>
                <w:color w:val="auto"/>
              </w:rPr>
            </w:pPr>
          </w:p>
        </w:tc>
        <w:tc>
          <w:tcPr>
            <w:tcW w:w="7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Schema</w:t>
            </w:r>
          </w:p>
        </w:tc>
      </w:tr>
      <w:tr>
        <w:trPr>
          <w:trHeight w:val="432"/>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160" w:type="dxa"/>
            <w:vAlign w:val="bottom"/>
          </w:tcPr>
          <w:p>
            <w:pPr>
              <w:spacing w:after="0"/>
              <w:rPr>
                <w:sz w:val="24"/>
                <w:szCs w:val="24"/>
                <w:color w:val="auto"/>
              </w:rPr>
            </w:pPr>
          </w:p>
        </w:tc>
        <w:tc>
          <w:tcPr>
            <w:tcW w:w="7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Calculation Linkbase</w:t>
            </w:r>
          </w:p>
        </w:tc>
      </w:tr>
      <w:tr>
        <w:trPr>
          <w:trHeight w:val="432"/>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160" w:type="dxa"/>
            <w:vAlign w:val="bottom"/>
          </w:tcPr>
          <w:p>
            <w:pPr>
              <w:spacing w:after="0"/>
              <w:rPr>
                <w:sz w:val="24"/>
                <w:szCs w:val="24"/>
                <w:color w:val="auto"/>
              </w:rPr>
            </w:pPr>
          </w:p>
        </w:tc>
        <w:tc>
          <w:tcPr>
            <w:tcW w:w="7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Definition Linkbase</w:t>
            </w:r>
          </w:p>
        </w:tc>
      </w:tr>
      <w:tr>
        <w:trPr>
          <w:trHeight w:val="432"/>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160" w:type="dxa"/>
            <w:vAlign w:val="bottom"/>
          </w:tcPr>
          <w:p>
            <w:pPr>
              <w:spacing w:after="0"/>
              <w:rPr>
                <w:sz w:val="24"/>
                <w:szCs w:val="24"/>
                <w:color w:val="auto"/>
              </w:rPr>
            </w:pPr>
          </w:p>
        </w:tc>
        <w:tc>
          <w:tcPr>
            <w:tcW w:w="7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Label Linkbase</w:t>
            </w:r>
          </w:p>
        </w:tc>
      </w:tr>
      <w:tr>
        <w:trPr>
          <w:trHeight w:val="432"/>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160" w:type="dxa"/>
            <w:vAlign w:val="bottom"/>
          </w:tcPr>
          <w:p>
            <w:pPr>
              <w:spacing w:after="0"/>
              <w:rPr>
                <w:sz w:val="24"/>
                <w:szCs w:val="24"/>
                <w:color w:val="auto"/>
              </w:rPr>
            </w:pPr>
          </w:p>
        </w:tc>
        <w:tc>
          <w:tcPr>
            <w:tcW w:w="72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Presentation Linkbase</w:t>
            </w:r>
          </w:p>
        </w:tc>
      </w:tr>
    </w:tbl>
    <w:p>
      <w:pPr>
        <w:spacing w:after="0" w:line="198" w:lineRule="exact"/>
        <w:rPr>
          <w:sz w:val="20"/>
          <w:szCs w:val="20"/>
          <w:color w:val="auto"/>
        </w:rPr>
      </w:pPr>
    </w:p>
    <w:p>
      <w:pPr>
        <w:ind w:left="5540" w:right="2579" w:hanging="5532"/>
        <w:spacing w:after="0" w:line="532" w:lineRule="auto"/>
        <w:tabs>
          <w:tab w:leader="none" w:pos="98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76" w:right="1440"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TWIN DISC, INCORPORATED</w:t>
            </w:r>
          </w:p>
        </w:tc>
      </w:tr>
      <w:tr>
        <w:trPr>
          <w:trHeight w:val="234"/>
        </w:trPr>
        <w:tc>
          <w:tcPr>
            <w:tcW w:w="366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(Registrant)</w:t>
            </w:r>
          </w:p>
        </w:tc>
      </w:tr>
      <w:tr>
        <w:trPr>
          <w:trHeight w:val="607"/>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4, 2026</w:t>
            </w:r>
          </w:p>
        </w:tc>
        <w:tc>
          <w:tcPr>
            <w:tcW w:w="1960" w:type="dxa"/>
            <w:vAlign w:val="bottom"/>
          </w:tcPr>
          <w:p>
            <w:pPr>
              <w:spacing w:after="0"/>
              <w:rPr>
                <w:sz w:val="24"/>
                <w:szCs w:val="24"/>
                <w:color w:val="auto"/>
              </w:rPr>
            </w:pPr>
          </w:p>
        </w:tc>
        <w:tc>
          <w:tcPr>
            <w:tcW w:w="2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/s/ JEFFREY S. KNUTSON</w:t>
            </w:r>
          </w:p>
        </w:tc>
        <w:tc>
          <w:tcPr>
            <w:tcW w:w="3300" w:type="dxa"/>
            <w:vAlign w:val="bottom"/>
          </w:tcPr>
          <w:p>
            <w:pPr>
              <w:spacing w:after="0"/>
              <w:rPr>
                <w:sz w:val="24"/>
                <w:szCs w:val="24"/>
                <w:color w:val="auto"/>
              </w:rPr>
            </w:pPr>
          </w:p>
        </w:tc>
      </w:tr>
      <w:tr>
        <w:trPr>
          <w:trHeight w:val="218"/>
        </w:trPr>
        <w:tc>
          <w:tcPr>
            <w:tcW w:w="36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Jeffrey S. Knutson</w:t>
            </w:r>
          </w:p>
        </w:tc>
      </w:tr>
      <w:tr>
        <w:trPr>
          <w:trHeight w:val="216"/>
        </w:trPr>
        <w:tc>
          <w:tcPr>
            <w:tcW w:w="36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Vice President – Finance, Chief Financial Officer, Treasurer and Secretary</w:t>
            </w:r>
          </w:p>
        </w:tc>
      </w:tr>
      <w:tr>
        <w:trPr>
          <w:trHeight w:val="234"/>
        </w:trPr>
        <w:tc>
          <w:tcPr>
            <w:tcW w:w="366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Accounting Officer</w:t>
            </w:r>
          </w:p>
        </w:tc>
      </w:tr>
      <w:tr>
        <w:trPr>
          <w:trHeight w:val="432"/>
        </w:trPr>
        <w:tc>
          <w:tcPr>
            <w:tcW w:w="3660" w:type="dxa"/>
            <w:vAlign w:val="bottom"/>
          </w:tcPr>
          <w:p>
            <w:pPr>
              <w:spacing w:after="0"/>
              <w:rPr>
                <w:sz w:val="24"/>
                <w:szCs w:val="24"/>
                <w:color w:val="auto"/>
              </w:rPr>
            </w:pPr>
          </w:p>
        </w:tc>
        <w:tc>
          <w:tcPr>
            <w:tcW w:w="4020" w:type="dxa"/>
            <w:vAlign w:val="bottom"/>
            <w:gridSpan w:val="2"/>
          </w:tcPr>
          <w:p>
            <w:pPr>
              <w:jc w:val="right"/>
              <w:ind w:right="1870"/>
              <w:spacing w:after="0"/>
              <w:rPr>
                <w:sz w:val="20"/>
                <w:szCs w:val="20"/>
                <w:color w:val="auto"/>
              </w:rPr>
            </w:pPr>
            <w:r>
              <w:rPr>
                <w:rFonts w:ascii="Times New Roman" w:cs="Times New Roman" w:eastAsia="Times New Roman" w:hAnsi="Times New Roman"/>
                <w:sz w:val="18"/>
                <w:szCs w:val="18"/>
                <w:color w:val="auto"/>
              </w:rPr>
              <w:t>30</w:t>
            </w:r>
          </w:p>
        </w:tc>
        <w:tc>
          <w:tcPr>
            <w:tcW w:w="3300" w:type="dxa"/>
            <w:vAlign w:val="bottom"/>
          </w:tcPr>
          <w:p>
            <w:pPr>
              <w:spacing w:after="0"/>
              <w:rPr>
                <w:sz w:val="24"/>
                <w:szCs w:val="24"/>
                <w:color w:val="auto"/>
              </w:rPr>
            </w:pPr>
          </w:p>
        </w:tc>
      </w:tr>
    </w:tbl>
    <w:p>
      <w:pPr>
        <w:sectPr>
          <w:pgSz w:w="11900" w:h="16838" w:orient="portrait"/>
          <w:cols w:equalWidth="0" w:num="1">
            <w:col w:w="11200"/>
          </w:cols>
          <w:pgMar w:left="320" w:top="576" w:right="379" w:bottom="1440" w:gutter="0" w:footer="0" w:header="0"/>
        </w:sectPr>
      </w:pPr>
    </w:p>
    <w:bookmarkStart w:id="30" w:name="page31"/>
    <w:bookmarkEnd w:id="30"/>
    <w:p>
      <w:pPr>
        <w:jc w:val="center"/>
        <w:ind w:right="-19"/>
        <w:spacing w:after="0"/>
        <w:rPr>
          <w:sz w:val="20"/>
          <w:szCs w:val="20"/>
          <w:color w:val="auto"/>
        </w:rPr>
      </w:pPr>
      <w:r>
        <w:rPr>
          <w:rFonts w:ascii="Times New Roman" w:cs="Times New Roman" w:eastAsia="Times New Roman" w:hAnsi="Times New Roman"/>
          <w:sz w:val="18"/>
          <w:szCs w:val="18"/>
          <w:color w:val="auto"/>
        </w:rPr>
        <w:t>Exhibit 31a</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John H. Batten, certify that:</w:t>
      </w:r>
    </w:p>
    <w:p>
      <w:pPr>
        <w:spacing w:after="0" w:line="225" w:lineRule="exact"/>
        <w:rPr>
          <w:sz w:val="20"/>
          <w:szCs w:val="20"/>
          <w:color w:val="auto"/>
        </w:rPr>
      </w:pPr>
    </w:p>
    <w:p>
      <w:pPr>
        <w:ind w:left="340" w:hanging="332"/>
        <w:spacing w:after="0"/>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Twin Disc, Incorporated;</w:t>
      </w:r>
    </w:p>
    <w:p>
      <w:pPr>
        <w:spacing w:after="0" w:line="225" w:lineRule="exact"/>
        <w:rPr>
          <w:rFonts w:ascii="Times New Roman" w:cs="Times New Roman" w:eastAsia="Times New Roman" w:hAnsi="Times New Roman"/>
          <w:sz w:val="18"/>
          <w:szCs w:val="18"/>
          <w:color w:val="auto"/>
        </w:rPr>
      </w:pPr>
    </w:p>
    <w:p>
      <w:pPr>
        <w:jc w:val="both"/>
        <w:ind w:left="340" w:right="420" w:hanging="332"/>
        <w:spacing w:after="0" w:line="266" w:lineRule="auto"/>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right="380" w:hanging="332"/>
        <w:spacing w:after="0" w:line="282" w:lineRule="auto"/>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340" w:hanging="332"/>
        <w:spacing w:after="0" w:line="266" w:lineRule="auto"/>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660" w:right="360" w:hanging="328"/>
        <w:spacing w:after="0" w:line="266" w:lineRule="auto"/>
        <w:tabs>
          <w:tab w:leader="none" w:pos="66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660" w:right="40" w:hanging="328"/>
        <w:spacing w:after="0" w:line="266" w:lineRule="auto"/>
        <w:tabs>
          <w:tab w:leader="none" w:pos="66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660" w:right="840" w:hanging="328"/>
        <w:spacing w:after="0" w:line="312" w:lineRule="auto"/>
        <w:tabs>
          <w:tab w:leader="none" w:pos="660" w:val="left"/>
        </w:tabs>
        <w:numPr>
          <w:ilvl w:val="1"/>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660" w:right="60" w:hanging="328"/>
        <w:spacing w:after="0" w:line="266" w:lineRule="auto"/>
        <w:tabs>
          <w:tab w:leader="none" w:pos="66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right="320" w:hanging="332"/>
        <w:spacing w:after="0" w:line="282" w:lineRule="auto"/>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6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6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4, 2026</w:t>
            </w:r>
          </w:p>
        </w:tc>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JOHN H. BATTEN</w:t>
            </w:r>
          </w:p>
        </w:tc>
      </w:tr>
      <w:tr>
        <w:trPr>
          <w:trHeight w:val="218"/>
        </w:trPr>
        <w:tc>
          <w:tcPr>
            <w:tcW w:w="5700" w:type="dxa"/>
            <w:vAlign w:val="bottom"/>
          </w:tcPr>
          <w:p>
            <w:pPr>
              <w:spacing w:after="0"/>
              <w:rPr>
                <w:sz w:val="18"/>
                <w:szCs w:val="18"/>
                <w:color w:val="auto"/>
              </w:rPr>
            </w:pPr>
          </w:p>
        </w:tc>
        <w:tc>
          <w:tcPr>
            <w:tcW w:w="16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John H. Batten</w:t>
            </w:r>
          </w:p>
        </w:tc>
        <w:tc>
          <w:tcPr>
            <w:tcW w:w="1120" w:type="dxa"/>
            <w:vAlign w:val="bottom"/>
          </w:tcPr>
          <w:p>
            <w:pPr>
              <w:spacing w:after="0"/>
              <w:rPr>
                <w:sz w:val="18"/>
                <w:szCs w:val="18"/>
                <w:color w:val="auto"/>
              </w:rPr>
            </w:pPr>
          </w:p>
        </w:tc>
      </w:tr>
      <w:tr>
        <w:trPr>
          <w:trHeight w:val="234"/>
        </w:trPr>
        <w:tc>
          <w:tcPr>
            <w:tcW w:w="5700" w:type="dxa"/>
            <w:vAlign w:val="bottom"/>
          </w:tcPr>
          <w:p>
            <w:pPr>
              <w:spacing w:after="0"/>
              <w:rPr>
                <w:sz w:val="20"/>
                <w:szCs w:val="20"/>
                <w:color w:val="auto"/>
              </w:rPr>
            </w:pPr>
          </w:p>
        </w:tc>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President and Chief Executive Officer</w:t>
            </w:r>
          </w:p>
        </w:tc>
      </w:tr>
    </w:tbl>
    <w:p>
      <w:pPr>
        <w:sectPr>
          <w:pgSz w:w="11900" w:h="16838" w:orient="portrait"/>
          <w:cols w:equalWidth="0" w:num="1">
            <w:col w:w="11220"/>
          </w:cols>
          <w:pgMar w:left="320" w:top="337" w:right="359" w:bottom="1440" w:gutter="0" w:footer="0" w:header="0"/>
        </w:sectPr>
      </w:pPr>
    </w:p>
    <w:bookmarkStart w:id="31" w:name="page32"/>
    <w:bookmarkEnd w:id="31"/>
    <w:p>
      <w:pPr>
        <w:jc w:val="center"/>
        <w:ind w:right="-19"/>
        <w:spacing w:after="0"/>
        <w:rPr>
          <w:sz w:val="20"/>
          <w:szCs w:val="20"/>
          <w:color w:val="auto"/>
        </w:rPr>
      </w:pPr>
      <w:r>
        <w:rPr>
          <w:rFonts w:ascii="Times New Roman" w:cs="Times New Roman" w:eastAsia="Times New Roman" w:hAnsi="Times New Roman"/>
          <w:sz w:val="18"/>
          <w:szCs w:val="18"/>
          <w:color w:val="auto"/>
        </w:rPr>
        <w:t>Exhibit 31b</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Jeffrey S. Knutson, certify that:</w:t>
      </w:r>
    </w:p>
    <w:p>
      <w:pPr>
        <w:spacing w:after="0" w:line="225" w:lineRule="exact"/>
        <w:rPr>
          <w:sz w:val="20"/>
          <w:szCs w:val="20"/>
          <w:color w:val="auto"/>
        </w:rPr>
      </w:pPr>
    </w:p>
    <w:p>
      <w:pPr>
        <w:ind w:left="340" w:hanging="332"/>
        <w:spacing w:after="0"/>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Twin Disc, Incorporated;</w:t>
      </w:r>
    </w:p>
    <w:p>
      <w:pPr>
        <w:spacing w:after="0" w:line="225" w:lineRule="exact"/>
        <w:rPr>
          <w:rFonts w:ascii="Times New Roman" w:cs="Times New Roman" w:eastAsia="Times New Roman" w:hAnsi="Times New Roman"/>
          <w:sz w:val="18"/>
          <w:szCs w:val="18"/>
          <w:color w:val="auto"/>
        </w:rPr>
      </w:pPr>
    </w:p>
    <w:p>
      <w:pPr>
        <w:jc w:val="both"/>
        <w:ind w:left="340" w:right="420" w:hanging="332"/>
        <w:spacing w:after="0" w:line="266"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right="380" w:hanging="332"/>
        <w:spacing w:after="0" w:line="282"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340" w:hanging="332"/>
        <w:spacing w:after="0" w:line="266"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660" w:right="360" w:hanging="328"/>
        <w:spacing w:after="0" w:line="266" w:lineRule="auto"/>
        <w:tabs>
          <w:tab w:leader="none" w:pos="6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660" w:right="40" w:hanging="328"/>
        <w:spacing w:after="0" w:line="266" w:lineRule="auto"/>
        <w:tabs>
          <w:tab w:leader="none" w:pos="6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660" w:right="840" w:hanging="328"/>
        <w:spacing w:after="0" w:line="312" w:lineRule="auto"/>
        <w:tabs>
          <w:tab w:leader="none" w:pos="660" w:val="left"/>
        </w:tabs>
        <w:numPr>
          <w:ilvl w:val="1"/>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660" w:right="60" w:hanging="328"/>
        <w:spacing w:after="0" w:line="266" w:lineRule="auto"/>
        <w:tabs>
          <w:tab w:leader="none" w:pos="6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right="320" w:hanging="332"/>
        <w:spacing w:after="0" w:line="282"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4, 2026</w:t>
            </w:r>
          </w:p>
        </w:tc>
        <w:tc>
          <w:tcPr>
            <w:tcW w:w="5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JEFFREY S. KNUTSON</w:t>
            </w:r>
          </w:p>
        </w:tc>
      </w:tr>
      <w:tr>
        <w:trPr>
          <w:trHeight w:val="218"/>
        </w:trPr>
        <w:tc>
          <w:tcPr>
            <w:tcW w:w="5700" w:type="dxa"/>
            <w:vAlign w:val="bottom"/>
          </w:tcPr>
          <w:p>
            <w:pPr>
              <w:spacing w:after="0"/>
              <w:rPr>
                <w:sz w:val="18"/>
                <w:szCs w:val="18"/>
                <w:color w:val="auto"/>
              </w:rPr>
            </w:pPr>
          </w:p>
        </w:tc>
        <w:tc>
          <w:tcPr>
            <w:tcW w:w="20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Jeffrey S. Knutson</w:t>
            </w:r>
          </w:p>
        </w:tc>
        <w:tc>
          <w:tcPr>
            <w:tcW w:w="3300" w:type="dxa"/>
            <w:vAlign w:val="bottom"/>
          </w:tcPr>
          <w:p>
            <w:pPr>
              <w:spacing w:after="0"/>
              <w:rPr>
                <w:sz w:val="18"/>
                <w:szCs w:val="18"/>
                <w:color w:val="auto"/>
              </w:rPr>
            </w:pPr>
          </w:p>
        </w:tc>
      </w:tr>
      <w:tr>
        <w:trPr>
          <w:trHeight w:val="234"/>
        </w:trPr>
        <w:tc>
          <w:tcPr>
            <w:tcW w:w="5700" w:type="dxa"/>
            <w:vAlign w:val="bottom"/>
          </w:tcPr>
          <w:p>
            <w:pPr>
              <w:spacing w:after="0"/>
              <w:rPr>
                <w:sz w:val="20"/>
                <w:szCs w:val="20"/>
                <w:color w:val="auto"/>
              </w:rPr>
            </w:pPr>
          </w:p>
        </w:tc>
        <w:tc>
          <w:tcPr>
            <w:tcW w:w="53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Vice President – Finance, Chief Financial Officer, Treasurer and Secretary</w:t>
            </w:r>
          </w:p>
        </w:tc>
      </w:tr>
    </w:tbl>
    <w:p>
      <w:pPr>
        <w:sectPr>
          <w:pgSz w:w="11900" w:h="16838" w:orient="portrait"/>
          <w:cols w:equalWidth="0" w:num="1">
            <w:col w:w="11220"/>
          </w:cols>
          <w:pgMar w:left="320" w:top="337" w:right="359" w:bottom="1440" w:gutter="0" w:footer="0" w:header="0"/>
        </w:sectPr>
      </w:pPr>
    </w:p>
    <w:bookmarkStart w:id="32" w:name="page33"/>
    <w:bookmarkEnd w:id="32"/>
    <w:p>
      <w:pPr>
        <w:jc w:val="center"/>
        <w:ind w:right="-99"/>
        <w:spacing w:after="0"/>
        <w:rPr>
          <w:sz w:val="20"/>
          <w:szCs w:val="20"/>
          <w:color w:val="auto"/>
        </w:rPr>
      </w:pPr>
      <w:r>
        <w:rPr>
          <w:rFonts w:ascii="Times New Roman" w:cs="Times New Roman" w:eastAsia="Times New Roman" w:hAnsi="Times New Roman"/>
          <w:sz w:val="18"/>
          <w:szCs w:val="18"/>
          <w:color w:val="auto"/>
        </w:rPr>
        <w:t>EXHIBIT 32a</w:t>
      </w:r>
    </w:p>
    <w:p>
      <w:pPr>
        <w:spacing w:after="0" w:line="22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firstLine="324"/>
        <w:spacing w:after="0" w:line="289" w:lineRule="auto"/>
        <w:rPr>
          <w:sz w:val="20"/>
          <w:szCs w:val="20"/>
          <w:color w:val="auto"/>
        </w:rPr>
      </w:pPr>
      <w:r>
        <w:rPr>
          <w:rFonts w:ascii="Times New Roman" w:cs="Times New Roman" w:eastAsia="Times New Roman" w:hAnsi="Times New Roman"/>
          <w:sz w:val="17"/>
          <w:szCs w:val="17"/>
          <w:color w:val="auto"/>
        </w:rPr>
        <w:t>In connection with the Quarterly Report of Twin Disc, Incorporated (the “Company”) on Form 10-Q for the fiscal quarter ending September 25, 2026, as filed with the Securities and Exchange Commission as of the date hereof (the “Report”), I, John H. Batten, Chief Executive Officer of the Company, certify, pursuant to 18 U.S.C. Section 1350, as adopted pursuant to Section 906 of the Sarbanes-Oxley Act of 2002, that, to the best of my knowledge:</w:t>
      </w:r>
    </w:p>
    <w:p>
      <w:pPr>
        <w:spacing w:after="0" w:line="158"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4, 2026</w:t>
            </w:r>
          </w:p>
        </w:tc>
        <w:tc>
          <w:tcPr>
            <w:tcW w:w="1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/s/ JOHN H. BATTEN</w:t>
            </w:r>
          </w:p>
        </w:tc>
        <w:tc>
          <w:tcPr>
            <w:tcW w:w="1100" w:type="dxa"/>
            <w:vAlign w:val="bottom"/>
          </w:tcPr>
          <w:p>
            <w:pPr>
              <w:spacing w:after="0"/>
              <w:rPr>
                <w:sz w:val="17"/>
                <w:szCs w:val="17"/>
                <w:color w:val="auto"/>
              </w:rPr>
            </w:pPr>
          </w:p>
        </w:tc>
      </w:tr>
      <w:tr>
        <w:trPr>
          <w:trHeight w:val="218"/>
        </w:trPr>
        <w:tc>
          <w:tcPr>
            <w:tcW w:w="6120" w:type="dxa"/>
            <w:vAlign w:val="bottom"/>
          </w:tcPr>
          <w:p>
            <w:pPr>
              <w:spacing w:after="0"/>
              <w:rPr>
                <w:sz w:val="18"/>
                <w:szCs w:val="18"/>
                <w:color w:val="auto"/>
              </w:rPr>
            </w:pPr>
          </w:p>
        </w:tc>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John H. Batten</w:t>
            </w:r>
          </w:p>
        </w:tc>
      </w:tr>
      <w:tr>
        <w:trPr>
          <w:trHeight w:val="234"/>
        </w:trPr>
        <w:tc>
          <w:tcPr>
            <w:tcW w:w="6120" w:type="dxa"/>
            <w:vAlign w:val="bottom"/>
          </w:tcPr>
          <w:p>
            <w:pPr>
              <w:spacing w:after="0"/>
              <w:rPr>
                <w:sz w:val="20"/>
                <w:szCs w:val="20"/>
                <w:color w:val="auto"/>
              </w:rPr>
            </w:pPr>
          </w:p>
        </w:tc>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President and Chief Executive Officer</w:t>
            </w:r>
          </w:p>
        </w:tc>
      </w:tr>
    </w:tbl>
    <w:p>
      <w:pPr>
        <w:sectPr>
          <w:pgSz w:w="11900" w:h="16838" w:orient="portrait"/>
          <w:cols w:equalWidth="0" w:num="1">
            <w:col w:w="11140"/>
          </w:cols>
          <w:pgMar w:left="320" w:top="337" w:right="439" w:bottom="1440" w:gutter="0" w:footer="0" w:header="0"/>
        </w:sectPr>
      </w:pPr>
    </w:p>
    <w:bookmarkStart w:id="33" w:name="page34"/>
    <w:bookmarkEnd w:id="33"/>
    <w:p>
      <w:pPr>
        <w:jc w:val="center"/>
        <w:ind w:right="-59"/>
        <w:spacing w:after="0"/>
        <w:rPr>
          <w:sz w:val="20"/>
          <w:szCs w:val="20"/>
          <w:color w:val="auto"/>
        </w:rPr>
      </w:pPr>
      <w:r>
        <w:rPr>
          <w:rFonts w:ascii="Times New Roman" w:cs="Times New Roman" w:eastAsia="Times New Roman" w:hAnsi="Times New Roman"/>
          <w:sz w:val="18"/>
          <w:szCs w:val="18"/>
          <w:color w:val="auto"/>
        </w:rPr>
        <w:t>EXHIBIT 32b</w:t>
      </w:r>
    </w:p>
    <w:p>
      <w:pPr>
        <w:spacing w:after="0" w:line="2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Twin Disc, Incorporated (the “Company”) on Form 10-Q for the fiscal quarter ending September 25, 2026, as filed with the Securities and Exchange Commission as of the date hereof (the “Report”), I, Jeffrey S. Knutson, Vice President – Finance, Chief Financial Officer, Treasurer and Secretary of the Company, certify, pursuant to 18 U.S.C. Section 1350, as adopted pursuant to Section 906 of the Sarbanes-Oxley Act of 2002, that, to the best of my knowledge:</w:t>
      </w:r>
    </w:p>
    <w:p>
      <w:pPr>
        <w:spacing w:after="0" w:line="180"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4, 2026</w:t>
            </w:r>
          </w:p>
        </w:tc>
        <w:tc>
          <w:tcPr>
            <w:tcW w:w="2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/s/ JEFFREY S. KNUTSON</w:t>
            </w:r>
          </w:p>
        </w:tc>
        <w:tc>
          <w:tcPr>
            <w:tcW w:w="3300" w:type="dxa"/>
            <w:vAlign w:val="bottom"/>
          </w:tcPr>
          <w:p>
            <w:pPr>
              <w:spacing w:after="0"/>
              <w:rPr>
                <w:sz w:val="17"/>
                <w:szCs w:val="17"/>
                <w:color w:val="auto"/>
              </w:rPr>
            </w:pPr>
          </w:p>
        </w:tc>
      </w:tr>
      <w:tr>
        <w:trPr>
          <w:trHeight w:val="218"/>
        </w:trPr>
        <w:tc>
          <w:tcPr>
            <w:tcW w:w="5820" w:type="dxa"/>
            <w:vAlign w:val="bottom"/>
          </w:tcPr>
          <w:p>
            <w:pPr>
              <w:spacing w:after="0"/>
              <w:rPr>
                <w:sz w:val="18"/>
                <w:szCs w:val="18"/>
                <w:color w:val="auto"/>
              </w:rPr>
            </w:pPr>
          </w:p>
        </w:tc>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Jeffrey S. Knutson</w:t>
            </w:r>
          </w:p>
        </w:tc>
      </w:tr>
      <w:tr>
        <w:trPr>
          <w:trHeight w:val="234"/>
        </w:trPr>
        <w:tc>
          <w:tcPr>
            <w:tcW w:w="5820" w:type="dxa"/>
            <w:vAlign w:val="bottom"/>
          </w:tcPr>
          <w:p>
            <w:pPr>
              <w:spacing w:after="0"/>
              <w:rPr>
                <w:sz w:val="20"/>
                <w:szCs w:val="20"/>
                <w:color w:val="auto"/>
              </w:rPr>
            </w:pPr>
          </w:p>
        </w:tc>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Vice President – Finance, Chief Financial Officer, Treasurer and Secretary</w:t>
            </w:r>
          </w:p>
        </w:tc>
      </w:tr>
    </w:tbl>
    <w:p>
      <w:pPr>
        <w:spacing w:after="0" w:line="1" w:lineRule="exact"/>
        <w:rPr>
          <w:sz w:val="20"/>
          <w:szCs w:val="20"/>
          <w:color w:val="auto"/>
        </w:rPr>
      </w:pPr>
    </w:p>
    <w:sectPr>
      <w:pgSz w:w="11900" w:h="16838" w:orient="portrait"/>
      <w:cols w:equalWidth="0" w:num="1">
        <w:col w:w="11180"/>
      </w:cols>
      <w:pgMar w:left="320" w:top="337"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1."/>
      <w:numFmt w:val="upperLetter"/>
      <w:start w:val="6"/>
    </w:lvl>
  </w:abstractNum>
  <w:abstractNum w:abstractNumId="3">
    <w:nsid w:val="216231B"/>
    <w:multiLevelType w:val="hybridMultilevel"/>
    <w:lvl w:ilvl="0">
      <w:lvlJc w:val="left"/>
      <w:lvlText w:val="%1."/>
      <w:numFmt w:val="upperLetter"/>
      <w:start w:val="9"/>
    </w:lvl>
  </w:abstractNum>
  <w:abstractNum w:abstractNumId="4">
    <w:nsid w:val="1F16E9E8"/>
    <w:multiLevelType w:val="hybridMultilevel"/>
    <w:lvl w:ilvl="0">
      <w:lvlJc w:val="left"/>
      <w:lvlText w:val="%1."/>
      <w:numFmt w:val="upperLetter"/>
      <w:start w:val="10"/>
    </w:lvl>
  </w:abstractNum>
  <w:abstractNum w:abstractNumId="5">
    <w:nsid w:val="1190CDE7"/>
    <w:multiLevelType w:val="hybridMultilevel"/>
    <w:lvl w:ilvl="0">
      <w:lvlJc w:val="left"/>
      <w:lvlText w:val="%1"/>
      <w:numFmt w:val="upperLetter"/>
      <w:start w:val="1"/>
    </w:lvl>
    <w:lvl w:ilvl="1">
      <w:lvlJc w:val="left"/>
      <w:lvlText w:val="(%2)"/>
      <w:numFmt w:val="lowerLetter"/>
      <w:start w:val="1"/>
    </w:lvl>
  </w:abstractNum>
  <w:abstractNum w:abstractNumId="6">
    <w:nsid w:val="66EF438D"/>
    <w:multiLevelType w:val="hybridMultilevel"/>
    <w:lvl w:ilvl="0">
      <w:lvlJc w:val="left"/>
      <w:lvlText w:val="%1."/>
      <w:numFmt w:val="upperLetter"/>
      <w:start w:val="13"/>
    </w:lvl>
    <w:lvl w:ilvl="1">
      <w:lvlJc w:val="left"/>
      <w:lvlText w:val="%2"/>
      <w:numFmt w:val="lowerLetter"/>
      <w:start w:val="1"/>
    </w:lvl>
  </w:abstractNum>
  <w:abstractNum w:abstractNumId="7">
    <w:nsid w:val="140E0F76"/>
    <w:multiLevelType w:val="hybridMultilevel"/>
    <w:lvl w:ilvl="0">
      <w:lvlJc w:val="left"/>
      <w:lvlText w:val="(%1)"/>
      <w:numFmt w:val="lowerLetter"/>
      <w:start w:val="1"/>
    </w:lvl>
  </w:abstractNum>
  <w:abstractNum w:abstractNumId="8">
    <w:nsid w:val="3352255A"/>
    <w:multiLevelType w:val="hybridMultilevel"/>
    <w:lvl w:ilvl="0">
      <w:lvlJc w:val="left"/>
      <w:lvlText w:val="(%1)"/>
      <w:numFmt w:val="lowerLetter"/>
      <w:start w:val="2"/>
    </w:lvl>
  </w:abstractNum>
  <w:abstractNum w:abstractNumId="9">
    <w:nsid w:val="109CF92E"/>
    <w:multiLevelType w:val="hybridMultilevel"/>
    <w:lvl w:ilvl="0">
      <w:lvlJc w:val="left"/>
      <w:lvlText w:val="(%1)"/>
      <w:numFmt w:val="lowerLetter"/>
      <w:start w:val="1"/>
    </w:lvl>
  </w:abstractNum>
  <w:abstractNum w:abstractNumId="10">
    <w:nsid w:val="DED7263"/>
    <w:multiLevelType w:val="hybridMultilevel"/>
    <w:lvl w:ilvl="0">
      <w:lvlJc w:val="left"/>
      <w:lvlText w:val="(%1)"/>
      <w:numFmt w:val="lowerLetter"/>
      <w:start w:val="2"/>
    </w:lvl>
  </w:abstractNum>
  <w:abstractNum w:abstractNumId="11">
    <w:nsid w:val="7FDCC233"/>
    <w:multiLevelType w:val="hybridMultilevel"/>
    <w:lvl w:ilvl="0">
      <w:lvlJc w:val="left"/>
      <w:lvlText w:val="(%1)"/>
      <w:numFmt w:val="lowerLetter"/>
      <w:start w:val="3"/>
    </w:lvl>
  </w:abstractNum>
  <w:abstractNum w:abstractNumId="12">
    <w:nsid w:val="1BEFD79F"/>
    <w:multiLevelType w:val="hybridMultilevel"/>
    <w:lvl w:ilvl="0">
      <w:lvlJc w:val="left"/>
      <w:lvlText w:val="%1"/>
      <w:numFmt w:val="decimal"/>
      <w:start w:val="104"/>
    </w:lvl>
  </w:abstractNum>
  <w:abstractNum w:abstractNumId="13">
    <w:nsid w:val="41A7C4C9"/>
    <w:multiLevelType w:val="hybridMultilevel"/>
    <w:lvl w:ilvl="0">
      <w:lvlJc w:val="left"/>
      <w:lvlText w:val="%1."/>
      <w:numFmt w:val="decimal"/>
      <w:start w:val="1"/>
    </w:lvl>
    <w:lvl w:ilvl="1">
      <w:lvlJc w:val="left"/>
      <w:lvlText w:val="%2)"/>
      <w:numFmt w:val="lowerLetter"/>
      <w:start w:val="1"/>
    </w:lvl>
  </w:abstractNum>
  <w:abstractNum w:abstractNumId="14">
    <w:nsid w:val="6B68079A"/>
    <w:multiLevelType w:val="hybridMultilevel"/>
    <w:lvl w:ilvl="0">
      <w:lvlJc w:val="left"/>
      <w:lvlText w:val="%1."/>
      <w:numFmt w:val="decimal"/>
      <w:start w:val="1"/>
    </w:lvl>
    <w:lvl w:ilvl="1">
      <w:lvlJc w:val="left"/>
      <w:lvlText w:val="%2)"/>
      <w:numFmt w:val="lowerLetter"/>
      <w:start w:val="1"/>
    </w:lvl>
  </w:abstractNum>
  <w:abstractNum w:abstractNumId="15">
    <w:nsid w:val="4E6AFB66"/>
    <w:multiLevelType w:val="hybridMultilevel"/>
    <w:lvl w:ilvl="0">
      <w:lvlJc w:val="left"/>
      <w:lvlText w:val="(%1)"/>
      <w:numFmt w:val="decimal"/>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2026-11-04T07:33:38Z</dcterms:created>
  <dcterms:modified xsi:type="dcterms:W3CDTF">2026-11-04T07:33:38Z</dcterms:modified>
</cp:coreProperties>
</file>