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jc w:val="center"/>
        <w:ind w:right="1879"/>
        <w:spacing w:after="0" w:line="238" w:lineRule="auto"/>
        <w:rPr>
          <w:sz w:val="20"/>
          <w:szCs w:val="20"/>
          <w:color w:val="auto"/>
        </w:rPr>
      </w:pPr>
      <w:r>
        <w:rPr>
          <w:rFonts w:ascii="Courier New" w:cs="Courier New" w:eastAsia="Courier New" w:hAnsi="Courier New"/>
          <w:sz w:val="18"/>
          <w:szCs w:val="18"/>
          <w:color w:val="auto"/>
        </w:rPr>
        <w:t>TWIN DISC, INCORPORATED</w:t>
      </w:r>
    </w:p>
    <w:p>
      <w:pPr>
        <w:jc w:val="center"/>
        <w:ind w:right="1879"/>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18, 2002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ind w:left="54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18, 2002 at the Corporate Offices, 1328 Racine Street, Racine, Wisconsin for the following purposes:</w:t>
      </w:r>
    </w:p>
    <w:p>
      <w:pPr>
        <w:spacing w:after="0" w:line="207"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until the Annual Meeting in 2005.</w:t>
      </w:r>
    </w:p>
    <w:p>
      <w:pPr>
        <w:spacing w:after="0" w:line="218" w:lineRule="exact"/>
        <w:rPr>
          <w:rFonts w:ascii="Courier New" w:cs="Courier New" w:eastAsia="Courier New" w:hAnsi="Courier New"/>
          <w:sz w:val="16"/>
          <w:szCs w:val="16"/>
          <w:color w:val="auto"/>
        </w:rPr>
      </w:pPr>
    </w:p>
    <w:p>
      <w:pPr>
        <w:ind w:left="860" w:hanging="325"/>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that may properly come before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meeting.</w:t>
      </w:r>
    </w:p>
    <w:p>
      <w:pPr>
        <w:spacing w:after="0" w:line="207" w:lineRule="exact"/>
        <w:rPr>
          <w:sz w:val="24"/>
          <w:szCs w:val="24"/>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August 30, 2002, shall be entitled to vote at the meeting.</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203"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FRED H. TIMM</w:t>
      </w:r>
    </w:p>
    <w:p>
      <w:pPr>
        <w:ind w:left="5060"/>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September 18, 2002</w:t>
      </w:r>
    </w:p>
    <w:p>
      <w:pPr>
        <w:spacing w:after="0" w:line="206"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ARE UNABLE TO ATTEND THE MEETING IN PERSON, PLEASE SIGN AND RETURN YOUR PROXY APPOINTMENT IN THE ENCLOSED ENVELOPE BEFORE THE DEADLINE STATED IN THE PROXY STATEMENT. IF YOUR PROXY APPOINTMENT IS NOT RECEIVED BY THE SECRETARY BEFORE THAT DEADLINE, IT WILL BE RULED INVALID. SHOULD YOU FIND IT CONVENIENT TO ATTEND THE MEETING PERSONALLY, AND DESIRE TO VOTE IN PERSON, YOU MAY REQUEST BEFORE ANY VOTE THAT YOUR PROXY APPOINTMENT BE RETURNED TO YOU IN ORDER THAT YOU MAY VOTE IN PERSON.</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ind w:left="3060"/>
        <w:spacing w:after="0" w:line="238" w:lineRule="auto"/>
        <w:rPr>
          <w:sz w:val="20"/>
          <w:szCs w:val="20"/>
          <w:color w:val="auto"/>
        </w:rPr>
      </w:pPr>
      <w:r>
        <w:rPr>
          <w:rFonts w:ascii="Courier New" w:cs="Courier New" w:eastAsia="Courier New" w:hAnsi="Courier New"/>
          <w:sz w:val="18"/>
          <w:szCs w:val="18"/>
          <w:color w:val="auto"/>
        </w:rPr>
        <w:t>2002 Proxy Statement</w:t>
      </w:r>
    </w:p>
    <w:p>
      <w:pPr>
        <w:ind w:left="2860"/>
        <w:spacing w:after="0"/>
        <w:rPr>
          <w:sz w:val="20"/>
          <w:szCs w:val="20"/>
          <w:color w:val="auto"/>
        </w:rPr>
      </w:pPr>
      <w:r>
        <w:rPr>
          <w:rFonts w:ascii="Courier New" w:cs="Courier New" w:eastAsia="Courier New" w:hAnsi="Courier New"/>
          <w:sz w:val="18"/>
          <w:szCs w:val="18"/>
          <w:color w:val="auto"/>
        </w:rPr>
        <w:t>TWIN DISC, INCORPORATED</w:t>
      </w:r>
    </w:p>
    <w:p>
      <w:pPr>
        <w:ind w:left="3160"/>
        <w:spacing w:after="0" w:line="237" w:lineRule="auto"/>
        <w:rPr>
          <w:sz w:val="20"/>
          <w:szCs w:val="20"/>
          <w:color w:val="auto"/>
        </w:rPr>
      </w:pPr>
      <w:r>
        <w:rPr>
          <w:rFonts w:ascii="Courier New" w:cs="Courier New" w:eastAsia="Courier New" w:hAnsi="Courier New"/>
          <w:sz w:val="18"/>
          <w:szCs w:val="18"/>
          <w:color w:val="auto"/>
        </w:rPr>
        <w:t>September 18,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MEETING</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18, 2002, or any adjournment thereof. Holders of common stock of record at the close of business on the 30th day of August 2002,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before September 18, 2002.</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enclosed proxy appointment form must be signed and delivered to the Secretary either in person, by mail, or by messenger. Appointment forms transmitted by facsimile, telex, telegram, or electronic means will not be accepted. Furthermore, appointment forms must be received by the Secretary not less than 48 hours prior to the date of the meeting. PROXY APPOINTMENT FORMS NOT MEETING THE ABOVE REQUIREMENTS WILL BE RULED INVALID.</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person giving the proxy may revoke it before it is exercised, either in person, by mail, or by messenger, by submitting a later dated proxy appointment form to the Secretary at least forty-eight (48) hours prior to the date of the meeting. The person giving the proxy may also revoke it by openly stating the revocation at the meeting, by voting at the meeting in person, or by delivering a signed written statement revoking the proxy to the Secretary prior to the date of the meeting. Appointment forms or revocations transmitted by facsimile, telex, telegram, or electronic means will not be accepted. ANY ATTEMPTED REVOCATIONS NOT MEETING THE ABOVE REQUIREMENTS WILL BE RULED INVALID.</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record date with respect to this solicitation is August 30, 2002. On August 30, 2002, there were outstanding 2,807,832 shares of common stock of the Corporation entitled to vote at the Annual Meeting. There also are 200,000 shares of no-par preferred stock authorized, of which 50,000 shares have been designated Series A Junior Preferred Stock, but none are outstanding.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PROPOSALS FOR 2003</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shareholder wishes to present a proposal for consideration for inclusion in the Notice of the Meeting and Proxy Statement for the 2003 Annual Meeting, the proposal must be received at the Corporation's principal executive offices no later than May 21, 2003. Shareholder proposals received later than August 4, 2003 will be considered untimely, and will not be considered at the Corporation's 2003 Annual Meeting.</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PERSONS MAKING THE SOLICITATION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 With regard to the election of directors, votes may be cast in favor or withheld; votes that are withheld will be excluded entirely from the vote and will have no effect. Abstentions may be specified on all proposals submitted to shareholders (other than the election of directors). Abstentions and "broker non-votes" are counted for purposes of determining the presence or absence of a quorum for the transaction of business. Under the rules of the New York Stock Exchange, Inc., brokers who hold shares in street name for customers may have authority to vote on certain items when they have not received instructions from beneficial owners. A "broker non-vote" occurs on an item submitted for shareholder approval when the broker does not have authority to vote on the item in the absence of instructions from the beneficial owner. Such "broker non-votes" will have no effect on the outcome of the election of directors. The approval of a majority of the votes cast on a particular matter shall be an act of the shareholders.</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PRINCIPAL SHAREHOLDERS, DIRECTORS AND EXECUTIVE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2002, the following table sets forth the persons or group of persons having beneficial ownership (as defined by the Securities and Exchange Commission) of more than 5% of the issued and outstanding common stock of the Corporation.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Nature of</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Beneficial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Address</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Ownership</w:t>
            </w:r>
          </w:p>
        </w:tc>
        <w:tc>
          <w:tcPr>
            <w:tcW w:w="58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Owned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8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 - - - - - - - - -</w:t>
            </w: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 - - - - - - -</w:t>
            </w:r>
          </w:p>
        </w:tc>
        <w:tc>
          <w:tcPr>
            <w:tcW w:w="17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 - - - - -</w:t>
            </w:r>
          </w:p>
        </w:tc>
        <w:tc>
          <w:tcPr>
            <w:tcW w:w="2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 -   - - - - -</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3419 Michigan Blvd.</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538,431</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19.2%</w:t>
            </w:r>
          </w:p>
        </w:tc>
        <w:tc>
          <w:tcPr>
            <w:tcW w:w="38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Racine, WI</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144,213</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w:t>
            </w:r>
          </w:p>
        </w:tc>
        <w:tc>
          <w:tcPr>
            <w:tcW w:w="38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Fidelity Management</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82 Devonshire St.</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269,300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9.6%</w:t>
            </w:r>
          </w:p>
        </w:tc>
        <w:tc>
          <w:tcPr>
            <w:tcW w:w="380" w:type="dxa"/>
            <w:vAlign w:val="bottom"/>
          </w:tcPr>
          <w:p>
            <w:pPr>
              <w:spacing w:after="0"/>
              <w:rPr>
                <w:sz w:val="24"/>
                <w:szCs w:val="24"/>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Research Corp.</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1299 Ocean Ave.</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213,500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7.6%</w:t>
            </w:r>
          </w:p>
        </w:tc>
        <w:tc>
          <w:tcPr>
            <w:tcW w:w="380" w:type="dxa"/>
            <w:vAlign w:val="bottom"/>
          </w:tcPr>
          <w:p>
            <w:pPr>
              <w:spacing w:after="0"/>
              <w:rPr>
                <w:sz w:val="24"/>
                <w:szCs w:val="24"/>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 Monica, CA</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Artisan Partners</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1000 N. Water St.</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153,466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c>
          <w:tcPr>
            <w:tcW w:w="380" w:type="dxa"/>
            <w:vAlign w:val="bottom"/>
          </w:tcPr>
          <w:p>
            <w:pPr>
              <w:spacing w:after="0"/>
              <w:rPr>
                <w:sz w:val="24"/>
                <w:szCs w:val="24"/>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Limited</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Milwaukee, WI</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Shufro Rose</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745 Fifth Ave.</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210,900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7.5%</w:t>
            </w:r>
          </w:p>
        </w:tc>
        <w:tc>
          <w:tcPr>
            <w:tcW w:w="380" w:type="dxa"/>
            <w:vAlign w:val="bottom"/>
          </w:tcPr>
          <w:p>
            <w:pPr>
              <w:spacing w:after="0"/>
              <w:rPr>
                <w:sz w:val="24"/>
                <w:szCs w:val="24"/>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Co. LLC</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4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Held as trustee under various trusts.</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4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Includes 2,600 shares owned by the wife</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Michael</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 Batten and</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63,500</w:t>
            </w:r>
          </w:p>
        </w:tc>
        <w:tc>
          <w:tcPr>
            <w:tcW w:w="38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subject to currently</w:t>
            </w:r>
          </w:p>
        </w:tc>
        <w:tc>
          <w:tcPr>
            <w:tcW w:w="3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exercisable stock options.</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DIRECTORS AND EXECUTIVE OFFICERS</w:t>
      </w:r>
    </w:p>
    <w:p>
      <w:pPr>
        <w:spacing w:after="0" w:line="5"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Based upon the records of the Corporation and filings with the Securities and Exchange Commission as of July 31, 2002,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30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8"/>
              </w:rPr>
              <w:t>Amount and Nature</w:t>
            </w:r>
          </w:p>
        </w:tc>
        <w:tc>
          <w:tcPr>
            <w:tcW w:w="2000" w:type="dxa"/>
            <w:vAlign w:val="bottom"/>
          </w:tcPr>
          <w:p>
            <w:pPr>
              <w:spacing w:after="0"/>
              <w:rPr>
                <w:sz w:val="17"/>
                <w:szCs w:val="17"/>
                <w:color w:val="auto"/>
              </w:rPr>
            </w:pPr>
          </w:p>
        </w:tc>
      </w:tr>
      <w:tr>
        <w:trPr>
          <w:trHeight w:val="203"/>
        </w:trPr>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 of</w:t>
            </w:r>
          </w:p>
        </w:tc>
        <w:tc>
          <w:tcPr>
            <w:tcW w:w="3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of Beneficial</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Beneficial Owner</w:t>
            </w:r>
          </w:p>
        </w:tc>
        <w:tc>
          <w:tcPr>
            <w:tcW w:w="306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Ownership</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 - - - - - - - -</w:t>
            </w:r>
          </w:p>
        </w:tc>
        <w:tc>
          <w:tcPr>
            <w:tcW w:w="3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 - - - - - - - -</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5"/>
              </w:rPr>
              <w:t>- - - - - -</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682,644</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6"/>
              </w:rPr>
              <w:t>24.3%</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45,665</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1.6%</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9,000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A. Mellowes</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4,000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32,960</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1.2%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Lance J. Melik</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8,315</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Paul J. Powers</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8,200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B. Rayburn</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2,000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L. Swift</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5,700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George E. Wardeberg</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4,400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R. Zimmer</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6,578</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3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(15 persons)</w:t>
            </w:r>
          </w:p>
        </w:tc>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851,043</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30.3%</w:t>
            </w: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Denotes ownership of less than one percent of shares outstanding.</w:t>
      </w:r>
    </w:p>
    <w:p>
      <w:pPr>
        <w:spacing w:after="0" w:line="207"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207" w:lineRule="exact"/>
        <w:rPr>
          <w:sz w:val="20"/>
          <w:szCs w:val="20"/>
          <w:color w:val="auto"/>
        </w:rPr>
      </w:pPr>
    </w:p>
    <w:p>
      <w:pPr>
        <w:jc w:val="both"/>
        <w:ind w:right="2619" w:firstLine="105"/>
        <w:spacing w:after="0" w:line="236" w:lineRule="auto"/>
        <w:rPr>
          <w:sz w:val="20"/>
          <w:szCs w:val="20"/>
          <w:color w:val="auto"/>
        </w:rPr>
      </w:pPr>
      <w:r>
        <w:rPr>
          <w:rFonts w:ascii="Courier New" w:cs="Courier New" w:eastAsia="Courier New" w:hAnsi="Courier New"/>
          <w:sz w:val="18"/>
          <w:szCs w:val="18"/>
          <w:color w:val="auto"/>
        </w:rPr>
        <w:t>Includes 2,600 shares held by Mr. Batten's wife, 538,431 shares held by him as trustee under various family trusts, and 63,500 shares subject to presently exercisable stock options.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 subject to currently exercisable stock options included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above are as follows: Mr. Parrish 24,800, Mr. Powers 7,900, Mr. Joyce 40,500,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Rayburn 2,000, Mr. Swift 5,500, Mr. Zimmer 5,500, Mr. Melik 8,250,</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Mr. Feiertag 9,000, Mr. Mellowes 4,000, Mr. Wardeberg 4,200, and all Directors and executive officers as a group 208,550.</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jc w:val="center"/>
        <w:ind w:right="2099"/>
        <w:spacing w:after="0" w:line="238" w:lineRule="auto"/>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2005. Shares of common stock represented by properly executed proxy appointments in the accompanying form will be voted for the nominees listed for the term indicated unless authority to do so is withheld.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Served as</w:t>
            </w: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Name of Director</w:t>
            </w:r>
          </w:p>
        </w:tc>
        <w:tc>
          <w:tcPr>
            <w:tcW w:w="44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and other Public</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Continuously</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Current Age</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 Directorships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 - - - - - - -</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 - - - - - - - - -</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NOMINEES FOR DIRECTORS FOR TERMS TO EXPIRE IN 2005:</w:t>
            </w:r>
          </w:p>
        </w:tc>
        <w:tc>
          <w:tcPr>
            <w:tcW w:w="1260" w:type="dxa"/>
            <w:vAlign w:val="bottom"/>
          </w:tcPr>
          <w:p>
            <w:pPr>
              <w:spacing w:after="0"/>
              <w:rPr>
                <w:sz w:val="24"/>
                <w:szCs w:val="24"/>
                <w:color w:val="auto"/>
              </w:rPr>
            </w:pP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w w:val="97"/>
              </w:rPr>
              <w:t>Michael E. Batten . . . . .  Chairman and Chief Executive Officer,</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May 1974</w:t>
            </w: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62</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Also Director,</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Briggs &amp; Stratton Corporation,</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Sensient Technologies Corporation</w:t>
            </w:r>
          </w:p>
        </w:tc>
        <w:tc>
          <w:tcPr>
            <w:tcW w:w="1260" w:type="dxa"/>
            <w:vAlign w:val="bottom"/>
          </w:tcPr>
          <w:p>
            <w:pPr>
              <w:spacing w:after="0"/>
              <w:rPr>
                <w:sz w:val="17"/>
                <w:szCs w:val="17"/>
                <w:color w:val="auto"/>
              </w:rPr>
            </w:pP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David L. Swift . . . . . . . Former Chairman, President and</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July 1995</w:t>
            </w: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65</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Acme-Cleveland Corporation,</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Pepper Pike, Ohio</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 manufacturer of diversified</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industrial products)</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Also Director,</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Jarden Corporation and</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Cuno Incorporated</w:t>
            </w:r>
          </w:p>
        </w:tc>
        <w:tc>
          <w:tcPr>
            <w:tcW w:w="1260" w:type="dxa"/>
            <w:vAlign w:val="bottom"/>
          </w:tcPr>
          <w:p>
            <w:pPr>
              <w:spacing w:after="0"/>
              <w:rPr>
                <w:sz w:val="17"/>
                <w:szCs w:val="17"/>
                <w:color w:val="auto"/>
              </w:rPr>
            </w:pP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David R. Zimmer. . . . . . . Chief Executive Officer,</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July 1995</w:t>
            </w: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56</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Twitchell Corporation,</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Dothan, AL</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 privately held manufacturer</w:t>
            </w:r>
          </w:p>
        </w:tc>
        <w:tc>
          <w:tcPr>
            <w:tcW w:w="1260" w:type="dxa"/>
            <w:vAlign w:val="bottom"/>
          </w:tcPr>
          <w:p>
            <w:pPr>
              <w:spacing w:after="0"/>
              <w:rPr>
                <w:sz w:val="17"/>
                <w:szCs w:val="17"/>
                <w:color w:val="auto"/>
              </w:rPr>
            </w:pPr>
          </w:p>
        </w:tc>
      </w:tr>
    </w:tbl>
    <w:p>
      <w:pPr>
        <w:ind w:left="3060"/>
        <w:spacing w:after="0" w:line="238" w:lineRule="auto"/>
        <w:rPr>
          <w:sz w:val="20"/>
          <w:szCs w:val="20"/>
          <w:color w:val="auto"/>
        </w:rPr>
      </w:pPr>
      <w:r>
        <w:rPr>
          <w:rFonts w:ascii="Courier New" w:cs="Courier New" w:eastAsia="Courier New" w:hAnsi="Courier New"/>
          <w:sz w:val="18"/>
          <w:szCs w:val="18"/>
          <w:color w:val="auto"/>
        </w:rPr>
        <w:t>and marketer of highly engineered,</w:t>
      </w:r>
    </w:p>
    <w:p>
      <w:pPr>
        <w:ind w:left="3060"/>
        <w:spacing w:after="0"/>
        <w:rPr>
          <w:sz w:val="20"/>
          <w:szCs w:val="20"/>
          <w:color w:val="auto"/>
        </w:rPr>
      </w:pPr>
      <w:r>
        <w:rPr>
          <w:rFonts w:ascii="Courier New" w:cs="Courier New" w:eastAsia="Courier New" w:hAnsi="Courier New"/>
          <w:sz w:val="18"/>
          <w:szCs w:val="18"/>
          <w:color w:val="auto"/>
        </w:rPr>
        <w:t>synthetic yarns, fabrics, extrusions,</w:t>
      </w:r>
    </w:p>
    <w:p>
      <w:pPr>
        <w:ind w:left="3060"/>
        <w:spacing w:after="0" w:line="237" w:lineRule="auto"/>
        <w:rPr>
          <w:sz w:val="20"/>
          <w:szCs w:val="20"/>
          <w:color w:val="auto"/>
        </w:rPr>
      </w:pPr>
      <w:r>
        <w:rPr>
          <w:rFonts w:ascii="Courier New" w:cs="Courier New" w:eastAsia="Courier New" w:hAnsi="Courier New"/>
          <w:sz w:val="18"/>
          <w:szCs w:val="18"/>
          <w:color w:val="auto"/>
        </w:rPr>
        <w:t>and coatings)</w:t>
      </w:r>
    </w:p>
    <w:p>
      <w:pPr>
        <w:ind w:left="3060"/>
        <w:spacing w:after="0" w:line="238" w:lineRule="auto"/>
        <w:rPr>
          <w:sz w:val="20"/>
          <w:szCs w:val="20"/>
          <w:color w:val="auto"/>
        </w:rPr>
      </w:pPr>
      <w:r>
        <w:rPr>
          <w:rFonts w:ascii="Courier New" w:cs="Courier New" w:eastAsia="Courier New" w:hAnsi="Courier New"/>
          <w:sz w:val="18"/>
          <w:szCs w:val="18"/>
          <w:color w:val="auto"/>
        </w:rPr>
        <w:t>Also Director,</w:t>
      </w:r>
    </w:p>
    <w:p>
      <w:pPr>
        <w:ind w:left="3060"/>
        <w:spacing w:after="0"/>
        <w:rPr>
          <w:sz w:val="20"/>
          <w:szCs w:val="20"/>
          <w:color w:val="auto"/>
        </w:rPr>
      </w:pPr>
      <w:r>
        <w:rPr>
          <w:rFonts w:ascii="Courier New" w:cs="Courier New" w:eastAsia="Courier New" w:hAnsi="Courier New"/>
          <w:sz w:val="18"/>
          <w:szCs w:val="18"/>
          <w:color w:val="auto"/>
        </w:rPr>
        <w:t>Detrex Corporation</w:t>
      </w:r>
    </w:p>
    <w:p>
      <w:pPr>
        <w:sectPr>
          <w:pgSz w:w="11900" w:h="16838" w:orient="portrait"/>
          <w:cols w:equalWidth="0" w:num="1">
            <w:col w:w="10219"/>
          </w:cols>
          <w:pgMar w:left="240" w:top="31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20" w:type="dxa"/>
            <w:vAlign w:val="bottom"/>
          </w:tcPr>
          <w:p>
            <w:pPr>
              <w:ind w:left="120"/>
              <w:spacing w:after="0"/>
              <w:rPr>
                <w:sz w:val="20"/>
                <w:szCs w:val="20"/>
                <w:color w:val="auto"/>
              </w:rPr>
            </w:pPr>
            <w:r>
              <w:rPr>
                <w:rFonts w:ascii="Courier New" w:cs="Courier New" w:eastAsia="Courier New" w:hAnsi="Courier New"/>
                <w:sz w:val="18"/>
                <w:szCs w:val="18"/>
                <w:color w:val="auto"/>
              </w:rPr>
              <w:t>6</w:t>
            </w:r>
          </w:p>
        </w:tc>
        <w:tc>
          <w:tcPr>
            <w:tcW w:w="3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DIRECTORS WHOSE TERMS EXPIRE</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2004:</w:t>
            </w:r>
          </w:p>
        </w:tc>
        <w:tc>
          <w:tcPr>
            <w:tcW w:w="1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James O. Parrish . . . . . .</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Vice President-Finance</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December 1982</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Age 62</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 Treasurer</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580" w:type="dxa"/>
            <w:vAlign w:val="bottom"/>
          </w:tcPr>
          <w:p>
            <w:pPr>
              <w:spacing w:after="0"/>
              <w:rPr>
                <w:sz w:val="17"/>
                <w:szCs w:val="17"/>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Paul J. Powers . . . . . . . Retired Chairman, President and</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July 1992</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Age 67</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Commercial Intertech, Corp.,</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Youngstown, Ohio</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leading manufacturer of hydraulic</w:t>
            </w:r>
          </w:p>
        </w:tc>
      </w:tr>
      <w:tr>
        <w:trPr>
          <w:trHeight w:val="203"/>
        </w:trPr>
        <w:tc>
          <w:tcPr>
            <w:tcW w:w="3020" w:type="dxa"/>
            <w:vAlign w:val="bottom"/>
          </w:tcPr>
          <w:p>
            <w:pPr>
              <w:spacing w:after="0"/>
              <w:rPr>
                <w:sz w:val="17"/>
                <w:szCs w:val="17"/>
                <w:color w:val="auto"/>
              </w:rPr>
            </w:pP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components, pre-engineered buildings</w:t>
            </w: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stamped metal products)</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Director of Global Marine Incorporated,</w:t>
            </w: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First Energy Corporation, and</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International Corporation</w:t>
            </w:r>
          </w:p>
        </w:tc>
        <w:tc>
          <w:tcPr>
            <w:tcW w:w="1580" w:type="dxa"/>
            <w:vAlign w:val="bottom"/>
          </w:tcPr>
          <w:p>
            <w:pPr>
              <w:spacing w:after="0"/>
              <w:rPr>
                <w:sz w:val="17"/>
                <w:szCs w:val="17"/>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John A. Mellowes . . . . . . Chairman and</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October, 1999</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64</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Charter Manufacturing Co.,</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Mequon, Wisconsin</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 privately held producer of bar,</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rod wire and wire parts)</w:t>
            </w:r>
          </w:p>
        </w:tc>
        <w:tc>
          <w:tcPr>
            <w:tcW w:w="1580" w:type="dxa"/>
            <w:vAlign w:val="bottom"/>
          </w:tcPr>
          <w:p>
            <w:pPr>
              <w:spacing w:after="0"/>
              <w:rPr>
                <w:sz w:val="17"/>
                <w:szCs w:val="17"/>
                <w:color w:val="auto"/>
              </w:rPr>
            </w:pPr>
          </w:p>
        </w:tc>
      </w:tr>
      <w:tr>
        <w:trPr>
          <w:trHeight w:val="203"/>
        </w:trPr>
        <w:tc>
          <w:tcPr>
            <w:tcW w:w="664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Also Director,</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Marshall &amp; Ilsley Corporation</w:t>
            </w:r>
          </w:p>
        </w:tc>
        <w:tc>
          <w:tcPr>
            <w:tcW w:w="1580" w:type="dxa"/>
            <w:vAlign w:val="bottom"/>
          </w:tcPr>
          <w:p>
            <w:pPr>
              <w:spacing w:after="0"/>
              <w:rPr>
                <w:sz w:val="17"/>
                <w:szCs w:val="17"/>
                <w:color w:val="auto"/>
              </w:rPr>
            </w:pP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IN 2003:</w:t>
            </w:r>
          </w:p>
        </w:tc>
        <w:tc>
          <w:tcPr>
            <w:tcW w:w="158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Michael H. Joyce . . . . . .</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President and</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October 1991</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61</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580" w:type="dxa"/>
            <w:vAlign w:val="bottom"/>
          </w:tcPr>
          <w:p>
            <w:pPr>
              <w:spacing w:after="0"/>
              <w:rPr>
                <w:sz w:val="17"/>
                <w:szCs w:val="17"/>
                <w:color w:val="auto"/>
              </w:rPr>
            </w:pPr>
          </w:p>
        </w:tc>
      </w:tr>
      <w:tr>
        <w:trPr>
          <w:trHeight w:val="203"/>
        </w:trPr>
        <w:tc>
          <w:tcPr>
            <w:tcW w:w="664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Also Director, Woodward</w:t>
            </w:r>
          </w:p>
        </w:tc>
        <w:tc>
          <w:tcPr>
            <w:tcW w:w="1580" w:type="dxa"/>
            <w:vAlign w:val="bottom"/>
          </w:tcPr>
          <w:p>
            <w:pPr>
              <w:spacing w:after="0"/>
              <w:rPr>
                <w:sz w:val="17"/>
                <w:szCs w:val="17"/>
                <w:color w:val="auto"/>
              </w:rPr>
            </w:pPr>
          </w:p>
        </w:tc>
      </w:tr>
      <w:tr>
        <w:trPr>
          <w:trHeight w:val="203"/>
        </w:trPr>
        <w:tc>
          <w:tcPr>
            <w:tcW w:w="664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Governor Company and</w:t>
            </w:r>
          </w:p>
        </w:tc>
        <w:tc>
          <w:tcPr>
            <w:tcW w:w="1580" w:type="dxa"/>
            <w:vAlign w:val="bottom"/>
          </w:tcPr>
          <w:p>
            <w:pPr>
              <w:spacing w:after="0"/>
              <w:rPr>
                <w:sz w:val="17"/>
                <w:szCs w:val="17"/>
                <w:color w:val="auto"/>
              </w:rPr>
            </w:pPr>
          </w:p>
        </w:tc>
      </w:tr>
      <w:tr>
        <w:trPr>
          <w:trHeight w:val="203"/>
        </w:trPr>
        <w:tc>
          <w:tcPr>
            <w:tcW w:w="30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Oil</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Gear Company</w:t>
            </w:r>
          </w:p>
        </w:tc>
        <w:tc>
          <w:tcPr>
            <w:tcW w:w="1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David B. Rayburn . . . . . .</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President and</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July 2000</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54</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Modine Manufacturing Company,</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Racine, Wisconsin</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heat</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 equipment)</w:t>
            </w:r>
          </w:p>
        </w:tc>
        <w:tc>
          <w:tcPr>
            <w:tcW w:w="1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George E. Wardeberg . . . .</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Retired Vice Chairman,</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July 1997</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67</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Wisconsin Energy Corporation</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Milwaukee, Wisconsin</w:t>
            </w:r>
          </w:p>
        </w:tc>
        <w:tc>
          <w:tcPr>
            <w:tcW w:w="1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holding company with subsidiaries in</w:t>
            </w:r>
          </w:p>
        </w:tc>
      </w:tr>
    </w:tbl>
    <w:p>
      <w:pPr>
        <w:ind w:left="3060"/>
        <w:spacing w:after="0" w:line="238" w:lineRule="auto"/>
        <w:rPr>
          <w:sz w:val="20"/>
          <w:szCs w:val="20"/>
          <w:color w:val="auto"/>
        </w:rPr>
      </w:pPr>
      <w:r>
        <w:rPr>
          <w:rFonts w:ascii="Courier New" w:cs="Courier New" w:eastAsia="Courier New" w:hAnsi="Courier New"/>
          <w:sz w:val="18"/>
          <w:szCs w:val="18"/>
          <w:color w:val="auto"/>
        </w:rPr>
        <w:t>utility and non-utility businesses)</w:t>
      </w:r>
    </w:p>
    <w:p>
      <w:pPr>
        <w:ind w:left="3060"/>
        <w:spacing w:after="0"/>
        <w:rPr>
          <w:sz w:val="20"/>
          <w:szCs w:val="20"/>
          <w:color w:val="auto"/>
        </w:rPr>
      </w:pPr>
      <w:r>
        <w:rPr>
          <w:rFonts w:ascii="Courier New" w:cs="Courier New" w:eastAsia="Courier New" w:hAnsi="Courier New"/>
          <w:sz w:val="18"/>
          <w:szCs w:val="18"/>
          <w:color w:val="auto"/>
        </w:rPr>
        <w:t>Also Director,</w:t>
      </w:r>
    </w:p>
    <w:p>
      <w:pPr>
        <w:ind w:left="3060"/>
        <w:spacing w:after="0" w:line="237" w:lineRule="auto"/>
        <w:rPr>
          <w:sz w:val="20"/>
          <w:szCs w:val="20"/>
          <w:color w:val="auto"/>
        </w:rPr>
      </w:pPr>
      <w:r>
        <w:rPr>
          <w:rFonts w:ascii="Courier New" w:cs="Courier New" w:eastAsia="Courier New" w:hAnsi="Courier New"/>
          <w:sz w:val="18"/>
          <w:szCs w:val="18"/>
          <w:color w:val="auto"/>
        </w:rPr>
        <w:t>Marshall &amp; Ilsley Corporation</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ind w:left="2540"/>
        <w:spacing w:after="0" w:line="238" w:lineRule="auto"/>
        <w:rPr>
          <w:sz w:val="20"/>
          <w:szCs w:val="20"/>
          <w:color w:val="auto"/>
        </w:rPr>
      </w:pPr>
      <w:r>
        <w:rPr>
          <w:rFonts w:ascii="Courier New" w:cs="Courier New" w:eastAsia="Courier New" w:hAnsi="Courier New"/>
          <w:sz w:val="18"/>
          <w:szCs w:val="18"/>
          <w:color w:val="auto"/>
        </w:rPr>
        <w:t>DIRECTOR COMMITTEES AND ATTENDANCE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MEETINGS AND ATTENDANCE</w:t>
      </w:r>
    </w:p>
    <w:p>
      <w:pPr>
        <w:spacing w:after="0" w:line="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Corporation's Board of Directors met 6 times during the year ended June 30, 2002. There were three absences from these meetings.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COMMITTEE MEETINGS AND ATTENDANCE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Executive Selection and Salary and Audit Committees met 1 and 3 times respectively, during the year. The Director Nominating and Board Affairs Committee met once during the year. The Pension and Finance Committees met 2 times during the year. Each Director attended at least 75% of the meetings requiring his attendance.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COMMITTEE FUNCTIONS</w:t>
      </w:r>
    </w:p>
    <w:p>
      <w:pPr>
        <w:spacing w:after="0" w:line="238" w:lineRule="auto"/>
        <w:rPr>
          <w:sz w:val="20"/>
          <w:szCs w:val="20"/>
          <w:color w:val="auto"/>
        </w:rPr>
      </w:pPr>
      <w:r>
        <w:rPr>
          <w:rFonts w:ascii="Courier New" w:cs="Courier New" w:eastAsia="Courier New" w:hAnsi="Courier New"/>
          <w:sz w:val="18"/>
          <w:szCs w:val="18"/>
          <w:color w:val="auto"/>
        </w:rPr>
        <w:t>Audit Committee</w:t>
      </w:r>
    </w:p>
    <w:p>
      <w:pPr>
        <w:spacing w:after="0" w:line="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Audit Committee reviews with the Corporation's Internal Auditor and Independent Public Accountants their activities, reports and comments, and recommends to the Board any action which it deems appropriate. The Committee recommends to the Board the selection of auditors.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Finance Committee considers management's proposed financial policies and actions, and makes appropriate recommendations to the Board regarding: Debt and capital structure, acquisitions, capital budgets, dividend policy and other financial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Nominating and Board Affairs Committee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Nominating and Board Affairs Committee recommends nominees for the Board to the Board of Directors. The Committee will consider nominees recommended by shareholders in writing to the Secretary. In addition, the Committee reviews proposed changes in corporate structure and governance, committee structure and function, and meeting schedules, making recommendations to the Board as appropriate.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Selection and Salary Committee</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Executive Selection and Salary Committee reviews nominees for Corporate offices and related compensation levels, making recommendations to the Board of Directors as considered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ind w:left="540"/>
        <w:spacing w:after="0" w:line="238" w:lineRule="auto"/>
        <w:rPr>
          <w:sz w:val="20"/>
          <w:szCs w:val="20"/>
          <w:color w:val="auto"/>
        </w:rPr>
      </w:pPr>
      <w:r>
        <w:rPr>
          <w:rFonts w:ascii="Courier New" w:cs="Courier New" w:eastAsia="Courier New" w:hAnsi="Courier New"/>
          <w:sz w:val="18"/>
          <w:szCs w:val="18"/>
          <w:color w:val="auto"/>
        </w:rPr>
        <w:t>The Directors' committees are currently comprised of the following</w:t>
      </w:r>
    </w:p>
    <w:tbl>
      <w:tblPr>
        <w:tblLayout w:type="fixed"/>
        <w:tblInd w:w="0" w:type="dxa"/>
        <w:tblCellMar>
          <w:top w:w="0" w:type="dxa"/>
          <w:left w:w="0" w:type="dxa"/>
          <w:bottom w:w="0" w:type="dxa"/>
          <w:right w:w="0" w:type="dxa"/>
        </w:tblCellMar>
      </w:tblPr>
      <w:tr>
        <w:trPr>
          <w:trHeight w:val="203"/>
        </w:trPr>
        <w:tc>
          <w:tcPr>
            <w:tcW w:w="6380" w:type="dxa"/>
            <w:vAlign w:val="bottom"/>
            <w:gridSpan w:val="4"/>
          </w:tcPr>
          <w:p>
            <w:pPr>
              <w:spacing w:after="0"/>
              <w:rPr>
                <w:sz w:val="20"/>
                <w:szCs w:val="20"/>
                <w:color w:val="auto"/>
              </w:rPr>
            </w:pPr>
            <w:r>
              <w:rPr>
                <w:rFonts w:ascii="Courier New" w:cs="Courier New" w:eastAsia="Courier New" w:hAnsi="Courier New"/>
                <w:sz w:val="18"/>
                <w:szCs w:val="18"/>
                <w:color w:val="auto"/>
              </w:rPr>
              <w:t>Directors; the Chairman of the Committee is listed first:</w:t>
            </w:r>
          </w:p>
        </w:tc>
        <w:tc>
          <w:tcPr>
            <w:tcW w:w="196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Executive</w:t>
            </w:r>
          </w:p>
        </w:tc>
        <w:tc>
          <w:tcPr>
            <w:tcW w:w="196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Selection</w:t>
            </w:r>
          </w:p>
        </w:tc>
        <w:tc>
          <w:tcPr>
            <w:tcW w:w="1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Finance</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Pension</w:t>
            </w: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Salary</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Board Affairs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 - -</w:t>
            </w:r>
          </w:p>
        </w:tc>
        <w:tc>
          <w:tcPr>
            <w:tcW w:w="1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 - -</w:t>
            </w:r>
          </w:p>
        </w:tc>
        <w:tc>
          <w:tcPr>
            <w:tcW w:w="2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 - - - -</w:t>
            </w:r>
          </w:p>
        </w:tc>
        <w:tc>
          <w:tcPr>
            <w:tcW w:w="1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 - - - - - -</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Swift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Wardeberg</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Zimmer</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Powers</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Mellowes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Mellowes</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Powers</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Mellowes</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Swift</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Powers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Rayburn</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Rayburn</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Rayburn</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Zimmer</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Zimmer</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Wardeberg</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Swift</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Wardeberg</w:t>
            </w: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Joyce</w:t>
            </w: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Parrish</w:t>
            </w: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ind w:left="120"/>
              <w:spacing w:after="0"/>
              <w:rPr>
                <w:sz w:val="20"/>
                <w:szCs w:val="20"/>
                <w:color w:val="auto"/>
              </w:rPr>
            </w:pPr>
            <w:r>
              <w:rPr>
                <w:rFonts w:ascii="Courier New" w:cs="Courier New" w:eastAsia="Courier New" w:hAnsi="Courier New"/>
                <w:sz w:val="18"/>
                <w:szCs w:val="18"/>
                <w:color w:val="auto"/>
              </w:rPr>
              <w:t>8</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COMPENSATION OF EXECUTIVE</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OFFICERS</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8340" w:type="dxa"/>
            <w:vAlign w:val="bottom"/>
            <w:gridSpan w:val="7"/>
          </w:tcPr>
          <w:p>
            <w:pPr>
              <w:jc w:val="right"/>
              <w:ind w:right="1072"/>
              <w:spacing w:after="0" w:line="203" w:lineRule="exact"/>
              <w:rPr>
                <w:sz w:val="20"/>
                <w:szCs w:val="20"/>
                <w:color w:val="auto"/>
              </w:rPr>
            </w:pPr>
            <w:r>
              <w:rPr>
                <w:rFonts w:ascii="Courier New" w:cs="Courier New" w:eastAsia="Courier New" w:hAnsi="Courier New"/>
                <w:sz w:val="18"/>
                <w:szCs w:val="18"/>
                <w:color w:val="auto"/>
              </w:rPr>
              <w:t>The following table sets forth the compensation received by the</w:t>
            </w:r>
          </w:p>
        </w:tc>
      </w:tr>
      <w:tr>
        <w:trPr>
          <w:trHeight w:val="203"/>
        </w:trPr>
        <w:tc>
          <w:tcPr>
            <w:tcW w:w="83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Corporation's Chief Executive Officer and the 4 most highly paid executive</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officers for the 3 fiscal</w:t>
            </w:r>
          </w:p>
        </w:tc>
        <w:tc>
          <w:tcPr>
            <w:tcW w:w="5600" w:type="dxa"/>
            <w:vAlign w:val="bottom"/>
            <w:gridSpan w:val="5"/>
          </w:tcPr>
          <w:p>
            <w:pPr>
              <w:jc w:val="right"/>
              <w:ind w:right="1072"/>
              <w:spacing w:after="0" w:line="203" w:lineRule="exact"/>
              <w:rPr>
                <w:sz w:val="20"/>
                <w:szCs w:val="20"/>
                <w:color w:val="auto"/>
              </w:rPr>
            </w:pPr>
            <w:r>
              <w:rPr>
                <w:rFonts w:ascii="Courier New" w:cs="Courier New" w:eastAsia="Courier New" w:hAnsi="Courier New"/>
                <w:sz w:val="18"/>
                <w:szCs w:val="18"/>
                <w:color w:val="auto"/>
                <w:w w:val="97"/>
              </w:rPr>
              <w:t>years ended June 30, 2000, 2001, and 2002,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respectively.</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08"/>
        </w:trPr>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SUMMARY COMPENSATION TABLE</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Annual</w:t>
            </w:r>
          </w:p>
        </w:tc>
        <w:tc>
          <w:tcPr>
            <w:tcW w:w="96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Courier New" w:cs="Courier New" w:eastAsia="Courier New" w:hAnsi="Courier New"/>
                <w:sz w:val="18"/>
                <w:szCs w:val="18"/>
                <w:color w:val="auto"/>
              </w:rPr>
              <w:t>Long-Term</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Compensation</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Compensation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 - - - - -</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 - - - - - -</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Stock</w:t>
            </w:r>
          </w:p>
        </w:tc>
        <w:tc>
          <w:tcPr>
            <w:tcW w:w="20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All Other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Salary</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Bonus</w:t>
            </w:r>
          </w:p>
        </w:tc>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Options  Compensation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 - - - - - - - -</w:t>
            </w:r>
          </w:p>
        </w:tc>
        <w:tc>
          <w:tcPr>
            <w:tcW w:w="5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86"/>
              </w:rPr>
              <w:t>-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 - -</w:t>
            </w:r>
          </w:p>
        </w:tc>
        <w:tc>
          <w:tcPr>
            <w:tcW w:w="4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 - - - -   - - - -  - - - - - - - -</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2002</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$376,792</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$172,429</w:t>
            </w:r>
          </w:p>
        </w:tc>
        <w:tc>
          <w:tcPr>
            <w:tcW w:w="1680" w:type="dxa"/>
            <w:vAlign w:val="bottom"/>
          </w:tcPr>
          <w:p>
            <w:pPr>
              <w:ind w:left="620"/>
              <w:spacing w:after="0"/>
              <w:rPr>
                <w:sz w:val="20"/>
                <w:szCs w:val="20"/>
                <w:color w:val="auto"/>
              </w:rPr>
            </w:pPr>
            <w:r>
              <w:rPr>
                <w:rFonts w:ascii="Courier New" w:cs="Courier New" w:eastAsia="Courier New" w:hAnsi="Courier New"/>
                <w:sz w:val="18"/>
                <w:szCs w:val="18"/>
                <w:color w:val="auto"/>
              </w:rPr>
              <w:t>8,000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18,041</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and</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358,721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174,141</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6,000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17,366</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345,000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119,800</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6,000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12,503</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2002</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$282,074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$106,873</w:t>
            </w:r>
          </w:p>
        </w:tc>
        <w:tc>
          <w:tcPr>
            <w:tcW w:w="1680" w:type="dxa"/>
            <w:vAlign w:val="bottom"/>
          </w:tcPr>
          <w:p>
            <w:pPr>
              <w:ind w:left="620"/>
              <w:spacing w:after="0"/>
              <w:rPr>
                <w:sz w:val="20"/>
                <w:szCs w:val="20"/>
                <w:color w:val="auto"/>
              </w:rPr>
            </w:pPr>
            <w:r>
              <w:rPr>
                <w:rFonts w:ascii="Courier New" w:cs="Courier New" w:eastAsia="Courier New" w:hAnsi="Courier New"/>
                <w:sz w:val="18"/>
                <w:szCs w:val="18"/>
                <w:color w:val="auto"/>
              </w:rPr>
              <w:t>4,000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8,245</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267,107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103,785</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3,000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8,665</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263,154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59,400</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3,000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5,921</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2002</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$216,451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$ 63,310</w:t>
            </w:r>
          </w:p>
        </w:tc>
        <w:tc>
          <w:tcPr>
            <w:tcW w:w="1680" w:type="dxa"/>
            <w:vAlign w:val="bottom"/>
          </w:tcPr>
          <w:p>
            <w:pPr>
              <w:ind w:left="620"/>
              <w:spacing w:after="0"/>
              <w:rPr>
                <w:sz w:val="20"/>
                <w:szCs w:val="20"/>
                <w:color w:val="auto"/>
              </w:rPr>
            </w:pPr>
            <w:r>
              <w:rPr>
                <w:rFonts w:ascii="Courier New" w:cs="Courier New" w:eastAsia="Courier New" w:hAnsi="Courier New"/>
                <w:sz w:val="18"/>
                <w:szCs w:val="18"/>
                <w:color w:val="auto"/>
              </w:rPr>
              <w:t>4,000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8,452</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135,404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39,645</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5,000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59,184</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Manufacturing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2002</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$190,172</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$ 54,063</w:t>
            </w:r>
          </w:p>
        </w:tc>
        <w:tc>
          <w:tcPr>
            <w:tcW w:w="1680" w:type="dxa"/>
            <w:vAlign w:val="bottom"/>
          </w:tcPr>
          <w:p>
            <w:pPr>
              <w:ind w:left="620"/>
              <w:spacing w:after="0"/>
              <w:rPr>
                <w:sz w:val="20"/>
                <w:szCs w:val="20"/>
                <w:color w:val="auto"/>
              </w:rPr>
            </w:pPr>
            <w:r>
              <w:rPr>
                <w:rFonts w:ascii="Courier New" w:cs="Courier New" w:eastAsia="Courier New" w:hAnsi="Courier New"/>
                <w:sz w:val="18"/>
                <w:szCs w:val="18"/>
                <w:color w:val="auto"/>
              </w:rPr>
              <w:t>3,000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8,171</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180,312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52,553</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9,454</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&amp;</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171,600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35,700</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9,720</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Treasurer</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Lance J. Melik</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2002</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$149,747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$ 40,788</w:t>
            </w:r>
          </w:p>
        </w:tc>
        <w:tc>
          <w:tcPr>
            <w:tcW w:w="1680" w:type="dxa"/>
            <w:vAlign w:val="bottom"/>
          </w:tcPr>
          <w:p>
            <w:pPr>
              <w:ind w:left="620"/>
              <w:spacing w:after="0"/>
              <w:rPr>
                <w:sz w:val="20"/>
                <w:szCs w:val="20"/>
                <w:color w:val="auto"/>
              </w:rPr>
            </w:pPr>
            <w:r>
              <w:rPr>
                <w:rFonts w:ascii="Courier New" w:cs="Courier New" w:eastAsia="Courier New" w:hAnsi="Courier New"/>
                <w:sz w:val="18"/>
                <w:szCs w:val="18"/>
                <w:color w:val="auto"/>
              </w:rPr>
              <w:t>2,500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6,182</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Vice President and</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140,663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34,202</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7,707</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Manager,</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130,685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23,908</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1,250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4,700</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Industrial and</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Transmission</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Represents annual incentive bonuses determined by the Board of Directors. See "Board Executive Selection and Salary Committee Report on Executive Compensation-Annual Incentives". Bonuses represent amounts earned during the fiscal year and are paid in the subsequent fiscal year.</w:t>
      </w:r>
    </w:p>
    <w:p>
      <w:pPr>
        <w:spacing w:after="0" w:line="207" w:lineRule="exact"/>
        <w:rPr>
          <w:sz w:val="20"/>
          <w:szCs w:val="20"/>
          <w:color w:val="auto"/>
        </w:rPr>
      </w:pPr>
    </w:p>
    <w:p>
      <w:pPr>
        <w:ind w:right="2199" w:firstLine="105"/>
        <w:spacing w:after="0" w:line="236" w:lineRule="auto"/>
        <w:rPr>
          <w:sz w:val="20"/>
          <w:szCs w:val="20"/>
          <w:color w:val="auto"/>
        </w:rPr>
      </w:pPr>
      <w:r>
        <w:rPr>
          <w:rFonts w:ascii="Courier New" w:cs="Courier New" w:eastAsia="Courier New" w:hAnsi="Courier New"/>
          <w:sz w:val="18"/>
          <w:szCs w:val="18"/>
          <w:color w:val="auto"/>
        </w:rPr>
        <w:t>Amounts are comprised of Corporation's 401(k) matching contributions and Corporation paid life insurance includible in income, and for Mr. Feiertag a signing bonus.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summarizes option grants during fiscal year 2002 to the executive officers named in the Summary Compensation Table above, and the potential realizable values at assumed annual rates of stock price appreciation for the applicable 5 or 10 year option term.</w:t>
      </w:r>
    </w:p>
    <w:p>
      <w:pPr>
        <w:sectPr>
          <w:pgSz w:w="11900" w:h="16838" w:orient="portrait"/>
          <w:cols w:equalWidth="0" w:num="1">
            <w:col w:w="10219"/>
          </w:cols>
          <w:pgMar w:left="240" w:top="31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9</w:t>
            </w: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1380" w:type="dxa"/>
            <w:vAlign w:val="bottom"/>
          </w:tcPr>
          <w:p>
            <w:pPr>
              <w:spacing w:after="0"/>
              <w:rPr>
                <w:sz w:val="24"/>
                <w:szCs w:val="24"/>
                <w:color w:val="auto"/>
              </w:rPr>
            </w:pPr>
          </w:p>
        </w:tc>
        <w:tc>
          <w:tcPr>
            <w:tcW w:w="4800" w:type="dxa"/>
            <w:vAlign w:val="bottom"/>
            <w:gridSpan w:val="5"/>
          </w:tcPr>
          <w:p>
            <w:pPr>
              <w:ind w:left="940"/>
              <w:spacing w:after="0"/>
              <w:rPr>
                <w:sz w:val="20"/>
                <w:szCs w:val="20"/>
                <w:color w:val="auto"/>
              </w:rPr>
            </w:pPr>
            <w:r>
              <w:rPr>
                <w:rFonts w:ascii="Courier New" w:cs="Courier New" w:eastAsia="Courier New" w:hAnsi="Courier New"/>
                <w:sz w:val="18"/>
                <w:szCs w:val="18"/>
                <w:color w:val="auto"/>
              </w:rPr>
              <w:t>OPTION GRANTS IN LAST FISCAL YEAR</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Potential</w:t>
            </w:r>
          </w:p>
        </w:tc>
        <w:tc>
          <w:tcPr>
            <w:tcW w:w="19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Realizable Value</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at Assumed Annual</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Rates</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of Stock Price Appreciation</w:t>
            </w:r>
          </w:p>
        </w:tc>
      </w:tr>
      <w:tr>
        <w:trPr>
          <w:trHeight w:val="203"/>
        </w:trPr>
        <w:tc>
          <w:tcPr>
            <w:tcW w:w="1380" w:type="dxa"/>
            <w:vAlign w:val="bottom"/>
          </w:tcPr>
          <w:p>
            <w:pPr>
              <w:spacing w:after="0"/>
              <w:rPr>
                <w:sz w:val="17"/>
                <w:szCs w:val="17"/>
                <w:color w:val="auto"/>
              </w:rPr>
            </w:pPr>
          </w:p>
        </w:tc>
        <w:tc>
          <w:tcPr>
            <w:tcW w:w="2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Individual</w:t>
            </w:r>
          </w:p>
        </w:tc>
        <w:tc>
          <w:tcPr>
            <w:tcW w:w="14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Grants</w:t>
            </w:r>
          </w:p>
        </w:tc>
        <w:tc>
          <w:tcPr>
            <w:tcW w:w="1120" w:type="dxa"/>
            <w:vAlign w:val="bottom"/>
          </w:tcPr>
          <w:p>
            <w:pPr>
              <w:spacing w:after="0"/>
              <w:rPr>
                <w:sz w:val="17"/>
                <w:szCs w:val="17"/>
                <w:color w:val="auto"/>
              </w:rPr>
            </w:pPr>
          </w:p>
        </w:tc>
        <w:tc>
          <w:tcPr>
            <w:tcW w:w="2260" w:type="dxa"/>
            <w:vAlign w:val="bottom"/>
            <w:gridSpan w:val="4"/>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for Option Term</w:t>
            </w:r>
          </w:p>
        </w:tc>
      </w:tr>
      <w:tr>
        <w:trPr>
          <w:trHeight w:val="203"/>
        </w:trPr>
        <w:tc>
          <w:tcPr>
            <w:tcW w:w="1380" w:type="dxa"/>
            <w:vAlign w:val="bottom"/>
          </w:tcPr>
          <w:p>
            <w:pPr>
              <w:spacing w:after="0"/>
              <w:rPr>
                <w:sz w:val="17"/>
                <w:szCs w:val="17"/>
                <w:color w:val="auto"/>
              </w:rPr>
            </w:pPr>
          </w:p>
        </w:tc>
        <w:tc>
          <w:tcPr>
            <w:tcW w:w="36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33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rPr>
                <w:sz w:val="17"/>
                <w:szCs w:val="17"/>
                <w:color w:val="auto"/>
              </w:rPr>
            </w:pP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of</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of Total</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Underlying</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Options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Granted</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to</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Expiration</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w:t>
            </w:r>
          </w:p>
        </w:tc>
        <w:tc>
          <w:tcPr>
            <w:tcW w:w="2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Granted Employees</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  Date</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360" w:type="dxa"/>
            <w:vAlign w:val="bottom"/>
          </w:tcPr>
          <w:p>
            <w:pPr>
              <w:ind w:left="320"/>
              <w:spacing w:after="0"/>
              <w:rPr>
                <w:sz w:val="20"/>
                <w:szCs w:val="20"/>
                <w:color w:val="auto"/>
              </w:rPr>
            </w:pPr>
            <w:r>
              <w:rPr>
                <w:rFonts w:ascii="Courier New" w:cs="Courier New" w:eastAsia="Courier New" w:hAnsi="Courier New"/>
                <w:sz w:val="18"/>
                <w:szCs w:val="18"/>
                <w:color w:val="auto"/>
              </w:rPr>
              <w:t>4,000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w:t>
            </w:r>
          </w:p>
        </w:tc>
        <w:tc>
          <w:tcPr>
            <w:tcW w:w="38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$15.0500</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8/13/06</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37,859</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95,943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Batten</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16.5600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8/13/11</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41,658</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105,570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15.0500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8/13/11</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37,859</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95,943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 Feiertag</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15.0500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8/13/11</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37,859</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95,943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15.0500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8/13/11</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28,395</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71,957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2,500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15.0500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8/13/11</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23,662</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59,965</w:t>
            </w:r>
          </w:p>
        </w:tc>
      </w:tr>
    </w:tbl>
    <w:p>
      <w:pPr>
        <w:spacing w:after="0" w:line="207"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During the fiscal year ended June 30, 2002, a total of 44,700 options were granted to officers, key employees and directors, with 38,700 granted under the 1998 Incentive Compensation Plan, and 6,000 options granted under the 1998 Stock Option Plan for Non-Employee Directors.</w:t>
      </w:r>
    </w:p>
    <w:p>
      <w:pPr>
        <w:spacing w:after="0" w:line="207" w:lineRule="exact"/>
        <w:rPr>
          <w:sz w:val="20"/>
          <w:szCs w:val="20"/>
          <w:color w:val="auto"/>
        </w:rPr>
      </w:pPr>
    </w:p>
    <w:p>
      <w:pPr>
        <w:jc w:val="both"/>
        <w:ind w:right="2419" w:firstLine="105"/>
        <w:spacing w:after="0" w:line="236" w:lineRule="auto"/>
        <w:rPr>
          <w:sz w:val="20"/>
          <w:szCs w:val="20"/>
          <w:color w:val="auto"/>
        </w:rPr>
      </w:pPr>
      <w:r>
        <w:rPr>
          <w:rFonts w:ascii="Courier New" w:cs="Courier New" w:eastAsia="Courier New" w:hAnsi="Courier New"/>
          <w:sz w:val="18"/>
          <w:szCs w:val="18"/>
          <w:color w:val="auto"/>
        </w:rPr>
        <w:t>The exercise price is the fair market value on the date of grant, except for incentive stock options granted to Mr. Batten which are exercisable at 110% of the fair market value at date of grant.</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AGGREGATED OPTION EXERCISES IN</w:t>
      </w:r>
    </w:p>
    <w:p>
      <w:pPr>
        <w:ind w:left="1900"/>
        <w:spacing w:after="0" w:line="238" w:lineRule="auto"/>
        <w:rPr>
          <w:sz w:val="20"/>
          <w:szCs w:val="20"/>
          <w:color w:val="auto"/>
        </w:rPr>
      </w:pPr>
      <w:r>
        <w:rPr>
          <w:rFonts w:ascii="Courier New" w:cs="Courier New" w:eastAsia="Courier New" w:hAnsi="Courier New"/>
          <w:sz w:val="18"/>
          <w:szCs w:val="18"/>
          <w:color w:val="auto"/>
        </w:rPr>
        <w:t>LAST FISCAL YEAR AND YEAR-END OPTION VALUES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2002 by the named executive officers and the value of such officers' unexercised options at June 30, 2002.</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Total Number</w:t>
            </w:r>
          </w:p>
        </w:tc>
        <w:tc>
          <w:tcPr>
            <w:tcW w:w="740" w:type="dxa"/>
            <w:vAlign w:val="bottom"/>
          </w:tcPr>
          <w:p>
            <w:pPr>
              <w:spacing w:after="0"/>
              <w:rPr>
                <w:sz w:val="17"/>
                <w:szCs w:val="17"/>
                <w:color w:val="auto"/>
              </w:rPr>
            </w:pPr>
          </w:p>
        </w:tc>
        <w:tc>
          <w:tcPr>
            <w:tcW w:w="27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Total Value</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of Unexercised</w:t>
            </w:r>
          </w:p>
        </w:tc>
        <w:tc>
          <w:tcPr>
            <w:tcW w:w="740" w:type="dxa"/>
            <w:vAlign w:val="bottom"/>
          </w:tcPr>
          <w:p>
            <w:pPr>
              <w:spacing w:after="0"/>
              <w:rPr>
                <w:sz w:val="17"/>
                <w:szCs w:val="17"/>
                <w:color w:val="auto"/>
              </w:rPr>
            </w:pPr>
          </w:p>
        </w:tc>
        <w:tc>
          <w:tcPr>
            <w:tcW w:w="27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of Unexercised,</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Options Held</w:t>
            </w:r>
          </w:p>
        </w:tc>
        <w:tc>
          <w:tcPr>
            <w:tcW w:w="740" w:type="dxa"/>
            <w:vAlign w:val="bottom"/>
          </w:tcPr>
          <w:p>
            <w:pPr>
              <w:spacing w:after="0"/>
              <w:rPr>
                <w:sz w:val="17"/>
                <w:szCs w:val="17"/>
                <w:color w:val="auto"/>
              </w:rPr>
            </w:pPr>
          </w:p>
        </w:tc>
        <w:tc>
          <w:tcPr>
            <w:tcW w:w="2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160" w:type="dxa"/>
            <w:vAlign w:val="bottom"/>
          </w:tcPr>
          <w:p>
            <w:pPr>
              <w:spacing w:after="0"/>
              <w:rPr>
                <w:sz w:val="17"/>
                <w:szCs w:val="17"/>
                <w:color w:val="auto"/>
              </w:rPr>
            </w:pP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Shares</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Value</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at Fiscal Year</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End</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Held at Fiscal Year End</w:t>
            </w:r>
          </w:p>
        </w:tc>
      </w:tr>
      <w:tr>
        <w:trPr>
          <w:trHeight w:val="203"/>
        </w:trPr>
        <w:tc>
          <w:tcPr>
            <w:tcW w:w="24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Acquired on</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Real-</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Unexer-</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Unexer-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Exercise</w:t>
            </w: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ized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cisable</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cisable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63,500</w:t>
            </w:r>
          </w:p>
        </w:tc>
        <w:tc>
          <w:tcPr>
            <w:tcW w:w="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  0</w:t>
            </w:r>
          </w:p>
        </w:tc>
        <w:tc>
          <w:tcPr>
            <w:tcW w:w="14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40,500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24,800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J. Feiertag</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8,250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440" w:type="dxa"/>
            <w:vAlign w:val="bottom"/>
            <w:gridSpan w:val="2"/>
          </w:tcPr>
          <w:p>
            <w:pPr>
              <w:spacing w:after="0"/>
              <w:rPr>
                <w:sz w:val="20"/>
                <w:szCs w:val="20"/>
                <w:color w:val="auto"/>
              </w:rPr>
            </w:pPr>
            <w:r>
              <w:rPr>
                <w:rFonts w:ascii="Courier New" w:cs="Courier New" w:eastAsia="Courier New" w:hAnsi="Courier New"/>
                <w:sz w:val="18"/>
                <w:szCs w:val="18"/>
                <w:color w:val="auto"/>
              </w:rPr>
              <w:t>Retirement Income Plan</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86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The Twin Disc, Inc., Retirement Plan for</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Salaried Employees provides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non-contributory benefits based upon both years of service</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the employees'</w:t>
            </w:r>
          </w:p>
        </w:tc>
      </w:tr>
      <w:tr>
        <w:trPr>
          <w:trHeight w:val="203"/>
        </w:trPr>
        <w:tc>
          <w:tcPr>
            <w:tcW w:w="82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highest consecutive 5-year average annual compensation during the last 10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calendar</w:t>
            </w:r>
          </w:p>
        </w:tc>
        <w:tc>
          <w:tcPr>
            <w:tcW w:w="7320" w:type="dxa"/>
            <w:vAlign w:val="bottom"/>
            <w:gridSpan w:val="7"/>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years of service. The non-contributory benefits were frozen as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7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31, 1996.  The Plan is integrated with Social Security. The following</w:t>
            </w:r>
          </w:p>
        </w:tc>
      </w:tr>
      <w:tr>
        <w:trPr>
          <w:trHeight w:val="203"/>
        </w:trPr>
        <w:tc>
          <w:tcPr>
            <w:tcW w:w="4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table presents the non-contributory benefits</w:t>
            </w:r>
          </w:p>
        </w:tc>
        <w:tc>
          <w:tcPr>
            <w:tcW w:w="35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payable for life under the Plan</w:t>
            </w:r>
          </w:p>
        </w:tc>
      </w:tr>
      <w:tr>
        <w:trPr>
          <w:trHeight w:val="203"/>
        </w:trPr>
        <w:tc>
          <w:tcPr>
            <w:tcW w:w="71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to employees assuming normal retirement in the current year.</w:t>
            </w:r>
          </w:p>
        </w:tc>
        <w:tc>
          <w:tcPr>
            <w:tcW w:w="1100" w:type="dxa"/>
            <w:vAlign w:val="bottom"/>
          </w:tcPr>
          <w:p>
            <w:pPr>
              <w:spacing w:after="0"/>
              <w:rPr>
                <w:sz w:val="17"/>
                <w:szCs w:val="17"/>
                <w:color w:val="auto"/>
              </w:rPr>
            </w:pP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AVERAGE HIGH</w:t>
            </w:r>
          </w:p>
        </w:tc>
        <w:tc>
          <w:tcPr>
            <w:tcW w:w="1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NON-CONTRIBUTORY</w:t>
            </w:r>
          </w:p>
        </w:tc>
        <w:tc>
          <w:tcPr>
            <w:tcW w:w="1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PENSION BASED</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ON</w:t>
            </w:r>
          </w:p>
        </w:tc>
        <w:tc>
          <w:tcPr>
            <w:tcW w:w="1100" w:type="dxa"/>
            <w:vAlign w:val="bottom"/>
          </w:tcPr>
          <w:p>
            <w:pPr>
              <w:spacing w:after="0"/>
              <w:rPr>
                <w:sz w:val="24"/>
                <w:szCs w:val="24"/>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5-YEAR ANNUAL</w:t>
            </w:r>
          </w:p>
        </w:tc>
        <w:tc>
          <w:tcPr>
            <w:tcW w:w="122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YEARS OF CREDIT SERVICE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 YEARS</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 YEARS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25 YEARS</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30 YEARS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 YEARS</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$ 50,000</w:t>
            </w:r>
          </w:p>
        </w:tc>
        <w:tc>
          <w:tcPr>
            <w:tcW w:w="68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$ 9,428</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$18,256</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$19,795</w:t>
            </w:r>
          </w:p>
        </w:tc>
        <w:tc>
          <w:tcPr>
            <w:tcW w:w="1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$21,214</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$24,398</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c>
          <w:tcPr>
            <w:tcW w:w="6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14,628</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28,356</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30,908</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33,239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38,076</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6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19,828</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38,456</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42,021</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45,264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51,754</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c>
          <w:tcPr>
            <w:tcW w:w="6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30,228</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58,656</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64,247</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69,314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79,111</w:t>
            </w:r>
          </w:p>
        </w:tc>
      </w:tr>
    </w:tbl>
    <w:p>
      <w:pPr>
        <w:spacing w:after="0" w:line="200" w:lineRule="exact"/>
        <w:rPr>
          <w:sz w:val="20"/>
          <w:szCs w:val="20"/>
          <w:color w:val="auto"/>
        </w:rPr>
      </w:pPr>
    </w:p>
    <w:p>
      <w:pPr>
        <w:spacing w:after="0" w:line="209"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Internal Revenue Code and</w:t>
      </w:r>
    </w:p>
    <w:p>
      <w:pPr>
        <w:sectPr>
          <w:pgSz w:w="11900" w:h="16838" w:orient="portrait"/>
          <w:cols w:equalWidth="0" w:num="1">
            <w:col w:w="10219"/>
          </w:cols>
          <w:pgMar w:left="240" w:top="312" w:right="1440" w:bottom="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in the Employee Retirement Income Security Act of 1974 (ERISA), as currently stated or as adjusted from time to time. As of December 31, 1996, the credited years of service for each of the Corporation's executive officers named in the Summary Compensation Table is as follows: Mr. Batten 27 years; Mr. Joyce 6 years; Mr. Parrish 23 years; and Mr. Melik 29 years. Mr. Feiertag was not an employee as of December 31, 1996, therefore has no accrued benefit under the Plan.</w:t>
      </w:r>
    </w:p>
    <w:p>
      <w:pPr>
        <w:sectPr>
          <w:pgSz w:w="11900" w:h="16838" w:orient="portrait"/>
          <w:cols w:equalWidth="0" w:num="1">
            <w:col w:w="10219"/>
          </w:cols>
          <w:pgMar w:left="240" w:top="14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Effective January 1, 1997, the Plan was amended to add a cash balance formula for post-January 1, 1997, accruals. Benefits under the Plan are generally equal to the sum of the benefits as frozen on December 31, 1996, plus benefits that accumulate under the cash balance formula beginning on January 1, 1997. Benefits under the cash balance formula are generally stated as a lump sum amount, but may be distributed as a lump sum or an annuity. Accruals under the cash balance formula are based on a percentage of compensation, from 4.5% to 6.5% based on years of service, with interest credits at the thirty year U.S. Treasury Bond rate with a minimum guaranty of 3%. To record these pay credits and interest credits, a hypothetical account balance is maintained for each participant. The hypothetical account balance for each named executive as of June 30, 2002, is as follows: Mr. Batten $73,613; Mr. Joyce $53,866; Mr. Parrish $67,504; Mr. Melik $62,701; and Mr. Feiertag $14,522. If the named executives continue in their respective positions and retire at the normal retirement age of 65, their estimated annual pension amount under cash balance portion of the Plan would be: Mr. Batten $10,048; Mr. Joyce $ 8,367; Mr. Parrish $ 10,211; Mr. Melik $ 12,315 ; and Mr. Feiertag $ 26,033.</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supplemental retirement benefit is extended to qualified management. The supplemental retirement benefit is calculated as a single life annuity at an amount approximating 50% of the highest rate of pay attained during a specified period. The benefit is payable in the form of a single life annuity, contingent annuity, 10-year temporary annuity, a single lump sum payment, or two payments. The contingent annuity provides for payments to continue to the surviving spouse at a rate equal to 50% of the rate previously paid to the participant. In the event of death of a plan member after attaining a retirement age but prior to retirement, the surviving spouse will receive a lump sum benefit.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Outside Directors of the Corporation (non-corporation employees) are paid an annual retainer of $10,000. In addition, outside Directors receive a $1,400 fee for each board meeting and each committee meeting attended. Directors who are officers do not receive any fees in addition to their remuneration as officers.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Outside Directors (non-Corporation employees) are eligible to participate in the 1988 Non-Qualified Stock Option Plan for Officers, Key Employees and Directors and the 1998 Stock Option Plan for Non-Employee Directors. Under the 1998 Plan, each outside Director receives 1,000 options upon election or re-election at an annual meeting and 600 options if appointed to the Board between annual meetings.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Outside Directors (non-Corporation employees) who reach the age of 68 or who retire from full-time employment maybe required to retire from the Board of Directors effective as of the completion of their current term. Retired outside directors are entitled to an annual retirement benefit equal to the sum of:</w:t>
      </w:r>
    </w:p>
    <w:p>
      <w:pPr>
        <w:spacing w:after="0" w:line="203" w:lineRule="exact"/>
        <w:rPr>
          <w:sz w:val="20"/>
          <w:szCs w:val="20"/>
          <w:color w:val="auto"/>
        </w:rPr>
      </w:pPr>
    </w:p>
    <w:p>
      <w:pPr>
        <w:ind w:left="860" w:hanging="325"/>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left="860" w:right="2419" w:hanging="325"/>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monthly fees for Director Meetings at the rate prevailing at the time of retirement.</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benefit is payable for a term equal to the Director's years of service or life, whichever is shorter.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w:t>
      </w:r>
    </w:p>
    <w:p>
      <w:pPr>
        <w:spacing w:after="0" w:line="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Corporation has entered into agreements with certain of its key executives, including Messrs. Batten, Joyce, Parrish, Melik and Feiertag. The agreements provide for severance benefits to be paid to the executive following a change in control of the Corporation (as defined in those agreements) and a termination (as defined in those agreements) of the employment of the executive. Upon the occurrence of the events, as specified in the agreements, which would entitle the executive to the payment of severance benefits, the maximum contingent liability of the Corporation for the payment of such severance benefits would be approximately $3,326,000. Severance benefits for an executive officer would generally consist of the sum of the executive's highest annual base salary between the change in control and the date of termination plus the executive's most recent annual bonus times the lesser of 1.50 (2.75 for Messrs. Batten, Joyce and Parrish) or the number of whole and fractional years between the termination date and his normal retirement date. In addition, the executive would be entitled to the cash value of any shares of common stock subject to unexercised stock options held by the executive and a continuance of fringe benefits for 24 months following termination. The agreements are specifically designed to assure that benefits will not exceed the limitations and provisions of Sec. 280(g) of the Internal Revenue Code.</w:t>
      </w:r>
    </w:p>
    <w:p>
      <w:pPr>
        <w:sectPr>
          <w:pgSz w:w="11900" w:h="16838" w:orient="portrait"/>
          <w:cols w:equalWidth="0" w:num="1">
            <w:col w:w="10219"/>
          </w:cols>
          <w:pgMar w:left="240" w:top="312" w:right="1440" w:bottom="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2740" w:right="3259" w:hanging="1369"/>
        <w:spacing w:after="0" w:line="235" w:lineRule="auto"/>
        <w:rPr>
          <w:sz w:val="20"/>
          <w:szCs w:val="20"/>
          <w:color w:val="auto"/>
        </w:rPr>
      </w:pPr>
      <w:r>
        <w:rPr>
          <w:rFonts w:ascii="Courier New" w:cs="Courier New" w:eastAsia="Courier New" w:hAnsi="Courier New"/>
          <w:sz w:val="18"/>
          <w:szCs w:val="18"/>
          <w:color w:val="auto"/>
        </w:rPr>
        <w:t>Board Executive Selection and Salary Committee Report on Executive Compensation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4"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The Corporation's primary business objective is to maximize shareholder value over the long term. To accomplish this objective, the Corporation has developed a comprehensive business strategy that emphasizes maximizing long-term cash flow and earnings, maintaining leadership or becoming the leader in its markets, and providing products of the highest quality.</w:t>
      </w:r>
    </w:p>
    <w:p>
      <w:pPr>
        <w:spacing w:after="0" w:line="185"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The Executive Selection and Salary Committee of the Board of Directors (the "Committee") is comprised of 3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 administers executive compensation programs in support of compensation policies.</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Competitive market data is provided by an independent compensation consultant. The data provided compares the Corporation's compensation practices to a group of comparative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comparative group for compensation purposes, the Committee exercises its judgment and makes its decision after considering the factors it deems relevant.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companies chosen for the comparative group used for compensation purposes are not necessarily the same companies which comprise the peer group index in the Performance Graph included in this proxy statement. The Committee believes that the Corporation's most direct competitors for executive talent include many companies in geographical areas in which the Corporation operates as well as many of the companies that are included in the peer group established for comparing shareholders returns.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Committee regularly reviews each executive's base salary. Base salaries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85"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pacing w:after="0" w:line="3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Overall, executive salaries were increased at rates comparable to the increases provided at other companies and are near market levels.</w:t>
      </w:r>
    </w:p>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reflected in the Summary Compensation Table on page 8, Mr. Batten's base salary was increased in fiscal year 2002 by $18,071. In determining Mr. Batten's base salary in 2002, the Committee considered the Company's financial performance for the year, Mr. Batten's individual performance, and his long-term contributions to the success of the Corporation. The Committee also compared Mr. Batten's base salary to the base salaries of CEOs at comparative companies.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Twin Disc Incentive Bonus Program (the "Annual Plan") promotes the Corporation's pay-for-performance philosophy by providing executives with direct financial incentives in the form of annual cash bonuses to achieve corporate, business unit, and individual performance goals. Annual bonus opportunities allow the Corporation to communicate specific goals that are of primary importance during the coming year and motivate executives to achieve these goals.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executive's position, are determined annually by Mr. Batten, as chief executive officer, subject to the approval of the Committee.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and target bonus levels based on a percentage of base salary. Executives earn bonuses to the extent to which preestablished goals are achieved.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fiscal year 2002 bonus awards were granted as earnings targets were attained indicating prior long-term decisions are providing favorable results. Corporate goals in 2002 were based on target earnings and return on net assets employed.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Target bonus awards are established at levels approximating marketplace practices for each executive. Targets are considered by the Committee to be achievable, but to require above average performance from each of the executives.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 fiscal year 2002, Mr. Batten received a bonus under the Annual Plan of $172,429. This reflects achievements towards the Corporation's goals relating to earnings and return on net assets employed in fiscal year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Long-term incentives are provided pursuant to the Corporation's 1988 Non-Qualified Stock Option Plan for Officers, Key Employees and Directors, the 1988 Incentive Stock Option Plan, the 1998 Incentive Compensation Plan and the 1998 Stock Option Plan for Non-Employee Directors.</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keeping with the Corporation's commitment to provide a total compensation package which includes at-risk components of pay, the Committee makes annual decisions regarding appropriate stock option grants for each executive. When awarding stock options, the Committee considers executives' levels of responsibility, prior experience, historical award data, various performance criteria, and compensation practices at comparator companies. Consistent with the above stated goals, Mr. Batten received options to purchase 8,000 shares in fiscal year 2002.</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Stock options are granted at an option price not less than the fair market value of the Corporation's common stock on the date of grant. Accordingly, stock options have value only if the stock price appreciates from the date the options are granted. This design focuses executives on the creation of shareholder value over the long term and encourages equity ownership in the Corporation.</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162(m) of the Internal Revenue Code, enacted in 1993, generally disallows a tax deduction to public companies for compensation over $1 million paid to the Company's CEO and four other most highly compensated executive officers. Qualifying performance-based compensation will not be subject to the deduction limit if certain requirements are met. The compensation of the Corporation's CEO and the four other most highly compensated executive officers currently does not approach the disqualifying threshold. In the future, in the event the disqualifying threshold becomes an issue, the Committee will weigh all the facts and circumstances in existence at the time.</w:t>
      </w:r>
    </w:p>
    <w:p>
      <w:pPr>
        <w:spacing w:after="0" w:line="178"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Executive Selection and Salary Committee</w:t>
      </w:r>
    </w:p>
    <w:p>
      <w:pPr>
        <w:ind w:left="4960"/>
        <w:spacing w:after="0" w:line="238" w:lineRule="auto"/>
        <w:rPr>
          <w:sz w:val="20"/>
          <w:szCs w:val="20"/>
          <w:color w:val="auto"/>
        </w:rPr>
      </w:pPr>
      <w:r>
        <w:rPr>
          <w:rFonts w:ascii="Courier New" w:cs="Courier New" w:eastAsia="Courier New" w:hAnsi="Courier New"/>
          <w:sz w:val="18"/>
          <w:szCs w:val="18"/>
          <w:color w:val="auto"/>
        </w:rPr>
        <w:t>Paul J. Powers, Chairman</w:t>
      </w:r>
    </w:p>
    <w:p>
      <w:pPr>
        <w:ind w:left="4960"/>
        <w:spacing w:after="0"/>
        <w:rPr>
          <w:sz w:val="20"/>
          <w:szCs w:val="20"/>
          <w:color w:val="auto"/>
        </w:rPr>
      </w:pPr>
      <w:r>
        <w:rPr>
          <w:rFonts w:ascii="Courier New" w:cs="Courier New" w:eastAsia="Courier New" w:hAnsi="Courier New"/>
          <w:sz w:val="18"/>
          <w:szCs w:val="18"/>
          <w:color w:val="auto"/>
        </w:rPr>
        <w:t>David L. Swift</w:t>
      </w:r>
    </w:p>
    <w:p>
      <w:pPr>
        <w:ind w:left="4960"/>
        <w:spacing w:after="0" w:line="237" w:lineRule="auto"/>
        <w:rPr>
          <w:sz w:val="20"/>
          <w:szCs w:val="20"/>
          <w:color w:val="auto"/>
        </w:rPr>
      </w:pPr>
      <w:r>
        <w:rPr>
          <w:rFonts w:ascii="Courier New" w:cs="Courier New" w:eastAsia="Courier New" w:hAnsi="Courier New"/>
          <w:sz w:val="18"/>
          <w:szCs w:val="18"/>
          <w:color w:val="auto"/>
        </w:rPr>
        <w:t>David R. Zimmer</w:t>
      </w:r>
    </w:p>
    <w:p>
      <w:pPr>
        <w:sectPr>
          <w:pgSz w:w="11900" w:h="16838" w:orient="portrait"/>
          <w:cols w:equalWidth="0" w:num="1">
            <w:col w:w="10219"/>
          </w:cols>
          <w:pgMar w:left="240" w:top="312" w:right="1440" w:bottom="0" w:gutter="0" w:footer="0" w:header="0"/>
        </w:sectPr>
      </w:pPr>
    </w:p>
    <w:bookmarkStart w:id="13" w:name="page14"/>
    <w:bookmarkEnd w:id="13"/>
    <w:p>
      <w:pPr>
        <w:ind w:left="2820"/>
        <w:spacing w:after="0"/>
        <w:rPr>
          <w:sz w:val="20"/>
          <w:szCs w:val="20"/>
          <w:color w:val="auto"/>
        </w:rPr>
      </w:pPr>
      <w:r>
        <w:rPr>
          <w:rFonts w:ascii="Courier New" w:cs="Courier New" w:eastAsia="Courier New" w:hAnsi="Courier New"/>
          <w:sz w:val="16"/>
          <w:szCs w:val="16"/>
          <w:color w:val="auto"/>
        </w:rPr>
        <w:t>July 26, 2002</w:t>
      </w:r>
    </w:p>
    <w:p>
      <w:pPr>
        <w:sectPr>
          <w:pgSz w:w="11900" w:h="16838" w:orient="portrait"/>
          <w:cols w:equalWidth="0" w:num="1">
            <w:col w:w="9019"/>
          </w:cols>
          <w:pgMar w:left="1440" w:top="14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charter reflects standards set forth in SEC regulations and New York Stock Exchange rules. All members of the Audit Committee are independent, as defined in Sections 303.01(B)(2)(a) and (3) of the listing standards of the New York Stock Exchange.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three times during fiscal 2002.</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61 (Communication with Audit Committee).</w:t>
      </w:r>
    </w:p>
    <w:p>
      <w:pPr>
        <w:spacing w:after="0" w:line="21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Committee received the written disclosures and the letter required from the independent accountants as required by the Independence Standards Board Standard No. 1 (Independence Discussions with Audit Committee). The Committee also discussed with PricewaterhouseCoopers LLP matters relating to its independence.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2002, for filing with the Securities and Exchange Commission.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Audit Committee</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David L. Swift, Chairman</w:t>
      </w:r>
    </w:p>
    <w:p>
      <w:pPr>
        <w:ind w:left="4960"/>
        <w:spacing w:after="0" w:line="238" w:lineRule="auto"/>
        <w:rPr>
          <w:sz w:val="20"/>
          <w:szCs w:val="20"/>
          <w:color w:val="auto"/>
        </w:rPr>
      </w:pPr>
      <w:r>
        <w:rPr>
          <w:rFonts w:ascii="Courier New" w:cs="Courier New" w:eastAsia="Courier New" w:hAnsi="Courier New"/>
          <w:sz w:val="18"/>
          <w:szCs w:val="18"/>
          <w:color w:val="auto"/>
        </w:rPr>
        <w:t>John A. Mellowes</w:t>
      </w:r>
    </w:p>
    <w:p>
      <w:pPr>
        <w:ind w:left="4960"/>
        <w:spacing w:after="0"/>
        <w:rPr>
          <w:sz w:val="20"/>
          <w:szCs w:val="20"/>
          <w:color w:val="auto"/>
        </w:rPr>
      </w:pPr>
      <w:r>
        <w:rPr>
          <w:rFonts w:ascii="Courier New" w:cs="Courier New" w:eastAsia="Courier New" w:hAnsi="Courier New"/>
          <w:sz w:val="18"/>
          <w:szCs w:val="18"/>
          <w:color w:val="auto"/>
        </w:rPr>
        <w:t>David B. Rayburn</w:t>
      </w:r>
    </w:p>
    <w:p>
      <w:pPr>
        <w:ind w:left="4960"/>
        <w:spacing w:after="0" w:line="237" w:lineRule="auto"/>
        <w:rPr>
          <w:sz w:val="20"/>
          <w:szCs w:val="20"/>
          <w:color w:val="auto"/>
        </w:rPr>
      </w:pPr>
      <w:r>
        <w:rPr>
          <w:rFonts w:ascii="Courier New" w:cs="Courier New" w:eastAsia="Courier New" w:hAnsi="Courier New"/>
          <w:sz w:val="18"/>
          <w:szCs w:val="18"/>
          <w:color w:val="auto"/>
        </w:rPr>
        <w:t>George E. Wardeberg</w:t>
      </w:r>
    </w:p>
    <w:p>
      <w:pPr>
        <w:ind w:left="4020"/>
        <w:spacing w:after="0" w:line="238" w:lineRule="auto"/>
        <w:rPr>
          <w:sz w:val="20"/>
          <w:szCs w:val="20"/>
          <w:color w:val="auto"/>
        </w:rPr>
      </w:pPr>
      <w:r>
        <w:rPr>
          <w:rFonts w:ascii="Courier New" w:cs="Courier New" w:eastAsia="Courier New" w:hAnsi="Courier New"/>
          <w:sz w:val="18"/>
          <w:szCs w:val="18"/>
          <w:color w:val="auto"/>
        </w:rPr>
        <w:t>July 26,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PUBLIC AUDITORS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firm of PricewaterhouseCoopers LLP has audited the Corporation's books annually since 1928. Representatives of PricewaterhouseCoopers LLP are expected to be present at the meeting and, while no formal statement will be made by them, they will be available to respond to appropriate questions.</w:t>
      </w:r>
    </w:p>
    <w:p>
      <w:pPr>
        <w:sectPr>
          <w:pgSz w:w="11900" w:h="16838" w:orient="portrait"/>
          <w:cols w:equalWidth="0" w:num="1">
            <w:col w:w="10219"/>
          </w:cols>
          <w:pgMar w:left="24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14</w:t>
      </w:r>
    </w:p>
    <w:p>
      <w:pPr>
        <w:spacing w:after="0" w:line="238" w:lineRule="auto"/>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compares total shareholder return over the last 5 fiscal years to the Standard &amp; Poor's Machinery Index and the Russell 2000 index. The S&amp;P Machinery Index consists of a broad range of manufacturers. The Russell 2000 Index consists of a broad range of 2,000 Companies. The Corporation believes, because of the similarity of its business with those companies contained in the S&amp;P Machinery Index, that comparison of shareholder return with this index is appropriate. Total return values for the Corporation's common stock, the S&amp;P Machinery Index and the Russell 2000 Index were calculated based upon an assumption of a $100 investment on June 30, 1996 and based upon cumulative total return values assuming reinvestment of dividends on a quarterly basis.</w:t>
      </w:r>
    </w:p>
    <w:p>
      <w:pPr>
        <w:spacing w:after="0" w:line="200" w:lineRule="exact"/>
        <w:rPr>
          <w:sz w:val="20"/>
          <w:szCs w:val="20"/>
          <w:color w:val="auto"/>
        </w:rPr>
      </w:pPr>
    </w:p>
    <w:p>
      <w:pPr>
        <w:spacing w:after="0" w:line="21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Comparison of Five-Year Cumulative Total Return</w:t>
      </w:r>
    </w:p>
    <w:p>
      <w:pPr>
        <w:ind w:left="1900"/>
        <w:spacing w:after="0" w:line="238" w:lineRule="auto"/>
        <w:rPr>
          <w:sz w:val="20"/>
          <w:szCs w:val="20"/>
          <w:color w:val="auto"/>
        </w:rPr>
      </w:pPr>
      <w:r>
        <w:rPr>
          <w:rFonts w:ascii="Courier New" w:cs="Courier New" w:eastAsia="Courier New" w:hAnsi="Courier New"/>
          <w:sz w:val="18"/>
          <w:szCs w:val="18"/>
          <w:color w:val="auto"/>
        </w:rPr>
        <w:t>Twin Disc, Inc.; S&amp;P Machinery; and Russell 2000</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06/30/97</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06/30/98</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06/30/99</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06/30/00</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06/30/01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06/30/02</w:t>
            </w:r>
          </w:p>
        </w:tc>
      </w:tr>
      <w:tr>
        <w:trPr>
          <w:trHeight w:val="203"/>
        </w:trPr>
        <w:tc>
          <w:tcPr>
            <w:tcW w:w="148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107.80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74.27</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65.94</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63.98</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62.66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Machinery</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101.96</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111.70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82.48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87.07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95.61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116.51</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118.25</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135.20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135.97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124.28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(a) BENEFICIAL OWNERSHIP</w:t>
      </w:r>
    </w:p>
    <w:p>
      <w:pPr>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2001 to June 30, 2002, all Section 16(a) filing requirements applicable to its executive officers, Directors and greater than ten (10%) beneficial owners were complied with.</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Aggregate fees, including out-of-pocket expenses, for professional services rendered by PricewaterhouseCoopers LLP ("PricewaterhouseCoopers") in connection with (i) the audit of the Company's consolidated financial statements as of and for the year ended June 30, 2002, including statutory audits of the financial statements of the Company's affiliates that are relied on in performance of the audit of the Company's consolidated financial statements, and (ii) the limited reviews of the Company's quarterly financial statements were $299,400.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SYSTEMS DESIGN AND IMPLEMENTATION FEES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During the year ended June 30, 2002, PricewaterhouseCoopers rendered no professional services to the Company in connection with the design and implementation of financial information systems.</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15</w:t>
      </w:r>
    </w:p>
    <w:p>
      <w:pPr>
        <w:spacing w:after="0" w:line="238" w:lineRule="auto"/>
        <w:rPr>
          <w:sz w:val="20"/>
          <w:szCs w:val="20"/>
          <w:color w:val="auto"/>
        </w:rPr>
      </w:pPr>
      <w:r>
        <w:rPr>
          <w:rFonts w:ascii="Courier New" w:cs="Courier New" w:eastAsia="Courier New" w:hAnsi="Courier New"/>
          <w:sz w:val="18"/>
          <w:szCs w:val="18"/>
          <w:color w:val="auto"/>
        </w:rPr>
        <w:t>ALL OTHER FEES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to the other fees described above, aggregate fees, including out-of-pocket expenses, of $592,500 were paid to PricewaterhouseCoopers during the year ended June 30, 2002, primarily for the following professional services: tax-related services, due diligence for acquisitions, and other non-recurring audit services.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Audit Committee has determined that the provision of services for (a) financial information systems design and implementation fees listed above, if any, and (b) all other fees listed above, is compatible with maintaining PricewaterhouseCoopers LLP's independence.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Shareholder Communications Inc., New York, NY has been retained to assist in solicitation of proxies for the Annual Meeting at a fee not to exceed $7,000 plus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Management does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not</w:t>
            </w:r>
          </w:p>
        </w:tc>
        <w:tc>
          <w:tcPr>
            <w:tcW w:w="2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know of any other business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come</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before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meeting. However, if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other matters properly come before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meeting, it is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intention of the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persons named in</w:t>
            </w:r>
          </w:p>
        </w:tc>
        <w:tc>
          <w:tcPr>
            <w:tcW w:w="1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accompanying</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proxy to vote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upon such matters in</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their discretion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accordance</w:t>
            </w:r>
          </w:p>
        </w:tc>
        <w:tc>
          <w:tcPr>
            <w:tcW w:w="2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with the authorization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proxy.</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2019-12-12T10:39:33Z</dcterms:created>
  <dcterms:modified xsi:type="dcterms:W3CDTF">2019-12-12T10:39:33Z</dcterms:modified>
</cp:coreProperties>
</file>