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25" w:lineRule="exact"/>
        <w:rPr>
          <w:sz w:val="24"/>
          <w:szCs w:val="24"/>
          <w:color w:val="auto"/>
        </w:rPr>
      </w:pPr>
    </w:p>
    <w:p>
      <w:pPr>
        <w:spacing w:after="0"/>
        <w:tabs>
          <w:tab w:leader="none" w:pos="3280" w:val="left"/>
        </w:tabs>
        <w:rPr>
          <w:sz w:val="20"/>
          <w:szCs w:val="20"/>
          <w:color w:val="auto"/>
        </w:rPr>
      </w:pPr>
      <w:r>
        <w:rPr>
          <w:rFonts w:ascii="Arial" w:cs="Arial" w:eastAsia="Arial" w:hAnsi="Arial"/>
          <w:sz w:val="17"/>
          <w:szCs w:val="17"/>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Preliminary Proxy Statement</w:t>
      </w:r>
    </w:p>
    <w:p>
      <w:pPr>
        <w:spacing w:after="0" w:line="2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Definitive Proxy Statement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Section 240.14a-2.</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Twin Disc, Incorporated</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14"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 ] No fee required.</w:t>
      </w:r>
    </w:p>
    <w:p>
      <w:pPr>
        <w:spacing w:after="0" w:line="211"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transactions computed pursuant to Exchange Act Rule 0-11 (Set forth the amount on which the filing fee is calculated and state how it was determined):</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9" w:lineRule="exact"/>
        <w:rPr>
          <w:sz w:val="24"/>
          <w:szCs w:val="24"/>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w:t>
      </w:r>
    </w:p>
    <w:p>
      <w:pPr>
        <w:spacing w:after="0" w:line="211"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Fee paid previously with preliminary materials.</w:t>
      </w:r>
    </w:p>
    <w:p>
      <w:pPr>
        <w:spacing w:after="0" w:line="225" w:lineRule="exact"/>
        <w:rPr>
          <w:sz w:val="24"/>
          <w:szCs w:val="24"/>
          <w:color w:val="auto"/>
        </w:rPr>
      </w:pPr>
    </w:p>
    <w:p>
      <w:pPr>
        <w:ind w:right="580" w:firstLine="8"/>
        <w:spacing w:after="0" w:line="258"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9" w:lineRule="exact"/>
        <w:rPr>
          <w:sz w:val="24"/>
          <w:szCs w:val="24"/>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234"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19685</wp:posOffset>
            </wp:positionV>
            <wp:extent cx="1724025" cy="780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402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1328 Racine Street, Racine, Wisconsin 53403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 – OCTOBER 28,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IS HEREBY GIVEN TO THE SHAREHOLDERS OF TWIN DISC, INCORPORATED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Annual Meeting of Shareholders of Twin Disc, Incorporated, a Wisconsin corporation (the “Corporation”), will be held at 2:00 P.M. (Central Time) 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Friday, October 28, 2016, at the Corporate Offices, 1328 Racine Street, Racine, Wisconsin 53403 (the “Annual Meeting”) for the following purposes:</w:t>
      </w:r>
    </w:p>
    <w:p>
      <w:pPr>
        <w:spacing w:after="0" w:line="222" w:lineRule="exact"/>
        <w:rPr>
          <w:sz w:val="20"/>
          <w:szCs w:val="20"/>
          <w:color w:val="auto"/>
        </w:rPr>
      </w:pPr>
    </w:p>
    <w:p>
      <w:pPr>
        <w:ind w:left="500" w:right="900" w:hanging="6"/>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Directors to serve until the Annual Meeting of Shareholders in 2019 and one Director to serve until the Annual Meeting of Shareholders in 2018.</w:t>
      </w:r>
    </w:p>
    <w:p>
      <w:pPr>
        <w:spacing w:after="0" w:line="170" w:lineRule="exact"/>
        <w:rPr>
          <w:rFonts w:ascii="Arial" w:cs="Arial" w:eastAsia="Arial" w:hAnsi="Arial"/>
          <w:sz w:val="18"/>
          <w:szCs w:val="18"/>
          <w:color w:val="auto"/>
        </w:rPr>
      </w:pPr>
    </w:p>
    <w:p>
      <w:pPr>
        <w:ind w:left="680" w:hanging="18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 advisory vote to approve the compensation of the Corporation’s Named Executive Officers.</w:t>
      </w:r>
    </w:p>
    <w:p>
      <w:pPr>
        <w:spacing w:after="0" w:line="225" w:lineRule="exact"/>
        <w:rPr>
          <w:rFonts w:ascii="Arial" w:cs="Arial" w:eastAsia="Arial" w:hAnsi="Arial"/>
          <w:sz w:val="18"/>
          <w:szCs w:val="18"/>
          <w:color w:val="auto"/>
        </w:rPr>
      </w:pPr>
    </w:p>
    <w:p>
      <w:pPr>
        <w:ind w:left="500" w:right="320" w:hanging="6"/>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an independent registered public accounting firm, as our independent auditors for the fiscal year ending June 30, 2017.</w:t>
      </w:r>
    </w:p>
    <w:p>
      <w:pPr>
        <w:spacing w:after="0" w:line="170" w:lineRule="exact"/>
        <w:rPr>
          <w:rFonts w:ascii="Arial" w:cs="Arial" w:eastAsia="Arial" w:hAnsi="Arial"/>
          <w:sz w:val="18"/>
          <w:szCs w:val="18"/>
          <w:color w:val="auto"/>
        </w:rPr>
      </w:pPr>
    </w:p>
    <w:p>
      <w:pPr>
        <w:ind w:left="680" w:hanging="186"/>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Only holders of record of shares of common stock of the Corporation at the close of business on August 26, 2016, shall be entitled to vote at the Annual Meeting.</w:t>
      </w:r>
    </w:p>
    <w:p>
      <w:pPr>
        <w:spacing w:after="0" w:line="170"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ind w:left="6140"/>
        <w:spacing w:after="0"/>
        <w:rPr>
          <w:sz w:val="20"/>
          <w:szCs w:val="20"/>
          <w:color w:val="auto"/>
        </w:rPr>
      </w:pPr>
      <w:r>
        <w:rPr>
          <w:rFonts w:ascii="Arial" w:cs="Arial" w:eastAsia="Arial" w:hAnsi="Arial"/>
          <w:sz w:val="18"/>
          <w:szCs w:val="18"/>
          <w:color w:val="auto"/>
        </w:rPr>
        <w:t>Jeffrey S. Knutson</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 to be Held on October 28, 2016</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Our proxy materials, including the Proxy Statement and 2016 Annual Report on Form 10-K, are available over the internet at </w:t>
      </w:r>
      <w:r>
        <w:rPr>
          <w:rFonts w:ascii="Arial" w:cs="Arial" w:eastAsia="Arial" w:hAnsi="Arial"/>
          <w:sz w:val="18"/>
          <w:szCs w:val="18"/>
          <w:b w:val="1"/>
          <w:bCs w:val="1"/>
          <w:u w:val="single" w:color="auto"/>
          <w:color w:val="auto"/>
        </w:rPr>
        <w:t>http://ir.twindisc.com/proxy.cfm</w:t>
      </w:r>
      <w:r>
        <w:rPr>
          <w:rFonts w:ascii="Arial" w:cs="Arial" w:eastAsia="Arial" w:hAnsi="Arial"/>
          <w:sz w:val="18"/>
          <w:szCs w:val="18"/>
          <w:color w:val="auto"/>
        </w:rPr>
        <w:t>, and most of our stockholders will receive only a notice (“Notice”) containing instructions on how to access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over the internet and vote online. If you receive this Notice but would still like to receive paper copies of the proxy materials, please follow the instructions on the Notice or on the website referred to on the Notice.</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DIRECT YOUR VOTE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2016 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TWIN DISC, INCORPORATED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15,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MEETING</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Friday, October 28, 2016, or any adjournment thereof. Holders of common stock of record at the close of business on August 26, 2016,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Annual Meeting. The Corporation intends to mail this proxy statement to shareholders on or about September 15,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APPOINTMENT AND REVOCATION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Shareholders may vote by delivery, either in person, by mail or by messenger, of the enclosed proxy appointment form. Appointment forms must be received by the Secretary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Shareholders may also vote via the Internet by accessing </w:t>
      </w:r>
      <w:r>
        <w:rPr>
          <w:rFonts w:ascii="Arial" w:cs="Arial" w:eastAsia="Arial" w:hAnsi="Arial"/>
          <w:sz w:val="18"/>
          <w:szCs w:val="18"/>
          <w:u w:val="single" w:color="auto"/>
          <w:color w:val="auto"/>
        </w:rPr>
        <w:t>www.investorvote.com/twin</w:t>
      </w:r>
      <w:r>
        <w:rPr>
          <w:rFonts w:ascii="Arial" w:cs="Arial" w:eastAsia="Arial" w:hAnsi="Arial"/>
          <w:sz w:val="18"/>
          <w:szCs w:val="18"/>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on Thursday, October 27, 2016. Shareholders that vote via the Internet should understand that there might be costs associated with electronic access that they must bear, such as usage charges from Internet access providers and telecommunications companies.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Annual Meeting, by voting at the Annual Meeting in person, or by delivering a signed written statement revoking the proxy to the Secretary prior to the date of the Annual Meeting. ANY ATTEMPTED REVOCATIONS NOT MEETING THE ABOVE REQUIREMENTS WILL BE RULED INVALID.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record date with respect to this solicitation is August 26, 2016. On that date, there were outstanding 11,438,573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SHAREHOLDER PROPOSALS FOR 2017</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shareholder wishes to present a proposal for consideration for inclusion in the Notice of the Meeting and Proxy Statement for the 2017 Annual Meeting of Shareholders, the proposal must be received at the Corporation’s principal executive offices no later than May 18, 2017. Shareholder proposals received later than July 17, 2017 will be considered untimely, and will not be considered at the Corporation’s 2017 Annual Meeting. Any such proposal must comply with the requirements of Section (14)(a) of the Corporation’s Restated Bylaws.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a shareholder wishes to nominate a person for election to the Board of Directors of the Corporation, such nomination shall be made pursuant to timely notice in writing to the Secretary of the Corporation. To be timely for the 2017 Annual Meeting, such notice must be delivered to or mailed and received at the principal executive offices of the Corporation no later than July 17, 2017. Any such notice must comply with the requirements of Section (14)(b) of the Corporation’s Restated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MAKING THE SOLICITATION</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PROPOSALS AND HOW VOTES WILL BE COUNTED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 w:name="page5"/>
    <w:bookmarkEnd w:id="4"/>
    <w:p>
      <w:pPr>
        <w:ind w:right="80"/>
        <w:spacing w:after="0" w:line="257" w:lineRule="auto"/>
        <w:rPr>
          <w:sz w:val="20"/>
          <w:szCs w:val="20"/>
          <w:color w:val="auto"/>
        </w:rPr>
      </w:pPr>
      <w:r>
        <w:rPr>
          <w:rFonts w:ascii="Arial" w:cs="Arial" w:eastAsia="Arial" w:hAnsi="Arial"/>
          <w:sz w:val="18"/>
          <w:szCs w:val="18"/>
          <w:color w:val="auto"/>
        </w:rPr>
        <w:t>Brokers and other nominees may vote on the ratification of the appointment of PricewaterhouseCoopers LLP as our independent auditors for the fiscal year ending June 30, 2017 (Proposal No. 3) without specific instructions from beneficial owners. Therefore, no broker non-votes are expected to exist in connection with this proposal. However, brokers or other nominees may not vote on the election of Directors (Proposal No. 1) or on the advisory vote on Named Executive Officer compensation (Proposal No. 2) without specific instructions from the beneficial owners of the shares. Therefore, an undetermined number of broker non-votes may occur on Proposals No. 1 and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 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19, 2016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Nature of</w:t>
            </w: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8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Beneficial</w:t>
            </w:r>
          </w:p>
        </w:tc>
        <w:tc>
          <w:tcPr>
            <w:tcW w:w="162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tcPr>
          <w:p>
            <w:pPr>
              <w:ind w:left="146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1380"/>
              <w:spacing w:after="0"/>
              <w:rPr>
                <w:sz w:val="20"/>
                <w:szCs w:val="20"/>
                <w:color w:val="auto"/>
              </w:rPr>
            </w:pPr>
            <w:r>
              <w:rPr>
                <w:rFonts w:ascii="Arial" w:cs="Arial" w:eastAsia="Arial" w:hAnsi="Arial"/>
                <w:sz w:val="18"/>
                <w:szCs w:val="18"/>
                <w:b w:val="1"/>
                <w:bCs w:val="1"/>
                <w:color w:val="auto"/>
              </w:rPr>
              <w:t>Address</w:t>
            </w:r>
          </w:p>
        </w:tc>
        <w:tc>
          <w:tcPr>
            <w:tcW w:w="208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Ownership</w:t>
            </w:r>
          </w:p>
        </w:tc>
        <w:tc>
          <w:tcPr>
            <w:tcW w:w="1620" w:type="dxa"/>
            <w:vAlign w:val="bottom"/>
          </w:tcPr>
          <w:p>
            <w:pPr>
              <w:jc w:val="right"/>
              <w:ind w:right="410"/>
              <w:spacing w:after="0"/>
              <w:rPr>
                <w:sz w:val="20"/>
                <w:szCs w:val="20"/>
                <w:color w:val="auto"/>
              </w:rPr>
            </w:pPr>
            <w:r>
              <w:rPr>
                <w:rFonts w:ascii="Arial" w:cs="Arial" w:eastAsia="Arial" w:hAnsi="Arial"/>
                <w:sz w:val="18"/>
                <w:szCs w:val="18"/>
                <w:b w:val="1"/>
                <w:bCs w:val="1"/>
                <w:color w:val="auto"/>
              </w:rPr>
              <w:t>Owned</w:t>
            </w:r>
          </w:p>
        </w:tc>
        <w:tc>
          <w:tcPr>
            <w:tcW w:w="440" w:type="dxa"/>
            <w:vAlign w:val="bottom"/>
          </w:tcPr>
          <w:p>
            <w:pPr>
              <w:spacing w:after="0"/>
              <w:rPr>
                <w:sz w:val="20"/>
                <w:szCs w:val="20"/>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25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704 Waters Edge Rd.</w:t>
            </w:r>
          </w:p>
        </w:tc>
        <w:tc>
          <w:tcPr>
            <w:tcW w:w="2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to vote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2,531,666</w:t>
            </w:r>
          </w:p>
        </w:tc>
        <w:tc>
          <w:tcPr>
            <w:tcW w:w="4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7"/>
              </w:rPr>
              <w:t>(1)</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5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Racine, WI</w:t>
            </w:r>
          </w:p>
        </w:tc>
        <w:tc>
          <w:tcPr>
            <w:tcW w:w="2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Beneficial</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180,584</w:t>
            </w:r>
          </w:p>
        </w:tc>
        <w:tc>
          <w:tcPr>
            <w:tcW w:w="4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GAMCO Investors, Inc.</w:t>
            </w:r>
          </w:p>
        </w:tc>
        <w:tc>
          <w:tcPr>
            <w:tcW w:w="25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7"/>
              </w:rPr>
              <w:t>One Corporate Center</w:t>
            </w:r>
          </w:p>
        </w:tc>
        <w:tc>
          <w:tcPr>
            <w:tcW w:w="2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to vote &amp;</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1,728,976</w:t>
            </w:r>
          </w:p>
        </w:tc>
        <w:tc>
          <w:tcPr>
            <w:tcW w:w="4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7"/>
              </w:rPr>
              <w:t>(2)</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5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Rye, NY</w:t>
            </w:r>
          </w:p>
        </w:tc>
        <w:tc>
          <w:tcPr>
            <w:tcW w:w="2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dispose of stock</w:t>
            </w: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Juniper Investments</w:t>
            </w:r>
          </w:p>
        </w:tc>
        <w:tc>
          <w:tcPr>
            <w:tcW w:w="250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555 Madison Avenue</w:t>
            </w:r>
          </w:p>
        </w:tc>
        <w:tc>
          <w:tcPr>
            <w:tcW w:w="2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Power to vote &amp;</w:t>
            </w:r>
          </w:p>
        </w:tc>
        <w:tc>
          <w:tcPr>
            <w:tcW w:w="1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672,894</w:t>
            </w: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Company, LLC</w:t>
            </w:r>
          </w:p>
        </w:tc>
        <w:tc>
          <w:tcPr>
            <w:tcW w:w="25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New York, NY</w:t>
            </w:r>
          </w:p>
        </w:tc>
        <w:tc>
          <w:tcPr>
            <w:tcW w:w="2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dispose of stock</w:t>
            </w:r>
          </w:p>
        </w:tc>
        <w:tc>
          <w:tcPr>
            <w:tcW w:w="1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Wilks Brothers, LLC</w:t>
            </w:r>
          </w:p>
        </w:tc>
        <w:tc>
          <w:tcPr>
            <w:tcW w:w="250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17010 Interstate 20</w:t>
            </w:r>
          </w:p>
        </w:tc>
        <w:tc>
          <w:tcPr>
            <w:tcW w:w="2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Power to vote &amp;</w:t>
            </w:r>
          </w:p>
        </w:tc>
        <w:tc>
          <w:tcPr>
            <w:tcW w:w="1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569,100</w:t>
            </w: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5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Cisco, TX</w:t>
            </w:r>
          </w:p>
        </w:tc>
        <w:tc>
          <w:tcPr>
            <w:tcW w:w="2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dispose of stock</w:t>
            </w:r>
          </w:p>
        </w:tc>
        <w:tc>
          <w:tcPr>
            <w:tcW w:w="1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Held as trustee under various trusts and as guardian for non-immediate family member.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shares held by various entities which are directly or indirectly controlled by Mario J. Gabelli and for which he acts as chief investment officer.</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19, 2016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Name of</w:t>
            </w:r>
          </w:p>
        </w:tc>
        <w:tc>
          <w:tcPr>
            <w:tcW w:w="2740" w:type="dxa"/>
            <w:vAlign w:val="bottom"/>
            <w:gridSpan w:val="2"/>
          </w:tcPr>
          <w:p>
            <w:pPr>
              <w:ind w:left="360"/>
              <w:spacing w:after="0"/>
              <w:rPr>
                <w:sz w:val="20"/>
                <w:szCs w:val="20"/>
                <w:color w:val="auto"/>
              </w:rPr>
            </w:pPr>
            <w:r>
              <w:rPr>
                <w:rFonts w:ascii="Arial" w:cs="Arial" w:eastAsia="Arial" w:hAnsi="Arial"/>
                <w:sz w:val="18"/>
                <w:szCs w:val="18"/>
                <w:b w:val="1"/>
                <w:bCs w:val="1"/>
                <w:color w:val="auto"/>
              </w:rPr>
              <w:t>Amount and Nature</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2740" w:type="dxa"/>
            <w:vAlign w:val="bottom"/>
            <w:tcBorders>
              <w:bottom w:val="single" w:sz="8" w:color="auto"/>
            </w:tcBorders>
            <w:gridSpan w:val="2"/>
          </w:tcPr>
          <w:p>
            <w:pPr>
              <w:ind w:left="360"/>
              <w:spacing w:after="0" w:line="258" w:lineRule="exact"/>
              <w:rPr>
                <w:sz w:val="20"/>
                <w:szCs w:val="20"/>
                <w:color w:val="auto"/>
              </w:rPr>
            </w:pPr>
            <w:r>
              <w:rPr>
                <w:rFonts w:ascii="Arial" w:cs="Arial" w:eastAsia="Arial" w:hAnsi="Arial"/>
                <w:sz w:val="18"/>
                <w:szCs w:val="18"/>
                <w:b w:val="1"/>
                <w:bCs w:val="1"/>
                <w:color w:val="auto"/>
              </w:rPr>
              <w:t xml:space="preserve">of Beneficial Ownership </w:t>
            </w:r>
            <w:r>
              <w:rPr>
                <w:rFonts w:ascii="Arial" w:cs="Arial" w:eastAsia="Arial" w:hAnsi="Arial"/>
                <w:sz w:val="29"/>
                <w:szCs w:val="29"/>
                <w:b w:val="1"/>
                <w:bCs w:val="1"/>
                <w:color w:val="auto"/>
                <w:vertAlign w:val="superscript"/>
              </w:rPr>
              <w:t>(1)</w:t>
            </w:r>
          </w:p>
        </w:tc>
        <w:tc>
          <w:tcPr>
            <w:tcW w:w="2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2,712,250</w:t>
            </w:r>
          </w:p>
        </w:tc>
        <w:tc>
          <w:tcPr>
            <w:tcW w:w="12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87"/>
              </w:rPr>
              <w:t>(2)</w:t>
            </w:r>
          </w:p>
        </w:tc>
        <w:tc>
          <w:tcPr>
            <w:tcW w:w="2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Jeffrey S. Knutson</w:t>
            </w:r>
          </w:p>
        </w:tc>
        <w:tc>
          <w:tcPr>
            <w:tcW w:w="1480" w:type="dxa"/>
            <w:vAlign w:val="bottom"/>
          </w:tcPr>
          <w:p>
            <w:pPr>
              <w:jc w:val="right"/>
              <w:spacing w:after="0"/>
              <w:rPr>
                <w:sz w:val="20"/>
                <w:szCs w:val="20"/>
                <w:color w:val="auto"/>
              </w:rPr>
            </w:pPr>
            <w:r>
              <w:rPr>
                <w:rFonts w:ascii="Arial" w:cs="Arial" w:eastAsia="Arial" w:hAnsi="Arial"/>
                <w:sz w:val="18"/>
                <w:szCs w:val="18"/>
                <w:color w:val="auto"/>
              </w:rPr>
              <w:t>48,530</w:t>
            </w:r>
          </w:p>
        </w:tc>
        <w:tc>
          <w:tcPr>
            <w:tcW w:w="1260" w:type="dxa"/>
            <w:vAlign w:val="bottom"/>
          </w:tcPr>
          <w:p>
            <w:pPr>
              <w:jc w:val="right"/>
              <w:ind w:right="1005"/>
              <w:spacing w:after="0"/>
              <w:rPr>
                <w:sz w:val="20"/>
                <w:szCs w:val="20"/>
                <w:color w:val="auto"/>
              </w:rPr>
            </w:pPr>
            <w:r>
              <w:rPr>
                <w:rFonts w:ascii="Arial" w:cs="Arial" w:eastAsia="Arial" w:hAnsi="Arial"/>
                <w:sz w:val="15"/>
                <w:szCs w:val="15"/>
                <w:color w:val="auto"/>
                <w:w w:val="87"/>
              </w:rPr>
              <w:t>(3)</w:t>
            </w: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Malcolm F. Moore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50,503</w:t>
            </w:r>
          </w:p>
        </w:tc>
        <w:tc>
          <w:tcPr>
            <w:tcW w:w="12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87"/>
              </w:rPr>
              <w:t>(4)</w:t>
            </w:r>
          </w:p>
        </w:tc>
        <w:tc>
          <w:tcPr>
            <w:tcW w:w="2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Dean J. Bratel</w:t>
            </w:r>
          </w:p>
        </w:tc>
        <w:tc>
          <w:tcPr>
            <w:tcW w:w="1480" w:type="dxa"/>
            <w:vAlign w:val="bottom"/>
          </w:tcPr>
          <w:p>
            <w:pPr>
              <w:jc w:val="right"/>
              <w:spacing w:after="0"/>
              <w:rPr>
                <w:sz w:val="20"/>
                <w:szCs w:val="20"/>
                <w:color w:val="auto"/>
              </w:rPr>
            </w:pPr>
            <w:r>
              <w:rPr>
                <w:rFonts w:ascii="Arial" w:cs="Arial" w:eastAsia="Arial" w:hAnsi="Arial"/>
                <w:sz w:val="18"/>
                <w:szCs w:val="18"/>
                <w:color w:val="auto"/>
              </w:rPr>
              <w:t>46,763</w:t>
            </w:r>
          </w:p>
        </w:tc>
        <w:tc>
          <w:tcPr>
            <w:tcW w:w="1260" w:type="dxa"/>
            <w:vAlign w:val="bottom"/>
          </w:tcPr>
          <w:p>
            <w:pPr>
              <w:jc w:val="right"/>
              <w:ind w:right="1005"/>
              <w:spacing w:after="0"/>
              <w:rPr>
                <w:sz w:val="20"/>
                <w:szCs w:val="20"/>
                <w:color w:val="auto"/>
              </w:rPr>
            </w:pPr>
            <w:r>
              <w:rPr>
                <w:rFonts w:ascii="Arial" w:cs="Arial" w:eastAsia="Arial" w:hAnsi="Arial"/>
                <w:sz w:val="15"/>
                <w:szCs w:val="15"/>
                <w:color w:val="auto"/>
                <w:w w:val="87"/>
              </w:rPr>
              <w:t>(5)</w:t>
            </w: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Denise L. Wilcox</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35,379</w:t>
            </w:r>
          </w:p>
        </w:tc>
        <w:tc>
          <w:tcPr>
            <w:tcW w:w="12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87"/>
              </w:rPr>
              <w:t>(6)</w:t>
            </w:r>
          </w:p>
        </w:tc>
        <w:tc>
          <w:tcPr>
            <w:tcW w:w="2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Michael Doar</w:t>
            </w:r>
          </w:p>
        </w:tc>
        <w:tc>
          <w:tcPr>
            <w:tcW w:w="1480" w:type="dxa"/>
            <w:vAlign w:val="bottom"/>
          </w:tcPr>
          <w:p>
            <w:pPr>
              <w:jc w:val="right"/>
              <w:spacing w:after="0"/>
              <w:rPr>
                <w:sz w:val="20"/>
                <w:szCs w:val="20"/>
                <w:color w:val="auto"/>
              </w:rPr>
            </w:pPr>
            <w:r>
              <w:rPr>
                <w:rFonts w:ascii="Arial" w:cs="Arial" w:eastAsia="Arial" w:hAnsi="Arial"/>
                <w:sz w:val="18"/>
                <w:szCs w:val="18"/>
                <w:color w:val="auto"/>
              </w:rPr>
              <w:t>29,154</w:t>
            </w:r>
          </w:p>
        </w:tc>
        <w:tc>
          <w:tcPr>
            <w:tcW w:w="1260" w:type="dxa"/>
            <w:vAlign w:val="bottom"/>
          </w:tcPr>
          <w:p>
            <w:pPr>
              <w:jc w:val="right"/>
              <w:ind w:right="1005"/>
              <w:spacing w:after="0"/>
              <w:rPr>
                <w:sz w:val="20"/>
                <w:szCs w:val="20"/>
                <w:color w:val="auto"/>
              </w:rPr>
            </w:pPr>
            <w:r>
              <w:rPr>
                <w:rFonts w:ascii="Arial" w:cs="Arial" w:eastAsia="Arial" w:hAnsi="Arial"/>
                <w:sz w:val="15"/>
                <w:szCs w:val="15"/>
                <w:color w:val="auto"/>
                <w:w w:val="87"/>
              </w:rPr>
              <w:t>(7)</w:t>
            </w: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Janet P. Giesselman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2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87"/>
              </w:rPr>
              <w:t>(7)</w:t>
            </w:r>
          </w:p>
        </w:tc>
        <w:tc>
          <w:tcPr>
            <w:tcW w:w="2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David W. Johnson</w:t>
            </w:r>
          </w:p>
        </w:tc>
        <w:tc>
          <w:tcPr>
            <w:tcW w:w="1480" w:type="dxa"/>
            <w:vAlign w:val="bottom"/>
          </w:tcPr>
          <w:p>
            <w:pPr>
              <w:jc w:val="right"/>
              <w:spacing w:after="0"/>
              <w:rPr>
                <w:sz w:val="20"/>
                <w:szCs w:val="20"/>
                <w:color w:val="auto"/>
              </w:rPr>
            </w:pPr>
            <w:r>
              <w:rPr>
                <w:rFonts w:ascii="Arial" w:cs="Arial" w:eastAsia="Arial" w:hAnsi="Arial"/>
                <w:sz w:val="18"/>
                <w:szCs w:val="18"/>
                <w:color w:val="auto"/>
              </w:rPr>
              <w:t>1,670</w:t>
            </w:r>
          </w:p>
        </w:tc>
        <w:tc>
          <w:tcPr>
            <w:tcW w:w="1260" w:type="dxa"/>
            <w:vAlign w:val="bottom"/>
          </w:tcPr>
          <w:p>
            <w:pPr>
              <w:jc w:val="right"/>
              <w:ind w:right="1005"/>
              <w:spacing w:after="0"/>
              <w:rPr>
                <w:sz w:val="20"/>
                <w:szCs w:val="20"/>
                <w:color w:val="auto"/>
              </w:rPr>
            </w:pPr>
            <w:r>
              <w:rPr>
                <w:rFonts w:ascii="Arial" w:cs="Arial" w:eastAsia="Arial" w:hAnsi="Arial"/>
                <w:sz w:val="15"/>
                <w:szCs w:val="15"/>
                <w:color w:val="auto"/>
                <w:w w:val="87"/>
              </w:rPr>
              <w:t>(7)</w:t>
            </w: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David B. Rayburn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38,528</w:t>
            </w:r>
          </w:p>
        </w:tc>
        <w:tc>
          <w:tcPr>
            <w:tcW w:w="12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87"/>
              </w:rPr>
              <w:t>(7)</w:t>
            </w:r>
          </w:p>
        </w:tc>
        <w:tc>
          <w:tcPr>
            <w:tcW w:w="2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Michael C. Smiley</w:t>
            </w:r>
          </w:p>
        </w:tc>
        <w:tc>
          <w:tcPr>
            <w:tcW w:w="1480" w:type="dxa"/>
            <w:vAlign w:val="bottom"/>
          </w:tcPr>
          <w:p>
            <w:pPr>
              <w:jc w:val="right"/>
              <w:spacing w:after="0"/>
              <w:rPr>
                <w:sz w:val="20"/>
                <w:szCs w:val="20"/>
                <w:color w:val="auto"/>
              </w:rPr>
            </w:pPr>
            <w:r>
              <w:rPr>
                <w:rFonts w:ascii="Arial" w:cs="Arial" w:eastAsia="Arial" w:hAnsi="Arial"/>
                <w:sz w:val="18"/>
                <w:szCs w:val="18"/>
                <w:color w:val="auto"/>
              </w:rPr>
              <w:t>16,854</w:t>
            </w:r>
          </w:p>
        </w:tc>
        <w:tc>
          <w:tcPr>
            <w:tcW w:w="1260" w:type="dxa"/>
            <w:vAlign w:val="bottom"/>
          </w:tcPr>
          <w:p>
            <w:pPr>
              <w:jc w:val="right"/>
              <w:ind w:right="1005"/>
              <w:spacing w:after="0"/>
              <w:rPr>
                <w:sz w:val="20"/>
                <w:szCs w:val="20"/>
                <w:color w:val="auto"/>
              </w:rPr>
            </w:pPr>
            <w:r>
              <w:rPr>
                <w:rFonts w:ascii="Arial" w:cs="Arial" w:eastAsia="Arial" w:hAnsi="Arial"/>
                <w:sz w:val="15"/>
                <w:szCs w:val="15"/>
                <w:color w:val="auto"/>
                <w:w w:val="87"/>
              </w:rPr>
              <w:t>(7)</w:t>
            </w: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Harold M. Stratton II</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31,254</w:t>
            </w:r>
          </w:p>
        </w:tc>
        <w:tc>
          <w:tcPr>
            <w:tcW w:w="1260" w:type="dxa"/>
            <w:vAlign w:val="bottom"/>
            <w:shd w:val="clear" w:color="auto" w:fill="CCEEFF"/>
          </w:tcPr>
          <w:p>
            <w:pPr>
              <w:jc w:val="right"/>
              <w:ind w:right="1005"/>
              <w:spacing w:after="0"/>
              <w:rPr>
                <w:sz w:val="20"/>
                <w:szCs w:val="20"/>
                <w:color w:val="auto"/>
              </w:rPr>
            </w:pPr>
            <w:r>
              <w:rPr>
                <w:rFonts w:ascii="Arial" w:cs="Arial" w:eastAsia="Arial" w:hAnsi="Arial"/>
                <w:sz w:val="15"/>
                <w:szCs w:val="15"/>
                <w:color w:val="auto"/>
                <w:w w:val="87"/>
              </w:rPr>
              <w:t>(7)</w:t>
            </w:r>
          </w:p>
        </w:tc>
        <w:tc>
          <w:tcPr>
            <w:tcW w:w="2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David R. Zimmer</w:t>
            </w:r>
          </w:p>
        </w:tc>
        <w:tc>
          <w:tcPr>
            <w:tcW w:w="1480" w:type="dxa"/>
            <w:vAlign w:val="bottom"/>
          </w:tcPr>
          <w:p>
            <w:pPr>
              <w:jc w:val="right"/>
              <w:spacing w:after="0"/>
              <w:rPr>
                <w:sz w:val="20"/>
                <w:szCs w:val="20"/>
                <w:color w:val="auto"/>
              </w:rPr>
            </w:pPr>
            <w:r>
              <w:rPr>
                <w:rFonts w:ascii="Arial" w:cs="Arial" w:eastAsia="Arial" w:hAnsi="Arial"/>
                <w:sz w:val="18"/>
                <w:szCs w:val="18"/>
                <w:color w:val="auto"/>
              </w:rPr>
              <w:t>24,504</w:t>
            </w:r>
          </w:p>
        </w:tc>
        <w:tc>
          <w:tcPr>
            <w:tcW w:w="1260" w:type="dxa"/>
            <w:vAlign w:val="bottom"/>
          </w:tcPr>
          <w:p>
            <w:pPr>
              <w:jc w:val="right"/>
              <w:ind w:right="1005"/>
              <w:spacing w:after="0"/>
              <w:rPr>
                <w:sz w:val="20"/>
                <w:szCs w:val="20"/>
                <w:color w:val="auto"/>
              </w:rPr>
            </w:pPr>
            <w:r>
              <w:rPr>
                <w:rFonts w:ascii="Arial" w:cs="Arial" w:eastAsia="Arial" w:hAnsi="Arial"/>
                <w:sz w:val="15"/>
                <w:szCs w:val="15"/>
                <w:color w:val="auto"/>
                <w:w w:val="87"/>
              </w:rPr>
              <w:t>(7)</w:t>
            </w: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All Directors and</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1480" w:type="dxa"/>
            <w:vAlign w:val="bottom"/>
          </w:tcPr>
          <w:p>
            <w:pPr>
              <w:spacing w:after="0"/>
              <w:rPr>
                <w:sz w:val="18"/>
                <w:szCs w:val="18"/>
                <w:color w:val="auto"/>
              </w:rPr>
            </w:pPr>
          </w:p>
        </w:tc>
        <w:tc>
          <w:tcPr>
            <w:tcW w:w="1260" w:type="dxa"/>
            <w:vAlign w:val="bottom"/>
            <w:vMerge w:val="restart"/>
          </w:tcPr>
          <w:p>
            <w:pPr>
              <w:jc w:val="right"/>
              <w:ind w:right="1005"/>
              <w:spacing w:after="0"/>
              <w:rPr>
                <w:sz w:val="20"/>
                <w:szCs w:val="20"/>
                <w:color w:val="auto"/>
              </w:rPr>
            </w:pPr>
            <w:r>
              <w:rPr>
                <w:rFonts w:ascii="Arial" w:cs="Arial" w:eastAsia="Arial" w:hAnsi="Arial"/>
                <w:sz w:val="15"/>
                <w:szCs w:val="15"/>
                <w:color w:val="auto"/>
                <w:w w:val="87"/>
              </w:rPr>
              <w:t>(7)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as a group (14 persons)</w:t>
            </w:r>
          </w:p>
        </w:tc>
        <w:tc>
          <w:tcPr>
            <w:tcW w:w="1480" w:type="dxa"/>
            <w:vAlign w:val="bottom"/>
          </w:tcPr>
          <w:p>
            <w:pPr>
              <w:jc w:val="right"/>
              <w:spacing w:after="0"/>
              <w:rPr>
                <w:sz w:val="20"/>
                <w:szCs w:val="20"/>
                <w:color w:val="auto"/>
              </w:rPr>
            </w:pPr>
            <w:r>
              <w:rPr>
                <w:rFonts w:ascii="Arial" w:cs="Arial" w:eastAsia="Arial" w:hAnsi="Arial"/>
                <w:sz w:val="18"/>
                <w:szCs w:val="18"/>
                <w:color w:val="auto"/>
              </w:rPr>
              <w:t>3,065,015</w:t>
            </w:r>
          </w:p>
        </w:tc>
        <w:tc>
          <w:tcPr>
            <w:tcW w:w="1260" w:type="dxa"/>
            <w:vAlign w:val="bottom"/>
            <w:vMerge w:val="continue"/>
          </w:tcPr>
          <w:p>
            <w:pPr>
              <w:spacing w:after="0"/>
              <w:rPr>
                <w:sz w:val="20"/>
                <w:szCs w:val="20"/>
                <w:color w:val="auto"/>
              </w:rPr>
            </w:pPr>
          </w:p>
        </w:tc>
        <w:tc>
          <w:tcPr>
            <w:tcW w:w="2060" w:type="dxa"/>
            <w:vAlign w:val="bottom"/>
          </w:tcPr>
          <w:p>
            <w:pPr>
              <w:jc w:val="right"/>
              <w:ind w:right="85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Denotes ownership of less than one percent of shares outstanding.</w:t>
      </w:r>
    </w:p>
    <w:p>
      <w:pPr>
        <w:spacing w:after="0" w:line="225" w:lineRule="exact"/>
        <w:rPr>
          <w:sz w:val="20"/>
          <w:szCs w:val="20"/>
          <w:color w:val="auto"/>
        </w:rPr>
      </w:pPr>
    </w:p>
    <w:p>
      <w:pPr>
        <w:ind w:left="500" w:right="1460" w:hanging="6"/>
        <w:spacing w:after="0" w:line="274" w:lineRule="auto"/>
        <w:tabs>
          <w:tab w:leader="none" w:pos="755"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500" w:right="1080" w:hanging="6"/>
        <w:spacing w:after="0" w:line="250"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2,531,666 shares held by Mr. Batten as trustee under various family trusts and as guardian for non-immediate family member. Also includes restricted stock grants of 10,736 shares that vest in fiscal 2018, 20,519 shares that vest in fiscal 2019, and 33,496 shares that vest in fiscal 2020.</w:t>
      </w:r>
    </w:p>
    <w:p>
      <w:pPr>
        <w:spacing w:after="0" w:line="1" w:lineRule="exact"/>
        <w:rPr>
          <w:rFonts w:ascii="Arial" w:cs="Arial" w:eastAsia="Arial" w:hAnsi="Arial"/>
          <w:sz w:val="18"/>
          <w:szCs w:val="18"/>
          <w:color w:val="auto"/>
        </w:rPr>
      </w:pPr>
    </w:p>
    <w:p>
      <w:pPr>
        <w:ind w:left="500" w:right="1240" w:hanging="6"/>
        <w:spacing w:after="0" w:line="250"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restricted stock grants of 5,478 shares that vest in fiscal 2018, 8,648 shares that vest in fiscal 2019, and 14,117 shares that vest in fiscal 2020.</w:t>
      </w:r>
    </w:p>
    <w:p>
      <w:pPr>
        <w:ind w:left="500" w:right="1380" w:hanging="6"/>
        <w:spacing w:after="0" w:line="250"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restricted stock grants of 11,164 shares that vest in fiscal 2019, and 19,386 shares that vest in fiscal 2020. Also includes 4,800 shares subject to currently exercisable stock options.</w:t>
      </w:r>
    </w:p>
    <w:p>
      <w:pPr>
        <w:ind w:left="500" w:right="1280" w:hanging="6"/>
        <w:spacing w:after="0" w:line="250"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restricted stock grants of 4,113 shares that vest in fiscal 2018, 7,862 shares that vest in fiscal 2019 and 12,834 shares that vest in fiscal 2020.</w:t>
      </w:r>
    </w:p>
    <w:p>
      <w:pPr>
        <w:ind w:left="500" w:right="1340" w:hanging="6"/>
        <w:spacing w:after="0" w:line="250"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restricted stock grants of 2,633 that vest in fiscal 2018, 5,032 shares that vest in fiscal 2019 and 8,214 shares that vest in fiscal 2020.</w:t>
      </w:r>
    </w:p>
    <w:p>
      <w:pPr>
        <w:ind w:left="500" w:right="1120" w:hanging="6"/>
        <w:spacing w:after="0" w:line="254" w:lineRule="auto"/>
        <w:tabs>
          <w:tab w:leader="none" w:pos="7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subject to currently exercisable stock options included in the above are as follows: Mr. Doar 2,400, Mr. Rayburn 4,800, Mr. Stratton 4,800 and all Directors and executive officers as a group 16,800. Also included above are unvested restricted shares as follows: Mr. Doar 4,555, Ms. Giesselman 4,555, Mr. Johnson 1,670, Mr. Rayburn 4,555, Mr. Smiley 4,555, Mr. Stratton 4,555 and Mr. Zimmer 4,555.</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Board of Directors has nominated the following persons to serve as Directors for the Corporation, each for a term to expire at the Annual Meeting of Shareholders following the fiscal year ending June 30, 2019 and June 30, 2018, as indicated below. Shares of common stock represented by properly executed proxy appointments in the accompanying form or electronic proxy vote will be voted for the four nominees listed unless authority to do so is withheld.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600" w:type="dxa"/>
            <w:vAlign w:val="bottom"/>
          </w:tcPr>
          <w:p>
            <w:pPr>
              <w:ind w:left="780"/>
              <w:spacing w:after="0"/>
              <w:rPr>
                <w:sz w:val="20"/>
                <w:szCs w:val="20"/>
                <w:color w:val="auto"/>
              </w:rPr>
            </w:pPr>
            <w:r>
              <w:rPr>
                <w:rFonts w:ascii="Arial" w:cs="Arial" w:eastAsia="Arial" w:hAnsi="Arial"/>
                <w:sz w:val="18"/>
                <w:szCs w:val="18"/>
                <w:color w:val="auto"/>
              </w:rPr>
              <w:t>Principal Occupation and Other</w:t>
            </w:r>
          </w:p>
        </w:tc>
        <w:tc>
          <w:tcPr>
            <w:tcW w:w="31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Name and</w:t>
            </w:r>
          </w:p>
        </w:tc>
        <w:tc>
          <w:tcPr>
            <w:tcW w:w="3600" w:type="dxa"/>
            <w:vAlign w:val="bottom"/>
          </w:tcPr>
          <w:p>
            <w:pPr>
              <w:ind w:left="780"/>
              <w:spacing w:after="0"/>
              <w:rPr>
                <w:sz w:val="20"/>
                <w:szCs w:val="20"/>
                <w:color w:val="auto"/>
              </w:rPr>
            </w:pPr>
            <w:r>
              <w:rPr>
                <w:rFonts w:ascii="Arial" w:cs="Arial" w:eastAsia="Arial" w:hAnsi="Arial"/>
                <w:sz w:val="18"/>
                <w:szCs w:val="18"/>
                <w:color w:val="auto"/>
              </w:rPr>
              <w:t>Public Company Directorships</w:t>
            </w:r>
          </w:p>
        </w:tc>
        <w:tc>
          <w:tcPr>
            <w:tcW w:w="3160" w:type="dxa"/>
            <w:vAlign w:val="bottom"/>
          </w:tcPr>
          <w:p>
            <w:pPr>
              <w:spacing w:after="0"/>
              <w:rPr>
                <w:sz w:val="18"/>
                <w:szCs w:val="18"/>
                <w:color w:val="auto"/>
              </w:rPr>
            </w:pPr>
          </w:p>
        </w:tc>
        <w:tc>
          <w:tcPr>
            <w:tcW w:w="2960" w:type="dxa"/>
            <w:vAlign w:val="bottom"/>
          </w:tcPr>
          <w:p>
            <w:pPr>
              <w:ind w:left="840"/>
              <w:spacing w:after="0"/>
              <w:rPr>
                <w:sz w:val="20"/>
                <w:szCs w:val="20"/>
                <w:color w:val="auto"/>
              </w:rPr>
            </w:pPr>
            <w:r>
              <w:rPr>
                <w:rFonts w:ascii="Arial" w:cs="Arial" w:eastAsia="Arial" w:hAnsi="Arial"/>
                <w:sz w:val="18"/>
                <w:szCs w:val="18"/>
                <w:color w:val="auto"/>
              </w:rPr>
              <w:t>Served as Director</w:t>
            </w:r>
          </w:p>
        </w:tc>
      </w:tr>
      <w:tr>
        <w:trPr>
          <w:trHeight w:val="230"/>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6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Held Within Past Five Years</w:t>
            </w:r>
          </w:p>
        </w:tc>
        <w:tc>
          <w:tcPr>
            <w:tcW w:w="31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Skills and Qualifications</w:t>
            </w:r>
          </w:p>
        </w:tc>
        <w:tc>
          <w:tcPr>
            <w:tcW w:w="29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Continuously Since</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TERMS EXPIRE IN 2019:</w:t>
      </w:r>
    </w:p>
    <w:p>
      <w:pPr>
        <w:spacing w:after="0" w:line="225"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John H. Batten</w:t>
      </w:r>
      <w:r>
        <w:rPr>
          <w:sz w:val="20"/>
          <w:szCs w:val="20"/>
          <w:color w:val="auto"/>
        </w:rPr>
        <w:tab/>
      </w:r>
      <w:r>
        <w:rPr>
          <w:rFonts w:ascii="Arial" w:cs="Arial" w:eastAsia="Arial" w:hAnsi="Arial"/>
          <w:sz w:val="15"/>
          <w:szCs w:val="15"/>
          <w:color w:val="auto"/>
        </w:rPr>
        <w:t>President and</w:t>
      </w:r>
    </w:p>
    <w:p>
      <w:pPr>
        <w:spacing w:after="0" w:line="23" w:lineRule="exact"/>
        <w:rPr>
          <w:sz w:val="20"/>
          <w:szCs w:val="20"/>
          <w:color w:val="auto"/>
        </w:rPr>
      </w:pPr>
    </w:p>
    <w:p>
      <w:pPr>
        <w:ind w:left="180"/>
        <w:spacing w:after="0"/>
        <w:tabs>
          <w:tab w:leader="none" w:pos="2460" w:val="left"/>
        </w:tabs>
        <w:rPr>
          <w:sz w:val="20"/>
          <w:szCs w:val="20"/>
          <w:color w:val="auto"/>
        </w:rPr>
      </w:pPr>
      <w:r>
        <w:rPr>
          <w:rFonts w:ascii="Arial" w:cs="Arial" w:eastAsia="Arial" w:hAnsi="Arial"/>
          <w:sz w:val="18"/>
          <w:szCs w:val="18"/>
          <w:color w:val="auto"/>
        </w:rPr>
        <w:t>Age 51</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Twin Disc, Incorporated</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since July 2013;</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formerly Chief Operating</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Officer since July 2008,</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and Executive Vice President</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since October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color w:val="auto"/>
        </w:rPr>
        <w:t>Mr. Batten is a sitting</w:t>
      </w:r>
      <w:r>
        <w:rPr>
          <w:sz w:val="20"/>
          <w:szCs w:val="20"/>
          <w:color w:val="auto"/>
        </w:rPr>
        <w:tab/>
      </w:r>
      <w:r>
        <w:rPr>
          <w:rFonts w:ascii="Arial" w:cs="Arial" w:eastAsia="Arial" w:hAnsi="Arial"/>
          <w:sz w:val="16"/>
          <w:szCs w:val="16"/>
          <w:color w:val="auto"/>
        </w:rPr>
        <w:t>December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 of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company. His skill 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 strategic and operational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planning, financial oversight,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development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as extensive domestic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experience in 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gineered products and a complex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manufacturing environment.</w:t>
      </w:r>
    </w:p>
    <w:p>
      <w:pPr>
        <w:spacing w:after="0" w:line="200" w:lineRule="exact"/>
        <w:rPr>
          <w:sz w:val="20"/>
          <w:szCs w:val="20"/>
          <w:color w:val="auto"/>
        </w:rPr>
      </w:pPr>
    </w:p>
    <w:p>
      <w:pPr>
        <w:sectPr>
          <w:pgSz w:w="11900" w:h="16838" w:orient="portrait"/>
          <w:cols w:equalWidth="0" w:num="2">
            <w:col w:w="5120" w:space="720"/>
            <w:col w:w="5580"/>
          </w:cols>
          <w:pgMar w:left="240" w:top="580" w:right="239" w:bottom="1440" w:gutter="0" w:footer="0" w:header="0"/>
          <w:type w:val="continuous"/>
        </w:sectPr>
      </w:pPr>
    </w:p>
    <w:p>
      <w:pPr>
        <w:spacing w:after="0" w:line="11"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Harold M. Stratton II</w:t>
      </w:r>
      <w:r>
        <w:rPr>
          <w:sz w:val="20"/>
          <w:szCs w:val="20"/>
          <w:color w:val="auto"/>
        </w:rPr>
        <w:tab/>
      </w:r>
      <w:r>
        <w:rPr>
          <w:rFonts w:ascii="Arial" w:cs="Arial" w:eastAsia="Arial" w:hAnsi="Arial"/>
          <w:sz w:val="16"/>
          <w:szCs w:val="16"/>
          <w:color w:val="auto"/>
        </w:rPr>
        <w:t>Chairman of the Board and</w:t>
      </w:r>
    </w:p>
    <w:p>
      <w:pPr>
        <w:spacing w:after="0" w:line="23" w:lineRule="exact"/>
        <w:rPr>
          <w:sz w:val="20"/>
          <w:szCs w:val="20"/>
          <w:color w:val="auto"/>
        </w:rPr>
      </w:pPr>
    </w:p>
    <w:p>
      <w:pPr>
        <w:ind w:left="180"/>
        <w:spacing w:after="0"/>
        <w:tabs>
          <w:tab w:leader="none" w:pos="2460" w:val="left"/>
        </w:tabs>
        <w:rPr>
          <w:sz w:val="20"/>
          <w:szCs w:val="20"/>
          <w:color w:val="auto"/>
        </w:rPr>
      </w:pPr>
      <w:r>
        <w:rPr>
          <w:rFonts w:ascii="Arial" w:cs="Arial" w:eastAsia="Arial" w:hAnsi="Arial"/>
          <w:sz w:val="18"/>
          <w:szCs w:val="18"/>
          <w:color w:val="auto"/>
        </w:rPr>
        <w:t>Age 68</w:t>
      </w:r>
      <w:r>
        <w:rPr>
          <w:sz w:val="20"/>
          <w:szCs w:val="20"/>
          <w:color w:val="auto"/>
        </w:rPr>
        <w:tab/>
      </w:r>
      <w:r>
        <w:rPr>
          <w:rFonts w:ascii="Arial" w:cs="Arial" w:eastAsia="Arial" w:hAnsi="Arial"/>
          <w:sz w:val="16"/>
          <w:szCs w:val="16"/>
          <w:color w:val="auto"/>
        </w:rPr>
        <w:t>retired Chief Executive Officer</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Strattec Security Corporation,</w:t>
      </w:r>
    </w:p>
    <w:p>
      <w:pPr>
        <w:spacing w:after="0" w:line="2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 leading manufacturer of</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mechanical and electro-mechan-</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ical locks, latches, power</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opening/closing systems and</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related security/access</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control products for global</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automotive manufacturers).</w:t>
      </w:r>
    </w:p>
    <w:p>
      <w:pPr>
        <w:spacing w:after="0" w:line="211"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Michael C. Smiley</w:t>
      </w:r>
      <w:r>
        <w:rPr>
          <w:sz w:val="20"/>
          <w:szCs w:val="20"/>
          <w:color w:val="auto"/>
        </w:rPr>
        <w:tab/>
      </w:r>
      <w:r>
        <w:rPr>
          <w:rFonts w:ascii="Arial" w:cs="Arial" w:eastAsia="Arial" w:hAnsi="Arial"/>
          <w:sz w:val="17"/>
          <w:szCs w:val="17"/>
          <w:color w:val="auto"/>
        </w:rPr>
        <w:t>Chief Financial Officer,</w:t>
      </w:r>
    </w:p>
    <w:p>
      <w:pPr>
        <w:spacing w:after="0" w:line="23" w:lineRule="exact"/>
        <w:rPr>
          <w:sz w:val="20"/>
          <w:szCs w:val="20"/>
          <w:color w:val="auto"/>
        </w:rPr>
      </w:pPr>
    </w:p>
    <w:p>
      <w:pPr>
        <w:ind w:left="180"/>
        <w:spacing w:after="0"/>
        <w:tabs>
          <w:tab w:leader="none" w:pos="2460" w:val="left"/>
        </w:tabs>
        <w:rPr>
          <w:sz w:val="20"/>
          <w:szCs w:val="20"/>
          <w:color w:val="auto"/>
        </w:rPr>
      </w:pPr>
      <w:r>
        <w:rPr>
          <w:rFonts w:ascii="Arial" w:cs="Arial" w:eastAsia="Arial" w:hAnsi="Arial"/>
          <w:sz w:val="18"/>
          <w:szCs w:val="18"/>
          <w:color w:val="auto"/>
        </w:rPr>
        <w:t>Age 57</w:t>
      </w:r>
      <w:r>
        <w:rPr>
          <w:sz w:val="20"/>
          <w:szCs w:val="20"/>
          <w:color w:val="auto"/>
        </w:rPr>
        <w:tab/>
      </w:r>
      <w:r>
        <w:rPr>
          <w:rFonts w:ascii="Arial" w:cs="Arial" w:eastAsia="Arial" w:hAnsi="Arial"/>
          <w:sz w:val="16"/>
          <w:szCs w:val="16"/>
          <w:color w:val="auto"/>
        </w:rPr>
        <w:t>Zebra Technologies Corp.,</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Lincolnshire, Illinois</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 global provider of</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enterprise asset intelligence</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solutions to identify, track, and</w:t>
      </w:r>
    </w:p>
    <w:p>
      <w:pPr>
        <w:spacing w:after="0" w:line="2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manage the deployment of</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critical assets for improved</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business efficiency).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Mr. Stratton is Board Chairman</w:t>
            </w:r>
          </w:p>
        </w:tc>
        <w:tc>
          <w:tcPr>
            <w:tcW w:w="1980" w:type="dxa"/>
            <w:vAlign w:val="bottom"/>
          </w:tcPr>
          <w:p>
            <w:pPr>
              <w:jc w:val="right"/>
              <w:spacing w:after="0"/>
              <w:rPr>
                <w:sz w:val="20"/>
                <w:szCs w:val="20"/>
                <w:color w:val="auto"/>
              </w:rPr>
            </w:pPr>
            <w:r>
              <w:rPr>
                <w:rFonts w:ascii="Arial" w:cs="Arial" w:eastAsia="Arial" w:hAnsi="Arial"/>
                <w:sz w:val="18"/>
                <w:szCs w:val="18"/>
                <w:color w:val="auto"/>
              </w:rPr>
              <w:t>July 2004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and retired CEO of a public</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company. He is skilled in</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strategic planning, financial</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oversight, compensation</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and organizational matters.</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 addition, he has experience</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 international markets and in</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an industry involving complex</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manufacturing and products with</w:t>
            </w:r>
          </w:p>
        </w:tc>
        <w:tc>
          <w:tcPr>
            <w:tcW w:w="198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high engineering content.</w:t>
            </w:r>
          </w:p>
        </w:tc>
        <w:tc>
          <w:tcPr>
            <w:tcW w:w="1980" w:type="dxa"/>
            <w:vAlign w:val="bottom"/>
          </w:tcPr>
          <w:p>
            <w:pPr>
              <w:spacing w:after="0"/>
              <w:rPr>
                <w:sz w:val="20"/>
                <w:szCs w:val="20"/>
                <w:color w:val="auto"/>
              </w:rPr>
            </w:pP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Mr. Smiley is a sitting CFO of a</w:t>
            </w:r>
          </w:p>
        </w:tc>
        <w:tc>
          <w:tcPr>
            <w:tcW w:w="1980" w:type="dxa"/>
            <w:vAlign w:val="bottom"/>
          </w:tcPr>
          <w:p>
            <w:pPr>
              <w:jc w:val="right"/>
              <w:spacing w:after="0"/>
              <w:rPr>
                <w:sz w:val="20"/>
                <w:szCs w:val="20"/>
                <w:color w:val="auto"/>
              </w:rPr>
            </w:pPr>
            <w:r>
              <w:rPr>
                <w:rFonts w:ascii="Arial" w:cs="Arial" w:eastAsia="Arial" w:hAnsi="Arial"/>
                <w:sz w:val="18"/>
                <w:szCs w:val="18"/>
                <w:color w:val="auto"/>
              </w:rPr>
              <w:t>April 2010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public company. His</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competencies include strategic</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planning, financial oversight,</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mergers and acquisitions,</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extensive domestic and</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international experience in</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complex manufacturing and</w:t>
            </w:r>
          </w:p>
        </w:tc>
        <w:tc>
          <w:tcPr>
            <w:tcW w:w="19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engineered and technology</w:t>
            </w:r>
          </w:p>
        </w:tc>
        <w:tc>
          <w:tcPr>
            <w:tcW w:w="198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products.</w:t>
            </w:r>
          </w:p>
        </w:tc>
        <w:tc>
          <w:tcPr>
            <w:tcW w:w="19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5120" w:space="720"/>
            <w:col w:w="5580"/>
          </w:cols>
          <w:pgMar w:left="240" w:top="580" w:right="2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Principal Occupation and Other</w:t>
            </w:r>
          </w:p>
        </w:tc>
        <w:tc>
          <w:tcPr>
            <w:tcW w:w="3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Name and</w:t>
            </w:r>
          </w:p>
        </w:tc>
        <w:tc>
          <w:tcPr>
            <w:tcW w:w="2900" w:type="dxa"/>
            <w:vAlign w:val="bottom"/>
          </w:tcPr>
          <w:p>
            <w:pPr>
              <w:ind w:left="160"/>
              <w:spacing w:after="0"/>
              <w:rPr>
                <w:sz w:val="20"/>
                <w:szCs w:val="20"/>
                <w:color w:val="auto"/>
              </w:rPr>
            </w:pPr>
            <w:r>
              <w:rPr>
                <w:rFonts w:ascii="Arial" w:cs="Arial" w:eastAsia="Arial" w:hAnsi="Arial"/>
                <w:sz w:val="18"/>
                <w:szCs w:val="18"/>
                <w:color w:val="auto"/>
              </w:rPr>
              <w:t>Public Company Directorships</w:t>
            </w:r>
          </w:p>
        </w:tc>
        <w:tc>
          <w:tcPr>
            <w:tcW w:w="3600" w:type="dxa"/>
            <w:vAlign w:val="bottom"/>
          </w:tcPr>
          <w:p>
            <w:pPr>
              <w:spacing w:after="0"/>
              <w:rPr>
                <w:sz w:val="18"/>
                <w:szCs w:val="18"/>
                <w:color w:val="auto"/>
              </w:rPr>
            </w:pPr>
          </w:p>
        </w:tc>
        <w:tc>
          <w:tcPr>
            <w:tcW w:w="2640" w:type="dxa"/>
            <w:vAlign w:val="bottom"/>
            <w:gridSpan w:val="2"/>
          </w:tcPr>
          <w:p>
            <w:pPr>
              <w:ind w:left="480"/>
              <w:spacing w:after="0"/>
              <w:rPr>
                <w:sz w:val="20"/>
                <w:szCs w:val="20"/>
                <w:color w:val="auto"/>
              </w:rPr>
            </w:pPr>
            <w:r>
              <w:rPr>
                <w:rFonts w:ascii="Arial" w:cs="Arial" w:eastAsia="Arial" w:hAnsi="Arial"/>
                <w:sz w:val="18"/>
                <w:szCs w:val="18"/>
                <w:color w:val="auto"/>
              </w:rPr>
              <w:t>Served as Director</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Current Age</w:t>
            </w:r>
          </w:p>
        </w:tc>
        <w:tc>
          <w:tcPr>
            <w:tcW w:w="2900" w:type="dxa"/>
            <w:vAlign w:val="bottom"/>
          </w:tcPr>
          <w:p>
            <w:pPr>
              <w:ind w:left="160"/>
              <w:spacing w:after="0"/>
              <w:rPr>
                <w:sz w:val="20"/>
                <w:szCs w:val="20"/>
                <w:color w:val="auto"/>
              </w:rPr>
            </w:pPr>
            <w:r>
              <w:rPr>
                <w:rFonts w:ascii="Arial" w:cs="Arial" w:eastAsia="Arial" w:hAnsi="Arial"/>
                <w:sz w:val="18"/>
                <w:szCs w:val="18"/>
                <w:color w:val="auto"/>
              </w:rPr>
              <w:t>Held Within Past Five Years</w:t>
            </w:r>
          </w:p>
        </w:tc>
        <w:tc>
          <w:tcPr>
            <w:tcW w:w="3600" w:type="dxa"/>
            <w:vAlign w:val="bottom"/>
          </w:tcPr>
          <w:p>
            <w:pPr>
              <w:ind w:left="620"/>
              <w:spacing w:after="0"/>
              <w:rPr>
                <w:sz w:val="20"/>
                <w:szCs w:val="20"/>
                <w:color w:val="auto"/>
              </w:rPr>
            </w:pPr>
            <w:r>
              <w:rPr>
                <w:rFonts w:ascii="Arial" w:cs="Arial" w:eastAsia="Arial" w:hAnsi="Arial"/>
                <w:sz w:val="18"/>
                <w:szCs w:val="18"/>
                <w:color w:val="auto"/>
              </w:rPr>
              <w:t>Skills and Qualifications</w:t>
            </w:r>
          </w:p>
        </w:tc>
        <w:tc>
          <w:tcPr>
            <w:tcW w:w="2640" w:type="dxa"/>
            <w:vAlign w:val="bottom"/>
            <w:gridSpan w:val="2"/>
          </w:tcPr>
          <w:p>
            <w:pPr>
              <w:ind w:left="480"/>
              <w:spacing w:after="0"/>
              <w:rPr>
                <w:sz w:val="20"/>
                <w:szCs w:val="20"/>
                <w:color w:val="auto"/>
              </w:rPr>
            </w:pPr>
            <w:r>
              <w:rPr>
                <w:rFonts w:ascii="Arial" w:cs="Arial" w:eastAsia="Arial" w:hAnsi="Arial"/>
                <w:sz w:val="18"/>
                <w:szCs w:val="18"/>
                <w:color w:val="auto"/>
              </w:rPr>
              <w:t>Continuously Since</w:t>
            </w:r>
          </w:p>
        </w:tc>
      </w:tr>
      <w:tr>
        <w:trPr>
          <w:trHeight w:val="426"/>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TERM TO EXPIRE IN 2018:</w:t>
            </w:r>
          </w:p>
        </w:tc>
        <w:tc>
          <w:tcPr>
            <w:tcW w:w="2900" w:type="dxa"/>
            <w:vAlign w:val="bottom"/>
            <w:tcBorders>
              <w:top w:val="single" w:sz="8" w:color="auto"/>
            </w:tcBorders>
          </w:tcPr>
          <w:p>
            <w:pPr>
              <w:spacing w:after="0"/>
              <w:rPr>
                <w:sz w:val="24"/>
                <w:szCs w:val="24"/>
                <w:color w:val="auto"/>
              </w:rPr>
            </w:pPr>
          </w:p>
        </w:tc>
        <w:tc>
          <w:tcPr>
            <w:tcW w:w="360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2320" w:type="dxa"/>
            <w:vAlign w:val="bottom"/>
          </w:tcPr>
          <w:p>
            <w:pPr>
              <w:spacing w:after="0"/>
              <w:rPr>
                <w:sz w:val="20"/>
                <w:szCs w:val="20"/>
                <w:color w:val="auto"/>
              </w:rPr>
            </w:pPr>
            <w:r>
              <w:rPr>
                <w:rFonts w:ascii="Arial" w:cs="Arial" w:eastAsia="Arial" w:hAnsi="Arial"/>
                <w:sz w:val="18"/>
                <w:szCs w:val="18"/>
                <w:color w:val="auto"/>
              </w:rPr>
              <w:t>David W. Johnson</w:t>
            </w:r>
          </w:p>
        </w:tc>
        <w:tc>
          <w:tcPr>
            <w:tcW w:w="2900" w:type="dxa"/>
            <w:vAlign w:val="bottom"/>
          </w:tcPr>
          <w:p>
            <w:pPr>
              <w:ind w:left="160"/>
              <w:spacing w:after="0"/>
              <w:rPr>
                <w:sz w:val="20"/>
                <w:szCs w:val="20"/>
                <w:color w:val="auto"/>
              </w:rPr>
            </w:pPr>
            <w:r>
              <w:rPr>
                <w:rFonts w:ascii="Arial" w:cs="Arial" w:eastAsia="Arial" w:hAnsi="Arial"/>
                <w:sz w:val="18"/>
                <w:szCs w:val="18"/>
                <w:color w:val="auto"/>
              </w:rPr>
              <w:t>Vice President and</w:t>
            </w:r>
          </w:p>
        </w:tc>
        <w:tc>
          <w:tcPr>
            <w:tcW w:w="3600" w:type="dxa"/>
            <w:vAlign w:val="bottom"/>
          </w:tcPr>
          <w:p>
            <w:pPr>
              <w:ind w:left="620"/>
              <w:spacing w:after="0"/>
              <w:rPr>
                <w:sz w:val="20"/>
                <w:szCs w:val="20"/>
                <w:color w:val="auto"/>
              </w:rPr>
            </w:pPr>
            <w:r>
              <w:rPr>
                <w:rFonts w:ascii="Arial" w:cs="Arial" w:eastAsia="Arial" w:hAnsi="Arial"/>
                <w:sz w:val="18"/>
                <w:szCs w:val="18"/>
                <w:color w:val="auto"/>
              </w:rPr>
              <w:t>Mr. Johnson is a sitting</w:t>
            </w:r>
          </w:p>
        </w:tc>
        <w:tc>
          <w:tcPr>
            <w:tcW w:w="2640" w:type="dxa"/>
            <w:vAlign w:val="bottom"/>
            <w:gridSpan w:val="2"/>
          </w:tcPr>
          <w:p>
            <w:pPr>
              <w:ind w:left="1900"/>
              <w:spacing w:after="0"/>
              <w:rPr>
                <w:sz w:val="20"/>
                <w:szCs w:val="20"/>
                <w:color w:val="auto"/>
              </w:rPr>
            </w:pPr>
            <w:r>
              <w:rPr>
                <w:rFonts w:ascii="Arial" w:cs="Arial" w:eastAsia="Arial" w:hAnsi="Arial"/>
                <w:sz w:val="18"/>
                <w:szCs w:val="18"/>
                <w:color w:val="auto"/>
                <w:w w:val="93"/>
              </w:rPr>
              <w:t>July 2016</w:t>
            </w: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Age 53</w:t>
            </w:r>
          </w:p>
        </w:tc>
        <w:tc>
          <w:tcPr>
            <w:tcW w:w="29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ind w:left="620"/>
              <w:spacing w:after="0"/>
              <w:rPr>
                <w:sz w:val="20"/>
                <w:szCs w:val="20"/>
                <w:color w:val="auto"/>
              </w:rPr>
            </w:pPr>
            <w:r>
              <w:rPr>
                <w:rFonts w:ascii="Arial" w:cs="Arial" w:eastAsia="Arial" w:hAnsi="Arial"/>
                <w:sz w:val="18"/>
                <w:szCs w:val="18"/>
                <w:color w:val="auto"/>
              </w:rPr>
              <w:t>CFO of a public company.</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Johnson Outdoors, Inc.,</w:t>
            </w:r>
          </w:p>
        </w:tc>
        <w:tc>
          <w:tcPr>
            <w:tcW w:w="3600" w:type="dxa"/>
            <w:vAlign w:val="bottom"/>
          </w:tcPr>
          <w:p>
            <w:pPr>
              <w:ind w:left="620"/>
              <w:spacing w:after="0"/>
              <w:rPr>
                <w:sz w:val="20"/>
                <w:szCs w:val="20"/>
                <w:color w:val="auto"/>
              </w:rPr>
            </w:pPr>
            <w:r>
              <w:rPr>
                <w:rFonts w:ascii="Arial" w:cs="Arial" w:eastAsia="Arial" w:hAnsi="Arial"/>
                <w:sz w:val="18"/>
                <w:szCs w:val="18"/>
                <w:color w:val="auto"/>
              </w:rPr>
              <w:t>His strengths include</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Racine, Wisconsin</w:t>
            </w:r>
          </w:p>
        </w:tc>
        <w:tc>
          <w:tcPr>
            <w:tcW w:w="3600" w:type="dxa"/>
            <w:vAlign w:val="bottom"/>
          </w:tcPr>
          <w:p>
            <w:pPr>
              <w:ind w:left="620"/>
              <w:spacing w:after="0"/>
              <w:rPr>
                <w:sz w:val="20"/>
                <w:szCs w:val="20"/>
                <w:color w:val="auto"/>
              </w:rPr>
            </w:pPr>
            <w:r>
              <w:rPr>
                <w:rFonts w:ascii="Arial" w:cs="Arial" w:eastAsia="Arial" w:hAnsi="Arial"/>
                <w:sz w:val="18"/>
                <w:szCs w:val="18"/>
                <w:color w:val="auto"/>
              </w:rPr>
              <w:t>financial leadership, new</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(A global provider of outdoor</w:t>
            </w:r>
          </w:p>
        </w:tc>
        <w:tc>
          <w:tcPr>
            <w:tcW w:w="3600" w:type="dxa"/>
            <w:vAlign w:val="bottom"/>
          </w:tcPr>
          <w:p>
            <w:pPr>
              <w:ind w:left="620"/>
              <w:spacing w:after="0"/>
              <w:rPr>
                <w:sz w:val="20"/>
                <w:szCs w:val="20"/>
                <w:color w:val="auto"/>
              </w:rPr>
            </w:pPr>
            <w:r>
              <w:rPr>
                <w:rFonts w:ascii="Arial" w:cs="Arial" w:eastAsia="Arial" w:hAnsi="Arial"/>
                <w:sz w:val="18"/>
                <w:szCs w:val="18"/>
                <w:color w:val="auto"/>
              </w:rPr>
              <w:t>business development, operational</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recreation products).</w:t>
            </w:r>
          </w:p>
        </w:tc>
        <w:tc>
          <w:tcPr>
            <w:tcW w:w="3600" w:type="dxa"/>
            <w:vAlign w:val="bottom"/>
          </w:tcPr>
          <w:p>
            <w:pPr>
              <w:ind w:left="620"/>
              <w:spacing w:after="0"/>
              <w:rPr>
                <w:sz w:val="20"/>
                <w:szCs w:val="20"/>
                <w:color w:val="auto"/>
              </w:rPr>
            </w:pPr>
            <w:r>
              <w:rPr>
                <w:rFonts w:ascii="Arial" w:cs="Arial" w:eastAsia="Arial" w:hAnsi="Arial"/>
                <w:sz w:val="18"/>
                <w:szCs w:val="18"/>
                <w:color w:val="auto"/>
              </w:rPr>
              <w:t>restructuring , cost saving and</w:t>
            </w: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0" w:type="dxa"/>
            <w:vAlign w:val="bottom"/>
          </w:tcPr>
          <w:p>
            <w:pPr>
              <w:ind w:left="620"/>
              <w:spacing w:after="0"/>
              <w:rPr>
                <w:sz w:val="20"/>
                <w:szCs w:val="20"/>
                <w:color w:val="auto"/>
              </w:rPr>
            </w:pPr>
            <w:r>
              <w:rPr>
                <w:rFonts w:ascii="Arial" w:cs="Arial" w:eastAsia="Arial" w:hAnsi="Arial"/>
                <w:sz w:val="18"/>
                <w:szCs w:val="18"/>
                <w:color w:val="auto"/>
              </w:rPr>
              <w:t>strategic analysis.</w:t>
            </w: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91"/>
        </w:trPr>
        <w:tc>
          <w:tcPr>
            <w:tcW w:w="23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0" w:type="dxa"/>
            <w:vAlign w:val="bottom"/>
          </w:tcPr>
          <w:p>
            <w:pPr>
              <w:ind w:left="440"/>
              <w:spacing w:after="0"/>
              <w:rPr>
                <w:sz w:val="20"/>
                <w:szCs w:val="20"/>
                <w:color w:val="auto"/>
              </w:rPr>
            </w:pPr>
            <w:r>
              <w:rPr>
                <w:rFonts w:ascii="Arial" w:cs="Arial" w:eastAsia="Arial" w:hAnsi="Arial"/>
                <w:sz w:val="18"/>
                <w:szCs w:val="18"/>
                <w:color w:val="auto"/>
              </w:rPr>
              <w:t>7</w:t>
            </w: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3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320" w:type="dxa"/>
            <w:vAlign w:val="bottom"/>
            <w:shd w:val="clear" w:color="auto" w:fill="808080"/>
          </w:tcPr>
          <w:p>
            <w:pPr>
              <w:spacing w:after="0"/>
              <w:rPr>
                <w:sz w:val="5"/>
                <w:szCs w:val="5"/>
                <w:color w:val="auto"/>
              </w:rPr>
            </w:pPr>
          </w:p>
        </w:tc>
        <w:tc>
          <w:tcPr>
            <w:tcW w:w="2900" w:type="dxa"/>
            <w:vAlign w:val="bottom"/>
            <w:shd w:val="clear" w:color="auto" w:fill="808080"/>
          </w:tcPr>
          <w:p>
            <w:pPr>
              <w:spacing w:after="0"/>
              <w:rPr>
                <w:sz w:val="5"/>
                <w:szCs w:val="5"/>
                <w:color w:val="auto"/>
              </w:rPr>
            </w:pPr>
          </w:p>
        </w:tc>
        <w:tc>
          <w:tcPr>
            <w:tcW w:w="360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8" w:name="page9"/>
    <w:bookmarkEnd w:id="8"/>
    <w:p>
      <w:pPr>
        <w:ind w:right="300"/>
        <w:spacing w:after="0" w:line="266" w:lineRule="auto"/>
        <w:rPr>
          <w:sz w:val="20"/>
          <w:szCs w:val="20"/>
          <w:color w:val="auto"/>
        </w:rPr>
      </w:pPr>
      <w:r>
        <w:rPr>
          <w:rFonts w:ascii="Arial" w:cs="Arial" w:eastAsia="Arial" w:hAnsi="Arial"/>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Principal Occupation and Other</w:t>
            </w:r>
          </w:p>
        </w:tc>
        <w:tc>
          <w:tcPr>
            <w:tcW w:w="3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Name and</w:t>
            </w:r>
          </w:p>
        </w:tc>
        <w:tc>
          <w:tcPr>
            <w:tcW w:w="3680" w:type="dxa"/>
            <w:vAlign w:val="bottom"/>
          </w:tcPr>
          <w:p>
            <w:pPr>
              <w:ind w:left="600"/>
              <w:spacing w:after="0"/>
              <w:rPr>
                <w:sz w:val="20"/>
                <w:szCs w:val="20"/>
                <w:color w:val="auto"/>
              </w:rPr>
            </w:pPr>
            <w:r>
              <w:rPr>
                <w:rFonts w:ascii="Arial" w:cs="Arial" w:eastAsia="Arial" w:hAnsi="Arial"/>
                <w:sz w:val="18"/>
                <w:szCs w:val="18"/>
                <w:color w:val="auto"/>
              </w:rPr>
              <w:t>Public Company Directorships</w:t>
            </w:r>
          </w:p>
        </w:tc>
        <w:tc>
          <w:tcPr>
            <w:tcW w:w="3420" w:type="dxa"/>
            <w:vAlign w:val="bottom"/>
          </w:tcPr>
          <w:p>
            <w:pPr>
              <w:spacing w:after="0"/>
              <w:rPr>
                <w:sz w:val="18"/>
                <w:szCs w:val="18"/>
                <w:color w:val="auto"/>
              </w:rPr>
            </w:pPr>
          </w:p>
        </w:tc>
        <w:tc>
          <w:tcPr>
            <w:tcW w:w="2460" w:type="dxa"/>
            <w:vAlign w:val="bottom"/>
            <w:gridSpan w:val="2"/>
          </w:tcPr>
          <w:p>
            <w:pPr>
              <w:ind w:left="380"/>
              <w:spacing w:after="0"/>
              <w:rPr>
                <w:sz w:val="20"/>
                <w:szCs w:val="20"/>
                <w:color w:val="auto"/>
              </w:rPr>
            </w:pPr>
            <w:r>
              <w:rPr>
                <w:rFonts w:ascii="Arial" w:cs="Arial" w:eastAsia="Arial" w:hAnsi="Arial"/>
                <w:sz w:val="18"/>
                <w:szCs w:val="18"/>
                <w:color w:val="auto"/>
              </w:rPr>
              <w:t>Served as Director</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Current Age</w:t>
            </w:r>
          </w:p>
        </w:tc>
        <w:tc>
          <w:tcPr>
            <w:tcW w:w="3680" w:type="dxa"/>
            <w:vAlign w:val="bottom"/>
          </w:tcPr>
          <w:p>
            <w:pPr>
              <w:ind w:left="600"/>
              <w:spacing w:after="0"/>
              <w:rPr>
                <w:sz w:val="20"/>
                <w:szCs w:val="20"/>
                <w:color w:val="auto"/>
              </w:rPr>
            </w:pPr>
            <w:r>
              <w:rPr>
                <w:rFonts w:ascii="Arial" w:cs="Arial" w:eastAsia="Arial" w:hAnsi="Arial"/>
                <w:sz w:val="18"/>
                <w:szCs w:val="18"/>
                <w:color w:val="auto"/>
              </w:rPr>
              <w:t>Held Within Past Five Years</w:t>
            </w:r>
          </w:p>
        </w:tc>
        <w:tc>
          <w:tcPr>
            <w:tcW w:w="3420" w:type="dxa"/>
            <w:vAlign w:val="bottom"/>
          </w:tcPr>
          <w:p>
            <w:pPr>
              <w:ind w:left="320"/>
              <w:spacing w:after="0"/>
              <w:rPr>
                <w:sz w:val="20"/>
                <w:szCs w:val="20"/>
                <w:color w:val="auto"/>
              </w:rPr>
            </w:pPr>
            <w:r>
              <w:rPr>
                <w:rFonts w:ascii="Arial" w:cs="Arial" w:eastAsia="Arial" w:hAnsi="Arial"/>
                <w:sz w:val="18"/>
                <w:szCs w:val="18"/>
                <w:color w:val="auto"/>
              </w:rPr>
              <w:t>Skills and Qualifications</w:t>
            </w:r>
          </w:p>
        </w:tc>
        <w:tc>
          <w:tcPr>
            <w:tcW w:w="2460" w:type="dxa"/>
            <w:vAlign w:val="bottom"/>
            <w:gridSpan w:val="2"/>
          </w:tcPr>
          <w:p>
            <w:pPr>
              <w:ind w:left="380"/>
              <w:spacing w:after="0"/>
              <w:rPr>
                <w:sz w:val="20"/>
                <w:szCs w:val="20"/>
                <w:color w:val="auto"/>
              </w:rPr>
            </w:pPr>
            <w:r>
              <w:rPr>
                <w:rFonts w:ascii="Arial" w:cs="Arial" w:eastAsia="Arial" w:hAnsi="Arial"/>
                <w:sz w:val="18"/>
                <w:szCs w:val="18"/>
                <w:color w:val="auto"/>
              </w:rPr>
              <w:t>Continuously Since</w:t>
            </w:r>
          </w:p>
        </w:tc>
      </w:tr>
      <w:tr>
        <w:trPr>
          <w:trHeight w:val="426"/>
        </w:trPr>
        <w:tc>
          <w:tcPr>
            <w:tcW w:w="5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CONTINUING DIRECTORS WHOSE TERMS EXPIRE IN 2017:</w:t>
            </w:r>
          </w:p>
        </w:tc>
        <w:tc>
          <w:tcPr>
            <w:tcW w:w="342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900" w:type="dxa"/>
            <w:vAlign w:val="bottom"/>
          </w:tcPr>
          <w:p>
            <w:pPr>
              <w:spacing w:after="0"/>
              <w:rPr>
                <w:sz w:val="20"/>
                <w:szCs w:val="20"/>
                <w:color w:val="auto"/>
              </w:rPr>
            </w:pPr>
            <w:r>
              <w:rPr>
                <w:rFonts w:ascii="Arial" w:cs="Arial" w:eastAsia="Arial" w:hAnsi="Arial"/>
                <w:sz w:val="18"/>
                <w:szCs w:val="18"/>
                <w:color w:val="auto"/>
              </w:rPr>
              <w:t>Michael Doar</w:t>
            </w:r>
          </w:p>
        </w:tc>
        <w:tc>
          <w:tcPr>
            <w:tcW w:w="3680" w:type="dxa"/>
            <w:vAlign w:val="bottom"/>
          </w:tcPr>
          <w:p>
            <w:pPr>
              <w:ind w:left="600"/>
              <w:spacing w:after="0"/>
              <w:rPr>
                <w:sz w:val="20"/>
                <w:szCs w:val="20"/>
                <w:color w:val="auto"/>
              </w:rPr>
            </w:pPr>
            <w:r>
              <w:rPr>
                <w:rFonts w:ascii="Arial" w:cs="Arial" w:eastAsia="Arial" w:hAnsi="Arial"/>
                <w:sz w:val="18"/>
                <w:szCs w:val="18"/>
                <w:color w:val="auto"/>
              </w:rPr>
              <w:t>Chairman and Chief</w:t>
            </w:r>
          </w:p>
        </w:tc>
        <w:tc>
          <w:tcPr>
            <w:tcW w:w="3420" w:type="dxa"/>
            <w:vAlign w:val="bottom"/>
          </w:tcPr>
          <w:p>
            <w:pPr>
              <w:ind w:left="320"/>
              <w:spacing w:after="0"/>
              <w:rPr>
                <w:sz w:val="20"/>
                <w:szCs w:val="20"/>
                <w:color w:val="auto"/>
              </w:rPr>
            </w:pPr>
            <w:r>
              <w:rPr>
                <w:rFonts w:ascii="Arial" w:cs="Arial" w:eastAsia="Arial" w:hAnsi="Arial"/>
                <w:sz w:val="18"/>
                <w:szCs w:val="18"/>
                <w:color w:val="auto"/>
              </w:rPr>
              <w:t>Mr. Doar is a sitting CEO of a</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October 2008</w:t>
            </w: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Age 61</w:t>
            </w:r>
          </w:p>
        </w:tc>
        <w:tc>
          <w:tcPr>
            <w:tcW w:w="3680" w:type="dxa"/>
            <w:vAlign w:val="bottom"/>
          </w:tcPr>
          <w:p>
            <w:pPr>
              <w:ind w:left="600"/>
              <w:spacing w:after="0"/>
              <w:rPr>
                <w:sz w:val="20"/>
                <w:szCs w:val="20"/>
                <w:color w:val="auto"/>
              </w:rPr>
            </w:pPr>
            <w:r>
              <w:rPr>
                <w:rFonts w:ascii="Arial" w:cs="Arial" w:eastAsia="Arial" w:hAnsi="Arial"/>
                <w:sz w:val="18"/>
                <w:szCs w:val="18"/>
                <w:color w:val="auto"/>
              </w:rPr>
              <w:t>Executive Officer,</w:t>
            </w:r>
          </w:p>
        </w:tc>
        <w:tc>
          <w:tcPr>
            <w:tcW w:w="3420" w:type="dxa"/>
            <w:vAlign w:val="bottom"/>
          </w:tcPr>
          <w:p>
            <w:pPr>
              <w:ind w:left="320"/>
              <w:spacing w:after="0"/>
              <w:rPr>
                <w:sz w:val="20"/>
                <w:szCs w:val="20"/>
                <w:color w:val="auto"/>
              </w:rPr>
            </w:pPr>
            <w:r>
              <w:rPr>
                <w:rFonts w:ascii="Arial" w:cs="Arial" w:eastAsia="Arial" w:hAnsi="Arial"/>
                <w:sz w:val="18"/>
                <w:szCs w:val="18"/>
                <w:color w:val="auto"/>
              </w:rPr>
              <w:t>public company. His experience</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Hurco Companies, Inc.</w:t>
            </w:r>
          </w:p>
        </w:tc>
        <w:tc>
          <w:tcPr>
            <w:tcW w:w="3420" w:type="dxa"/>
            <w:vAlign w:val="bottom"/>
          </w:tcPr>
          <w:p>
            <w:pPr>
              <w:ind w:left="320"/>
              <w:spacing w:after="0"/>
              <w:rPr>
                <w:sz w:val="20"/>
                <w:szCs w:val="20"/>
                <w:color w:val="auto"/>
              </w:rPr>
            </w:pPr>
            <w:r>
              <w:rPr>
                <w:rFonts w:ascii="Arial" w:cs="Arial" w:eastAsia="Arial" w:hAnsi="Arial"/>
                <w:sz w:val="18"/>
                <w:szCs w:val="18"/>
                <w:color w:val="auto"/>
              </w:rPr>
              <w:t>includes strategic planning,</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Indianapolis, Indiana</w:t>
            </w:r>
          </w:p>
        </w:tc>
        <w:tc>
          <w:tcPr>
            <w:tcW w:w="3420" w:type="dxa"/>
            <w:vAlign w:val="bottom"/>
          </w:tcPr>
          <w:p>
            <w:pPr>
              <w:ind w:left="320"/>
              <w:spacing w:after="0"/>
              <w:rPr>
                <w:sz w:val="20"/>
                <w:szCs w:val="20"/>
                <w:color w:val="auto"/>
              </w:rPr>
            </w:pPr>
            <w:r>
              <w:rPr>
                <w:rFonts w:ascii="Arial" w:cs="Arial" w:eastAsia="Arial" w:hAnsi="Arial"/>
                <w:sz w:val="18"/>
                <w:szCs w:val="18"/>
                <w:color w:val="auto"/>
              </w:rPr>
              <w:t>financial oversight, compensation and</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w w:val="94"/>
              </w:rPr>
              <w:t>(A global manufacturer of machine tools)</w:t>
            </w:r>
          </w:p>
        </w:tc>
        <w:tc>
          <w:tcPr>
            <w:tcW w:w="3420" w:type="dxa"/>
            <w:vAlign w:val="bottom"/>
          </w:tcPr>
          <w:p>
            <w:pPr>
              <w:ind w:left="320"/>
              <w:spacing w:after="0"/>
              <w:rPr>
                <w:sz w:val="20"/>
                <w:szCs w:val="20"/>
                <w:color w:val="auto"/>
              </w:rPr>
            </w:pPr>
            <w:r>
              <w:rPr>
                <w:rFonts w:ascii="Arial" w:cs="Arial" w:eastAsia="Arial" w:hAnsi="Arial"/>
                <w:sz w:val="18"/>
                <w:szCs w:val="18"/>
                <w:color w:val="auto"/>
              </w:rPr>
              <w:t>organizational competencies.</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His career in the capital goods</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industry has exposed him to complex</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manufacturing and engineering</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solutions on a global basis.</w:t>
            </w:r>
          </w:p>
        </w:tc>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900" w:type="dxa"/>
            <w:vAlign w:val="bottom"/>
          </w:tcPr>
          <w:p>
            <w:pPr>
              <w:spacing w:after="0"/>
              <w:rPr>
                <w:sz w:val="20"/>
                <w:szCs w:val="20"/>
                <w:color w:val="auto"/>
              </w:rPr>
            </w:pPr>
            <w:r>
              <w:rPr>
                <w:rFonts w:ascii="Arial" w:cs="Arial" w:eastAsia="Arial" w:hAnsi="Arial"/>
                <w:sz w:val="18"/>
                <w:szCs w:val="18"/>
                <w:color w:val="auto"/>
              </w:rPr>
              <w:t>David R. Zimmer</w:t>
            </w:r>
          </w:p>
        </w:tc>
        <w:tc>
          <w:tcPr>
            <w:tcW w:w="3680" w:type="dxa"/>
            <w:vAlign w:val="bottom"/>
          </w:tcPr>
          <w:p>
            <w:pPr>
              <w:ind w:left="600"/>
              <w:spacing w:after="0"/>
              <w:rPr>
                <w:sz w:val="20"/>
                <w:szCs w:val="20"/>
                <w:color w:val="auto"/>
              </w:rPr>
            </w:pPr>
            <w:r>
              <w:rPr>
                <w:rFonts w:ascii="Arial" w:cs="Arial" w:eastAsia="Arial" w:hAnsi="Arial"/>
                <w:sz w:val="18"/>
                <w:szCs w:val="18"/>
                <w:color w:val="auto"/>
              </w:rPr>
              <w:t>Retired Managing Partner,</w:t>
            </w:r>
          </w:p>
        </w:tc>
        <w:tc>
          <w:tcPr>
            <w:tcW w:w="3420" w:type="dxa"/>
            <w:vAlign w:val="bottom"/>
          </w:tcPr>
          <w:p>
            <w:pPr>
              <w:ind w:left="320"/>
              <w:spacing w:after="0"/>
              <w:rPr>
                <w:sz w:val="20"/>
                <w:szCs w:val="20"/>
                <w:color w:val="auto"/>
              </w:rPr>
            </w:pPr>
            <w:r>
              <w:rPr>
                <w:rFonts w:ascii="Arial" w:cs="Arial" w:eastAsia="Arial" w:hAnsi="Arial"/>
                <w:sz w:val="18"/>
                <w:szCs w:val="18"/>
                <w:color w:val="auto"/>
              </w:rPr>
              <w:t>Mr. Zimmer is a former CEO of</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July 1995</w:t>
            </w: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Age 70</w:t>
            </w:r>
          </w:p>
        </w:tc>
        <w:tc>
          <w:tcPr>
            <w:tcW w:w="3680" w:type="dxa"/>
            <w:vAlign w:val="bottom"/>
          </w:tcPr>
          <w:p>
            <w:pPr>
              <w:ind w:left="600"/>
              <w:spacing w:after="0"/>
              <w:rPr>
                <w:sz w:val="20"/>
                <w:szCs w:val="20"/>
                <w:color w:val="auto"/>
              </w:rPr>
            </w:pPr>
            <w:r>
              <w:rPr>
                <w:rFonts w:ascii="Arial" w:cs="Arial" w:eastAsia="Arial" w:hAnsi="Arial"/>
                <w:sz w:val="18"/>
                <w:szCs w:val="18"/>
                <w:color w:val="auto"/>
              </w:rPr>
              <w:t>Stonebridge Equity LLC,</w:t>
            </w:r>
          </w:p>
        </w:tc>
        <w:tc>
          <w:tcPr>
            <w:tcW w:w="3420" w:type="dxa"/>
            <w:vAlign w:val="bottom"/>
          </w:tcPr>
          <w:p>
            <w:pPr>
              <w:ind w:left="320"/>
              <w:spacing w:after="0"/>
              <w:rPr>
                <w:sz w:val="20"/>
                <w:szCs w:val="20"/>
                <w:color w:val="auto"/>
              </w:rPr>
            </w:pPr>
            <w:r>
              <w:rPr>
                <w:rFonts w:ascii="Arial" w:cs="Arial" w:eastAsia="Arial" w:hAnsi="Arial"/>
                <w:sz w:val="18"/>
                <w:szCs w:val="18"/>
                <w:color w:val="auto"/>
              </w:rPr>
              <w:t>a public company and has also</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Troy, Michigan,</w:t>
            </w:r>
          </w:p>
        </w:tc>
        <w:tc>
          <w:tcPr>
            <w:tcW w:w="3420" w:type="dxa"/>
            <w:vAlign w:val="bottom"/>
          </w:tcPr>
          <w:p>
            <w:pPr>
              <w:ind w:left="320"/>
              <w:spacing w:after="0"/>
              <w:rPr>
                <w:sz w:val="20"/>
                <w:szCs w:val="20"/>
                <w:color w:val="auto"/>
              </w:rPr>
            </w:pPr>
            <w:r>
              <w:rPr>
                <w:rFonts w:ascii="Arial" w:cs="Arial" w:eastAsia="Arial" w:hAnsi="Arial"/>
                <w:sz w:val="18"/>
                <w:szCs w:val="18"/>
                <w:color w:val="auto"/>
              </w:rPr>
              <w:t>held a CFO position in a public</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(A merger, acquisition and</w:t>
            </w:r>
          </w:p>
        </w:tc>
        <w:tc>
          <w:tcPr>
            <w:tcW w:w="3420" w:type="dxa"/>
            <w:vAlign w:val="bottom"/>
          </w:tcPr>
          <w:p>
            <w:pPr>
              <w:ind w:left="320"/>
              <w:spacing w:after="0"/>
              <w:rPr>
                <w:sz w:val="20"/>
                <w:szCs w:val="20"/>
                <w:color w:val="auto"/>
              </w:rPr>
            </w:pPr>
            <w:r>
              <w:rPr>
                <w:rFonts w:ascii="Arial" w:cs="Arial" w:eastAsia="Arial" w:hAnsi="Arial"/>
                <w:sz w:val="18"/>
                <w:szCs w:val="18"/>
                <w:color w:val="auto"/>
              </w:rPr>
              <w:t>company. His skill sets include</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value consulting firm);</w:t>
            </w:r>
          </w:p>
        </w:tc>
        <w:tc>
          <w:tcPr>
            <w:tcW w:w="3420" w:type="dxa"/>
            <w:vAlign w:val="bottom"/>
          </w:tcPr>
          <w:p>
            <w:pPr>
              <w:ind w:left="320"/>
              <w:spacing w:after="0"/>
              <w:rPr>
                <w:sz w:val="20"/>
                <w:szCs w:val="20"/>
                <w:color w:val="auto"/>
              </w:rPr>
            </w:pPr>
            <w:r>
              <w:rPr>
                <w:rFonts w:ascii="Arial" w:cs="Arial" w:eastAsia="Arial" w:hAnsi="Arial"/>
                <w:sz w:val="18"/>
                <w:szCs w:val="18"/>
                <w:color w:val="auto"/>
              </w:rPr>
              <w:t>strategic planning, financial</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Formerly Chief Executive</w:t>
            </w:r>
          </w:p>
        </w:tc>
        <w:tc>
          <w:tcPr>
            <w:tcW w:w="3420" w:type="dxa"/>
            <w:vAlign w:val="bottom"/>
          </w:tcPr>
          <w:p>
            <w:pPr>
              <w:ind w:left="320"/>
              <w:spacing w:after="0"/>
              <w:rPr>
                <w:sz w:val="20"/>
                <w:szCs w:val="20"/>
                <w:color w:val="auto"/>
              </w:rPr>
            </w:pPr>
            <w:r>
              <w:rPr>
                <w:rFonts w:ascii="Arial" w:cs="Arial" w:eastAsia="Arial" w:hAnsi="Arial"/>
                <w:sz w:val="18"/>
                <w:szCs w:val="18"/>
                <w:color w:val="auto"/>
              </w:rPr>
              <w:t>oversight, compensation, and</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Officer, Twitchell Corporation,</w:t>
            </w:r>
          </w:p>
        </w:tc>
        <w:tc>
          <w:tcPr>
            <w:tcW w:w="3420" w:type="dxa"/>
            <w:vAlign w:val="bottom"/>
          </w:tcPr>
          <w:p>
            <w:pPr>
              <w:ind w:left="320"/>
              <w:spacing w:after="0"/>
              <w:rPr>
                <w:sz w:val="20"/>
                <w:szCs w:val="20"/>
                <w:color w:val="auto"/>
              </w:rPr>
            </w:pPr>
            <w:r>
              <w:rPr>
                <w:rFonts w:ascii="Arial" w:cs="Arial" w:eastAsia="Arial" w:hAnsi="Arial"/>
                <w:sz w:val="18"/>
                <w:szCs w:val="18"/>
                <w:color w:val="auto"/>
              </w:rPr>
              <w:t>organizational development.</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Dothan, AL (A privately held</w:t>
            </w:r>
          </w:p>
        </w:tc>
        <w:tc>
          <w:tcPr>
            <w:tcW w:w="3420" w:type="dxa"/>
            <w:vAlign w:val="bottom"/>
          </w:tcPr>
          <w:p>
            <w:pPr>
              <w:ind w:left="320"/>
              <w:spacing w:after="0"/>
              <w:rPr>
                <w:sz w:val="20"/>
                <w:szCs w:val="20"/>
                <w:color w:val="auto"/>
              </w:rPr>
            </w:pPr>
            <w:r>
              <w:rPr>
                <w:rFonts w:ascii="Arial" w:cs="Arial" w:eastAsia="Arial" w:hAnsi="Arial"/>
                <w:sz w:val="18"/>
                <w:szCs w:val="18"/>
                <w:color w:val="auto"/>
              </w:rPr>
              <w:t>His career includes international</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manufacturer and marketer of</w:t>
            </w:r>
          </w:p>
        </w:tc>
        <w:tc>
          <w:tcPr>
            <w:tcW w:w="3420" w:type="dxa"/>
            <w:vAlign w:val="bottom"/>
          </w:tcPr>
          <w:p>
            <w:pPr>
              <w:ind w:left="320"/>
              <w:spacing w:after="0"/>
              <w:rPr>
                <w:sz w:val="20"/>
                <w:szCs w:val="20"/>
                <w:color w:val="auto"/>
              </w:rPr>
            </w:pPr>
            <w:r>
              <w:rPr>
                <w:rFonts w:ascii="Arial" w:cs="Arial" w:eastAsia="Arial" w:hAnsi="Arial"/>
                <w:sz w:val="18"/>
                <w:szCs w:val="18"/>
                <w:color w:val="auto"/>
              </w:rPr>
              <w:t>business in complex</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highly engineered synthetic</w:t>
            </w:r>
          </w:p>
        </w:tc>
        <w:tc>
          <w:tcPr>
            <w:tcW w:w="3420" w:type="dxa"/>
            <w:vAlign w:val="bottom"/>
          </w:tcPr>
          <w:p>
            <w:pPr>
              <w:ind w:left="320"/>
              <w:spacing w:after="0"/>
              <w:rPr>
                <w:sz w:val="20"/>
                <w:szCs w:val="20"/>
                <w:color w:val="auto"/>
              </w:rPr>
            </w:pPr>
            <w:r>
              <w:rPr>
                <w:rFonts w:ascii="Arial" w:cs="Arial" w:eastAsia="Arial" w:hAnsi="Arial"/>
                <w:sz w:val="18"/>
                <w:szCs w:val="18"/>
                <w:color w:val="auto"/>
              </w:rPr>
              <w:t>manufacturing related</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yarns, fabrics, extrusions, and</w:t>
            </w:r>
          </w:p>
        </w:tc>
        <w:tc>
          <w:tcPr>
            <w:tcW w:w="3420" w:type="dxa"/>
            <w:vAlign w:val="bottom"/>
          </w:tcPr>
          <w:p>
            <w:pPr>
              <w:ind w:left="320"/>
              <w:spacing w:after="0"/>
              <w:rPr>
                <w:sz w:val="20"/>
                <w:szCs w:val="20"/>
                <w:color w:val="auto"/>
              </w:rPr>
            </w:pPr>
            <w:r>
              <w:rPr>
                <w:rFonts w:ascii="Arial" w:cs="Arial" w:eastAsia="Arial" w:hAnsi="Arial"/>
                <w:sz w:val="18"/>
                <w:szCs w:val="18"/>
                <w:color w:val="auto"/>
              </w:rPr>
              <w:t>industries, as well as</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coatings);</w:t>
            </w:r>
          </w:p>
        </w:tc>
        <w:tc>
          <w:tcPr>
            <w:tcW w:w="3420" w:type="dxa"/>
            <w:vAlign w:val="bottom"/>
          </w:tcPr>
          <w:p>
            <w:pPr>
              <w:ind w:left="320"/>
              <w:spacing w:after="0"/>
              <w:rPr>
                <w:sz w:val="20"/>
                <w:szCs w:val="20"/>
                <w:color w:val="auto"/>
              </w:rPr>
            </w:pPr>
            <w:r>
              <w:rPr>
                <w:rFonts w:ascii="Arial" w:cs="Arial" w:eastAsia="Arial" w:hAnsi="Arial"/>
                <w:sz w:val="18"/>
                <w:szCs w:val="18"/>
                <w:color w:val="auto"/>
              </w:rPr>
              <w:t>mergers and acquisitions.</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Also Director, Detrex Corp.</w:t>
            </w:r>
          </w:p>
        </w:tc>
        <w:tc>
          <w:tcPr>
            <w:tcW w:w="3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p>
        </w:tc>
        <w:tc>
          <w:tcPr>
            <w:tcW w:w="3680" w:type="dxa"/>
            <w:vAlign w:val="bottom"/>
          </w:tcPr>
          <w:p>
            <w:pPr>
              <w:ind w:left="600"/>
              <w:spacing w:after="0"/>
              <w:rPr>
                <w:sz w:val="20"/>
                <w:szCs w:val="20"/>
                <w:color w:val="auto"/>
              </w:rPr>
            </w:pPr>
            <w:r>
              <w:rPr>
                <w:rFonts w:ascii="Arial" w:cs="Arial" w:eastAsia="Arial" w:hAnsi="Arial"/>
                <w:sz w:val="18"/>
                <w:szCs w:val="18"/>
                <w:color w:val="auto"/>
              </w:rPr>
              <w:t>and Strattec Security Corp.</w:t>
            </w:r>
          </w:p>
        </w:tc>
        <w:tc>
          <w:tcPr>
            <w:tcW w:w="34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75"/>
        </w:trPr>
        <w:tc>
          <w:tcPr>
            <w:tcW w:w="19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8</w:t>
            </w: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9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90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24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Principal Occupation and Other</w:t>
            </w:r>
          </w:p>
        </w:tc>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Name and</w:t>
            </w:r>
          </w:p>
        </w:tc>
        <w:tc>
          <w:tcPr>
            <w:tcW w:w="3460" w:type="dxa"/>
            <w:vAlign w:val="bottom"/>
          </w:tcPr>
          <w:p>
            <w:pPr>
              <w:ind w:left="580"/>
              <w:spacing w:after="0"/>
              <w:rPr>
                <w:sz w:val="20"/>
                <w:szCs w:val="20"/>
                <w:color w:val="auto"/>
              </w:rPr>
            </w:pPr>
            <w:r>
              <w:rPr>
                <w:rFonts w:ascii="Arial" w:cs="Arial" w:eastAsia="Arial" w:hAnsi="Arial"/>
                <w:sz w:val="18"/>
                <w:szCs w:val="18"/>
                <w:color w:val="auto"/>
              </w:rPr>
              <w:t>Public Company Directorships</w:t>
            </w:r>
          </w:p>
        </w:tc>
        <w:tc>
          <w:tcPr>
            <w:tcW w:w="3420" w:type="dxa"/>
            <w:vAlign w:val="bottom"/>
          </w:tcPr>
          <w:p>
            <w:pPr>
              <w:spacing w:after="0"/>
              <w:rPr>
                <w:sz w:val="18"/>
                <w:szCs w:val="18"/>
                <w:color w:val="auto"/>
              </w:rPr>
            </w:pPr>
          </w:p>
        </w:tc>
        <w:tc>
          <w:tcPr>
            <w:tcW w:w="2640" w:type="dxa"/>
            <w:vAlign w:val="bottom"/>
          </w:tcPr>
          <w:p>
            <w:pPr>
              <w:ind w:left="520"/>
              <w:spacing w:after="0"/>
              <w:rPr>
                <w:sz w:val="20"/>
                <w:szCs w:val="20"/>
                <w:color w:val="auto"/>
              </w:rPr>
            </w:pPr>
            <w:r>
              <w:rPr>
                <w:rFonts w:ascii="Arial" w:cs="Arial" w:eastAsia="Arial" w:hAnsi="Arial"/>
                <w:sz w:val="18"/>
                <w:szCs w:val="18"/>
                <w:color w:val="auto"/>
              </w:rPr>
              <w:t>Served as Director</w:t>
            </w:r>
          </w:p>
        </w:tc>
      </w:tr>
      <w:tr>
        <w:trPr>
          <w:trHeight w:val="230"/>
        </w:trPr>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4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Held Within Past Five Years</w:t>
            </w:r>
          </w:p>
        </w:tc>
        <w:tc>
          <w:tcPr>
            <w:tcW w:w="34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Skills and Qualifications</w:t>
            </w:r>
          </w:p>
        </w:tc>
        <w:tc>
          <w:tcPr>
            <w:tcW w:w="26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Continuously Since</w:t>
            </w:r>
          </w:p>
        </w:tc>
      </w:tr>
      <w:tr>
        <w:trPr>
          <w:trHeight w:val="426"/>
        </w:trPr>
        <w:tc>
          <w:tcPr>
            <w:tcW w:w="5360" w:type="dxa"/>
            <w:vAlign w:val="bottom"/>
            <w:gridSpan w:val="2"/>
          </w:tcPr>
          <w:p>
            <w:pPr>
              <w:spacing w:after="0"/>
              <w:rPr>
                <w:sz w:val="20"/>
                <w:szCs w:val="20"/>
                <w:color w:val="auto"/>
              </w:rPr>
            </w:pPr>
            <w:r>
              <w:rPr>
                <w:rFonts w:ascii="Arial" w:cs="Arial" w:eastAsia="Arial" w:hAnsi="Arial"/>
                <w:sz w:val="18"/>
                <w:szCs w:val="18"/>
                <w:color w:val="auto"/>
              </w:rPr>
              <w:t>CONTINUING DIRECTORS WHOSE TERMS EXPIRE IN 2018:</w:t>
            </w:r>
          </w:p>
        </w:tc>
        <w:tc>
          <w:tcPr>
            <w:tcW w:w="34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634"/>
        </w:trPr>
        <w:tc>
          <w:tcPr>
            <w:tcW w:w="1900" w:type="dxa"/>
            <w:vAlign w:val="bottom"/>
          </w:tcPr>
          <w:p>
            <w:pPr>
              <w:spacing w:after="0"/>
              <w:rPr>
                <w:sz w:val="20"/>
                <w:szCs w:val="20"/>
                <w:color w:val="auto"/>
              </w:rPr>
            </w:pPr>
            <w:r>
              <w:rPr>
                <w:rFonts w:ascii="Arial" w:cs="Arial" w:eastAsia="Arial" w:hAnsi="Arial"/>
                <w:sz w:val="18"/>
                <w:szCs w:val="18"/>
                <w:color w:val="auto"/>
              </w:rPr>
              <w:t>David B. Rayburn</w:t>
            </w:r>
          </w:p>
        </w:tc>
        <w:tc>
          <w:tcPr>
            <w:tcW w:w="3460" w:type="dxa"/>
            <w:vAlign w:val="bottom"/>
          </w:tcPr>
          <w:p>
            <w:pPr>
              <w:ind w:left="580"/>
              <w:spacing w:after="0"/>
              <w:rPr>
                <w:sz w:val="20"/>
                <w:szCs w:val="20"/>
                <w:color w:val="auto"/>
              </w:rPr>
            </w:pPr>
            <w:r>
              <w:rPr>
                <w:rFonts w:ascii="Arial" w:cs="Arial" w:eastAsia="Arial" w:hAnsi="Arial"/>
                <w:sz w:val="18"/>
                <w:szCs w:val="18"/>
                <w:color w:val="auto"/>
              </w:rPr>
              <w:t>Retired President and</w:t>
            </w:r>
          </w:p>
        </w:tc>
        <w:tc>
          <w:tcPr>
            <w:tcW w:w="3420" w:type="dxa"/>
            <w:vAlign w:val="bottom"/>
          </w:tcPr>
          <w:p>
            <w:pPr>
              <w:ind w:left="480"/>
              <w:spacing w:after="0"/>
              <w:rPr>
                <w:sz w:val="20"/>
                <w:szCs w:val="20"/>
                <w:color w:val="auto"/>
              </w:rPr>
            </w:pPr>
            <w:r>
              <w:rPr>
                <w:rFonts w:ascii="Arial" w:cs="Arial" w:eastAsia="Arial" w:hAnsi="Arial"/>
                <w:sz w:val="18"/>
                <w:szCs w:val="18"/>
                <w:color w:val="auto"/>
              </w:rPr>
              <w:t>As a former CEO of a public</w:t>
            </w:r>
          </w:p>
        </w:tc>
        <w:tc>
          <w:tcPr>
            <w:tcW w:w="2640" w:type="dxa"/>
            <w:vAlign w:val="bottom"/>
          </w:tcPr>
          <w:p>
            <w:pPr>
              <w:ind w:left="1940"/>
              <w:spacing w:after="0"/>
              <w:rPr>
                <w:sz w:val="20"/>
                <w:szCs w:val="20"/>
                <w:color w:val="auto"/>
              </w:rPr>
            </w:pPr>
            <w:r>
              <w:rPr>
                <w:rFonts w:ascii="Arial" w:cs="Arial" w:eastAsia="Arial" w:hAnsi="Arial"/>
                <w:sz w:val="18"/>
                <w:szCs w:val="18"/>
                <w:color w:val="auto"/>
                <w:w w:val="88"/>
              </w:rPr>
              <w:t>July 2000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Age 68</w:t>
            </w:r>
          </w:p>
        </w:tc>
        <w:tc>
          <w:tcPr>
            <w:tcW w:w="3460" w:type="dxa"/>
            <w:vAlign w:val="bottom"/>
          </w:tcPr>
          <w:p>
            <w:pPr>
              <w:ind w:left="580"/>
              <w:spacing w:after="0"/>
              <w:rPr>
                <w:sz w:val="20"/>
                <w:szCs w:val="20"/>
                <w:color w:val="auto"/>
              </w:rPr>
            </w:pPr>
            <w:r>
              <w:rPr>
                <w:rFonts w:ascii="Arial" w:cs="Arial" w:eastAsia="Arial" w:hAnsi="Arial"/>
                <w:sz w:val="18"/>
                <w:szCs w:val="18"/>
                <w:color w:val="auto"/>
              </w:rPr>
              <w:t>Chief Executive Officer,</w:t>
            </w:r>
          </w:p>
        </w:tc>
        <w:tc>
          <w:tcPr>
            <w:tcW w:w="3420" w:type="dxa"/>
            <w:vAlign w:val="bottom"/>
          </w:tcPr>
          <w:p>
            <w:pPr>
              <w:ind w:left="480"/>
              <w:spacing w:after="0"/>
              <w:rPr>
                <w:sz w:val="20"/>
                <w:szCs w:val="20"/>
                <w:color w:val="auto"/>
              </w:rPr>
            </w:pPr>
            <w:r>
              <w:rPr>
                <w:rFonts w:ascii="Arial" w:cs="Arial" w:eastAsia="Arial" w:hAnsi="Arial"/>
                <w:sz w:val="18"/>
                <w:szCs w:val="18"/>
                <w:color w:val="auto"/>
              </w:rPr>
              <w:t>company, Mr. Rayburn has</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Modine Manufacturing</w:t>
            </w:r>
          </w:p>
        </w:tc>
        <w:tc>
          <w:tcPr>
            <w:tcW w:w="3420" w:type="dxa"/>
            <w:vAlign w:val="bottom"/>
          </w:tcPr>
          <w:p>
            <w:pPr>
              <w:ind w:left="480"/>
              <w:spacing w:after="0"/>
              <w:rPr>
                <w:sz w:val="20"/>
                <w:szCs w:val="20"/>
                <w:color w:val="auto"/>
              </w:rPr>
            </w:pPr>
            <w:r>
              <w:rPr>
                <w:rFonts w:ascii="Arial" w:cs="Arial" w:eastAsia="Arial" w:hAnsi="Arial"/>
                <w:sz w:val="18"/>
                <w:szCs w:val="18"/>
                <w:color w:val="auto"/>
              </w:rPr>
              <w:t>experience and skill sets in</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Company,</w:t>
            </w:r>
          </w:p>
        </w:tc>
        <w:tc>
          <w:tcPr>
            <w:tcW w:w="3420" w:type="dxa"/>
            <w:vAlign w:val="bottom"/>
          </w:tcPr>
          <w:p>
            <w:pPr>
              <w:ind w:left="480"/>
              <w:spacing w:after="0"/>
              <w:rPr>
                <w:sz w:val="20"/>
                <w:szCs w:val="20"/>
                <w:color w:val="auto"/>
              </w:rPr>
            </w:pPr>
            <w:r>
              <w:rPr>
                <w:rFonts w:ascii="Arial" w:cs="Arial" w:eastAsia="Arial" w:hAnsi="Arial"/>
                <w:sz w:val="18"/>
                <w:szCs w:val="18"/>
                <w:color w:val="auto"/>
              </w:rPr>
              <w:t>strategic planning, financial</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Racine, Wisconsin</w:t>
            </w:r>
          </w:p>
        </w:tc>
        <w:tc>
          <w:tcPr>
            <w:tcW w:w="3420" w:type="dxa"/>
            <w:vAlign w:val="bottom"/>
          </w:tcPr>
          <w:p>
            <w:pPr>
              <w:ind w:left="480"/>
              <w:spacing w:after="0"/>
              <w:rPr>
                <w:sz w:val="20"/>
                <w:szCs w:val="20"/>
                <w:color w:val="auto"/>
              </w:rPr>
            </w:pPr>
            <w:r>
              <w:rPr>
                <w:rFonts w:ascii="Arial" w:cs="Arial" w:eastAsia="Arial" w:hAnsi="Arial"/>
                <w:sz w:val="18"/>
                <w:szCs w:val="18"/>
                <w:color w:val="auto"/>
              </w:rPr>
              <w:t>oversight, compensation policy</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(A manufacturer of heat</w:t>
            </w:r>
          </w:p>
        </w:tc>
        <w:tc>
          <w:tcPr>
            <w:tcW w:w="3420" w:type="dxa"/>
            <w:vAlign w:val="bottom"/>
          </w:tcPr>
          <w:p>
            <w:pPr>
              <w:ind w:left="480"/>
              <w:spacing w:after="0"/>
              <w:rPr>
                <w:sz w:val="20"/>
                <w:szCs w:val="20"/>
                <w:color w:val="auto"/>
              </w:rPr>
            </w:pPr>
            <w:r>
              <w:rPr>
                <w:rFonts w:ascii="Arial" w:cs="Arial" w:eastAsia="Arial" w:hAnsi="Arial"/>
                <w:sz w:val="18"/>
                <w:szCs w:val="18"/>
                <w:color w:val="auto"/>
              </w:rPr>
              <w:t>and practices as well as</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exchange equipment)</w:t>
            </w:r>
          </w:p>
        </w:tc>
        <w:tc>
          <w:tcPr>
            <w:tcW w:w="3420" w:type="dxa"/>
            <w:vAlign w:val="bottom"/>
          </w:tcPr>
          <w:p>
            <w:pPr>
              <w:ind w:left="480"/>
              <w:spacing w:after="0"/>
              <w:rPr>
                <w:sz w:val="20"/>
                <w:szCs w:val="20"/>
                <w:color w:val="auto"/>
              </w:rPr>
            </w:pPr>
            <w:r>
              <w:rPr>
                <w:rFonts w:ascii="Arial" w:cs="Arial" w:eastAsia="Arial" w:hAnsi="Arial"/>
                <w:sz w:val="18"/>
                <w:szCs w:val="18"/>
                <w:color w:val="auto"/>
              </w:rPr>
              <w:t>organizational structure. In</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Also, Director Lindsay</w:t>
            </w:r>
          </w:p>
        </w:tc>
        <w:tc>
          <w:tcPr>
            <w:tcW w:w="3420" w:type="dxa"/>
            <w:vAlign w:val="bottom"/>
          </w:tcPr>
          <w:p>
            <w:pPr>
              <w:ind w:left="480"/>
              <w:spacing w:after="0"/>
              <w:rPr>
                <w:sz w:val="20"/>
                <w:szCs w:val="20"/>
                <w:color w:val="auto"/>
              </w:rPr>
            </w:pPr>
            <w:r>
              <w:rPr>
                <w:rFonts w:ascii="Arial" w:cs="Arial" w:eastAsia="Arial" w:hAnsi="Arial"/>
                <w:sz w:val="18"/>
                <w:szCs w:val="18"/>
                <w:color w:val="auto"/>
              </w:rPr>
              <w:t>addition, Mr. Rayburn’s</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Corporation (a provider</w:t>
            </w:r>
          </w:p>
        </w:tc>
        <w:tc>
          <w:tcPr>
            <w:tcW w:w="3420" w:type="dxa"/>
            <w:vAlign w:val="bottom"/>
          </w:tcPr>
          <w:p>
            <w:pPr>
              <w:ind w:left="480"/>
              <w:spacing w:after="0"/>
              <w:rPr>
                <w:sz w:val="20"/>
                <w:szCs w:val="20"/>
                <w:color w:val="auto"/>
              </w:rPr>
            </w:pPr>
            <w:r>
              <w:rPr>
                <w:rFonts w:ascii="Arial" w:cs="Arial" w:eastAsia="Arial" w:hAnsi="Arial"/>
                <w:sz w:val="18"/>
                <w:szCs w:val="18"/>
                <w:color w:val="auto"/>
              </w:rPr>
              <w:t>background includes</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of irrigation and water</w:t>
            </w:r>
          </w:p>
        </w:tc>
        <w:tc>
          <w:tcPr>
            <w:tcW w:w="3420" w:type="dxa"/>
            <w:vAlign w:val="bottom"/>
          </w:tcPr>
          <w:p>
            <w:pPr>
              <w:ind w:left="480"/>
              <w:spacing w:after="0"/>
              <w:rPr>
                <w:sz w:val="20"/>
                <w:szCs w:val="20"/>
                <w:color w:val="auto"/>
              </w:rPr>
            </w:pPr>
            <w:r>
              <w:rPr>
                <w:rFonts w:ascii="Arial" w:cs="Arial" w:eastAsia="Arial" w:hAnsi="Arial"/>
                <w:sz w:val="18"/>
                <w:szCs w:val="18"/>
                <w:color w:val="auto"/>
              </w:rPr>
              <w:t>international business, mergers</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ind w:left="580"/>
              <w:spacing w:after="0"/>
              <w:rPr>
                <w:sz w:val="20"/>
                <w:szCs w:val="20"/>
                <w:color w:val="auto"/>
              </w:rPr>
            </w:pPr>
            <w:r>
              <w:rPr>
                <w:rFonts w:ascii="Arial" w:cs="Arial" w:eastAsia="Arial" w:hAnsi="Arial"/>
                <w:sz w:val="18"/>
                <w:szCs w:val="18"/>
                <w:color w:val="auto"/>
              </w:rPr>
              <w:t>management systems).</w:t>
            </w:r>
          </w:p>
        </w:tc>
        <w:tc>
          <w:tcPr>
            <w:tcW w:w="3420" w:type="dxa"/>
            <w:vAlign w:val="bottom"/>
          </w:tcPr>
          <w:p>
            <w:pPr>
              <w:ind w:left="480"/>
              <w:spacing w:after="0"/>
              <w:rPr>
                <w:sz w:val="20"/>
                <w:szCs w:val="20"/>
                <w:color w:val="auto"/>
              </w:rPr>
            </w:pPr>
            <w:r>
              <w:rPr>
                <w:rFonts w:ascii="Arial" w:cs="Arial" w:eastAsia="Arial" w:hAnsi="Arial"/>
                <w:sz w:val="18"/>
                <w:szCs w:val="18"/>
                <w:color w:val="auto"/>
              </w:rPr>
              <w:t>and acquisitions, engineering and</w:t>
            </w:r>
          </w:p>
        </w:tc>
        <w:tc>
          <w:tcPr>
            <w:tcW w:w="26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20" w:type="dxa"/>
            <w:vAlign w:val="bottom"/>
          </w:tcPr>
          <w:p>
            <w:pPr>
              <w:ind w:left="480"/>
              <w:spacing w:after="0"/>
              <w:rPr>
                <w:sz w:val="20"/>
                <w:szCs w:val="20"/>
                <w:color w:val="auto"/>
              </w:rPr>
            </w:pPr>
            <w:r>
              <w:rPr>
                <w:rFonts w:ascii="Arial" w:cs="Arial" w:eastAsia="Arial" w:hAnsi="Arial"/>
                <w:sz w:val="18"/>
                <w:szCs w:val="18"/>
                <w:color w:val="auto"/>
              </w:rPr>
              <w:t>manufacturing in an industry</w:t>
            </w:r>
          </w:p>
        </w:tc>
        <w:tc>
          <w:tcPr>
            <w:tcW w:w="264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20" w:type="dxa"/>
            <w:vAlign w:val="bottom"/>
          </w:tcPr>
          <w:p>
            <w:pPr>
              <w:ind w:left="480"/>
              <w:spacing w:after="0"/>
              <w:rPr>
                <w:sz w:val="20"/>
                <w:szCs w:val="20"/>
                <w:color w:val="auto"/>
              </w:rPr>
            </w:pPr>
            <w:r>
              <w:rPr>
                <w:rFonts w:ascii="Arial" w:cs="Arial" w:eastAsia="Arial" w:hAnsi="Arial"/>
                <w:sz w:val="18"/>
                <w:szCs w:val="18"/>
                <w:color w:val="auto"/>
              </w:rPr>
              <w:t>related to the Corporation.</w:t>
            </w:r>
          </w:p>
        </w:tc>
        <w:tc>
          <w:tcPr>
            <w:tcW w:w="26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Janet P. Giesselman</w:t>
      </w:r>
      <w:r>
        <w:rPr>
          <w:sz w:val="20"/>
          <w:szCs w:val="20"/>
          <w:color w:val="auto"/>
        </w:rPr>
        <w:tab/>
      </w:r>
      <w:r>
        <w:rPr>
          <w:rFonts w:ascii="Arial" w:cs="Arial" w:eastAsia="Arial" w:hAnsi="Arial"/>
          <w:sz w:val="15"/>
          <w:szCs w:val="15"/>
          <w:color w:val="auto"/>
        </w:rPr>
        <w:t>Retired President and General</w:t>
      </w:r>
    </w:p>
    <w:p>
      <w:pPr>
        <w:spacing w:after="0" w:line="23"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Age 62</w:t>
      </w:r>
      <w:r>
        <w:rPr>
          <w:sz w:val="20"/>
          <w:szCs w:val="20"/>
          <w:color w:val="auto"/>
        </w:rPr>
        <w:tab/>
      </w:r>
      <w:r>
        <w:rPr>
          <w:rFonts w:ascii="Arial" w:cs="Arial" w:eastAsia="Arial" w:hAnsi="Arial"/>
          <w:sz w:val="16"/>
          <w:szCs w:val="16"/>
          <w:color w:val="auto"/>
        </w:rPr>
        <w:t>Manager of Dow Oil &amp; Gas, a</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business unit of The Dow</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Chemical Company,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Midland, Michigan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Also, Director Ag Growth</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International (A global provider</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of grain handling and storage</w:t>
      </w:r>
    </w:p>
    <w:p>
      <w:pPr>
        <w:spacing w:after="0" w:line="2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equipment) and Director</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Omnova Solutions (A global</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provider of emulsion polymers,</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specialty chemicals and</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decorative and functional</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surfaces).</w:t>
      </w:r>
    </w:p>
    <w:p>
      <w:pPr>
        <w:spacing w:after="0" w:line="20" w:lineRule="exact"/>
        <w:rPr>
          <w:sz w:val="20"/>
          <w:szCs w:val="20"/>
          <w:color w:val="auto"/>
        </w:rPr>
      </w:pPr>
      <w:r>
        <w:rPr>
          <w:sz w:val="20"/>
          <w:szCs w:val="20"/>
          <w:color w:val="auto"/>
        </w:rPr>
        <w:br w:type="column"/>
      </w:r>
    </w:p>
    <w:p>
      <w:pPr>
        <w:spacing w:after="0"/>
        <w:tabs>
          <w:tab w:leader="none" w:pos="4820" w:val="left"/>
        </w:tabs>
        <w:rPr>
          <w:sz w:val="20"/>
          <w:szCs w:val="20"/>
          <w:color w:val="auto"/>
        </w:rPr>
      </w:pPr>
      <w:r>
        <w:rPr>
          <w:rFonts w:ascii="Arial" w:cs="Arial" w:eastAsia="Arial" w:hAnsi="Arial"/>
          <w:sz w:val="18"/>
          <w:szCs w:val="18"/>
          <w:color w:val="auto"/>
        </w:rPr>
        <w:t>Ms. Giesselman is a retired senior</w:t>
      </w:r>
      <w:r>
        <w:rPr>
          <w:sz w:val="20"/>
          <w:szCs w:val="20"/>
          <w:color w:val="auto"/>
        </w:rPr>
        <w:tab/>
      </w:r>
      <w:r>
        <w:rPr>
          <w:rFonts w:ascii="Arial" w:cs="Arial" w:eastAsia="Arial" w:hAnsi="Arial"/>
          <w:sz w:val="15"/>
          <w:szCs w:val="15"/>
          <w:color w:val="auto"/>
        </w:rPr>
        <w:t>June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of a global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Her background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includes strategic planning,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oversight,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marketing, start ups, mergers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acquisitions and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expertise. 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Giesselman has extensive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experience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 background in the oil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gas and the agricultural sectors.</w:t>
      </w:r>
    </w:p>
    <w:p>
      <w:pPr>
        <w:spacing w:after="0" w:line="632" w:lineRule="exact"/>
        <w:rPr>
          <w:sz w:val="20"/>
          <w:szCs w:val="20"/>
          <w:color w:val="auto"/>
        </w:rPr>
      </w:pPr>
    </w:p>
    <w:p>
      <w:pPr>
        <w:sectPr>
          <w:pgSz w:w="11900" w:h="16838" w:orient="portrait"/>
          <w:cols w:equalWidth="0" w:num="2">
            <w:col w:w="5120" w:space="720"/>
            <w:col w:w="5580"/>
          </w:cols>
          <w:pgMar w:left="240" w:top="584" w:right="239" w:bottom="1440" w:gutter="0" w:footer="0" w:header="0"/>
          <w:type w:val="continuous"/>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PROPOSAL 2: ADVISORY VOTE ON THE COMPENSATION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CORPORATION’S NAMED EXECUTIVE OFFICERS</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2016 compensation practices and programs for the Named Executive Officers by voting on the following resolution:</w:t>
      </w:r>
    </w:p>
    <w:p>
      <w:pPr>
        <w:spacing w:after="0" w:line="167" w:lineRule="exact"/>
        <w:rPr>
          <w:sz w:val="20"/>
          <w:szCs w:val="20"/>
          <w:color w:val="auto"/>
        </w:rPr>
      </w:pPr>
    </w:p>
    <w:p>
      <w:pPr>
        <w:ind w:left="660" w:right="780"/>
        <w:spacing w:after="0" w:line="347"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Corporation’s Named Executive Officers, as disclosed pursuant to Item 402 of Regulation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S-K, including the Compensation Discussion and Analysis, compensation tables and narrative discussion, is hereby </w:t>
      </w:r>
      <w:r>
        <w:rPr>
          <w:rFonts w:ascii="Arial" w:cs="Arial" w:eastAsia="Arial" w:hAnsi="Arial"/>
          <w:sz w:val="16"/>
          <w:szCs w:val="16"/>
          <w:b w:val="1"/>
          <w:bCs w:val="1"/>
          <w:color w:val="auto"/>
        </w:rPr>
        <w:t>APPROVED</w:t>
      </w:r>
      <w:r>
        <w:rPr>
          <w:rFonts w:ascii="Arial" w:cs="Arial" w:eastAsia="Arial" w:hAnsi="Arial"/>
          <w:sz w:val="16"/>
          <w:szCs w:val="16"/>
          <w:color w:val="auto"/>
        </w:rPr>
        <w:t>.</w:t>
      </w:r>
    </w:p>
    <w:p>
      <w:pPr>
        <w:spacing w:after="0" w:line="12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described in the “Compensation Discussion and Analysis” section of this Proxy Statement, and in particular the “Executive Summary” portion of the Compensation Discussion and Analysis, the Corporation has established a compensation program that is designed to attract and retain key employees, and reward those employees for the short-term and long-term performance of the Corporation.</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However, the annual incentive plan was suspended shortly after the beginning of the fiscal year as part of a global cost containment and salary reduction program. As a result, no bonuses were paid. In addition, long-term performance stock and performance stock unit awards that were granted in 2013 subject to a three-year profitability objective expired unvested in 2016, based on the cumulative profitability of the Corporation over the past three fiscal years.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8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3: 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has selected PricewaterhouseCoopers LLP (“PricewaterhouseCoopers”) as our independent registered public accounting firm for the fiscal year ending June 30, 2017,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 questions. Stockholder ratification of the selection of PricewaterhouseCoopers as our independent registered public accounting firm is not required. However, the Audit Committee deems it good corporate governance to submit the selection of PricewaterhouseCoopers to the stockholders for ratification.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Aggregate fees billed or expected to be billed for professional services rendered by PricewaterhouseCoopers in connection with (i) the audit of the Corporation’s consolidated financial statements as of and for the years ended June 30, 2016 and June 30, 2015, including statutory audits of the financial statements of the Corporation’s affiliates, and (ii) the reviews of the Corporation’s quarterly financial statements were $1,538,600 and $1,208,250,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Aggregate fees billed for professional services rendered by PricewaterhouseCoopers for assurance and services reasonably related to the performance of the audit or review of the Corporation’s financial statements not included in audit fees above were $0 and $128,100 for the years ended June 30, 2016 and 2015,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other fees described above, aggregate fees of $84,200 and $115,100 were billed by PricewaterhouseCoopers during the years ended June 30, 2016 and 2015, respectively, pertaining to tax compliance, tax advice, and tax planning. Included in this amount are fees for tax compliance services of $84,200 and $115,100 during the years ended June 30, 2016 and 2015,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June 30, 2016 and 2015, $0 and $0 were billed by PricewaterhouseCoopers for products and services other than those listed above.</w:t>
      </w:r>
    </w:p>
    <w:p>
      <w:pPr>
        <w:spacing w:after="0" w:line="2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Corporation’s financial statements were at all times compatible with maintaining PricewaterhouseCoopers’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2016, 100% of audit-related, tax and other fees were pre-approved.</w:t>
      </w:r>
    </w:p>
    <w:p>
      <w:pPr>
        <w:spacing w:after="0" w:line="18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BOARD OF DIRECTORS RECOMMENDS THAT YOU VOTE TO RATIFY THE SELECTION OF PRICEWATERHOUSECOOPERS LLP AS OUR INDEPENDENT AUDITORS FOR THE FISCAL YEAR ENDING JUNE 30, 2017. UNLESS YOU INDICATE OTHERWISE, YOUR PROXY WILL BE VOTED "FOR" RATIFICATION.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and/or through appropriate mailings.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Board has determined that the following Directors are independent within the meaning of SEC regulations, the listing standards of the NASDAQ Stock Market and the Corporation's Guidelines for Corporate Governance: Messrs. Doar, Johnson, Rayburn, Smiley, Stratton and Zimmer, and Ms. Giesselman.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his death on May 6, 2015, Michael E. Batten, the former Chief Executive Officer and the father of then and current Chief Executive Officer Mr. J. Batten, served as Chairman of the Board of Directors. The Board of Directors viewed these divided roles as in the best interests of the Corporation, as Mr. J. Batten’s long tenure with the Corporation prepared him well to assume the leadership responsibilities of Chief Executive Officer, and the Board continued to have the historical knowledge and guidance that Mr. M. Batten was able to provide.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Mr. M. Batten’s death, the Board of Directors decided to name Mr. Rayburn, an independent outside director of the Corporation, as Chairman of the Board. The Board determined that this leadership structure is appropriate in light of evolving standards of corporate governance, which place a strong value on having an independent director serve as Chairman, and also in light of Mr. Rayburn’s long tenure on the Board and high standing in the Wisconsin business community.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65" w:lineRule="exact"/>
        <w:rPr>
          <w:sz w:val="20"/>
          <w:szCs w:val="20"/>
          <w:color w:val="auto"/>
        </w:rPr>
      </w:pPr>
    </w:p>
    <w:p>
      <w:pPr>
        <w:jc w:val="both"/>
        <w:ind w:right="220"/>
        <w:spacing w:after="0" w:line="297" w:lineRule="auto"/>
        <w:rPr>
          <w:sz w:val="20"/>
          <w:szCs w:val="20"/>
          <w:color w:val="auto"/>
        </w:rPr>
      </w:pPr>
      <w:r>
        <w:rPr>
          <w:rFonts w:ascii="Arial" w:cs="Arial" w:eastAsia="Arial" w:hAnsi="Arial"/>
          <w:sz w:val="16"/>
          <w:szCs w:val="16"/>
          <w:color w:val="auto"/>
        </w:rPr>
        <w:t>Various committees of the Board also have roles in the oversight of risk management. In particular, the Finance and Risk Management Committee oversees the Company’s risk management framework and strategy, management’s proposed financial policies and actions, and the financial status of the Company’s defined benefit pension plans.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Business Conduct and Ethics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Our Guidelines for Business Conduct and Ethics (the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www.twindisc.com or in a current report on Form 8-K. In addition, if a waiver from the Guidelines is granted to an executive officer or Director, we will disclose the nature of such waiver on our website at </w:t>
      </w:r>
      <w:r>
        <w:rPr>
          <w:rFonts w:ascii="Arial" w:cs="Arial" w:eastAsia="Arial" w:hAnsi="Arial"/>
          <w:sz w:val="18"/>
          <w:szCs w:val="18"/>
          <w:u w:val="single" w:color="auto"/>
          <w:color w:val="auto"/>
        </w:rPr>
        <w:t>www.twindisc.com</w:t>
      </w:r>
      <w:r>
        <w:rPr>
          <w:rFonts w:ascii="Arial" w:cs="Arial" w:eastAsia="Arial" w:hAnsi="Arial"/>
          <w:sz w:val="18"/>
          <w:szCs w:val="18"/>
          <w:color w:val="auto"/>
        </w:rPr>
        <w:t xml:space="preserve"> or in a current report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Pledging Policies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www.twindisc.com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officers during fiscal 2016 requiring disclosure under the rules of the Securities and Exchange Commission.</w:t>
      </w:r>
    </w:p>
    <w:p>
      <w:pPr>
        <w:spacing w:after="0" w:line="18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DIRECTOR COMMITTEES AND ATTENDANCE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Board Committees; Attendance</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Corporation’s Board of Directors met seven times during the year ended June 30, 2016. Among incumbent Directors, there were three excused absences from these meetings. The Audit Committee met five times during the year. The Pension Committee met one time during the year. The Nominating and Governance Committee met two times during the year. The Compensation and Executive Development Committee met three times during the year. The Finance and Risk Management Committee met four times during the year. Each incumbent Director attended at least 75% of the aggregate of the total number of meetings of the Board of Directors and of the Committees on which the Director served.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Committee Functions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a separately-designated Audit Committee established in accordance with Section 3(a)(58)(A) of the Securities Exchange Act of 1934.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Audit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It was most recently reviewed on April 22, 2016.</w:t>
      </w:r>
    </w:p>
    <w:p>
      <w:pPr>
        <w:spacing w:after="0" w:line="22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Zimmer (Chair), Mr. Doar, Ms. Giesselman and Mr. Smiley) qualifies as an “audit committee financial expert” within the meaning of SEC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purpose is to assist the Board of Directors in monitoring the:</w:t>
      </w:r>
    </w:p>
    <w:p>
      <w:pPr>
        <w:spacing w:after="0" w:line="225" w:lineRule="exact"/>
        <w:rPr>
          <w:sz w:val="20"/>
          <w:szCs w:val="20"/>
          <w:color w:val="auto"/>
        </w:rPr>
      </w:pPr>
    </w:p>
    <w:p>
      <w:pPr>
        <w:ind w:left="1140" w:hanging="160"/>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Integrity of the Corporation's financial statements;</w:t>
      </w:r>
    </w:p>
    <w:p>
      <w:pPr>
        <w:spacing w:after="0" w:line="23" w:lineRule="exact"/>
        <w:rPr>
          <w:rFonts w:ascii="Arial" w:cs="Arial" w:eastAsia="Arial" w:hAnsi="Arial"/>
          <w:sz w:val="18"/>
          <w:szCs w:val="18"/>
          <w:color w:val="auto"/>
        </w:rPr>
      </w:pPr>
    </w:p>
    <w:p>
      <w:pPr>
        <w:ind w:left="1140" w:hanging="160"/>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the Corporation's internal audit function and the independent auditors; and</w:t>
      </w:r>
    </w:p>
    <w:p>
      <w:pPr>
        <w:spacing w:after="0" w:line="9" w:lineRule="exact"/>
        <w:rPr>
          <w:rFonts w:ascii="Arial" w:cs="Arial" w:eastAsia="Arial" w:hAnsi="Arial"/>
          <w:sz w:val="18"/>
          <w:szCs w:val="18"/>
          <w:color w:val="auto"/>
        </w:rPr>
      </w:pPr>
    </w:p>
    <w:p>
      <w:pPr>
        <w:ind w:left="1140" w:hanging="160"/>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Corporation's compliance with legal and regulatory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these responsibilities, the Audit Committee, among other things:</w:t>
      </w:r>
    </w:p>
    <w:p>
      <w:pPr>
        <w:spacing w:after="0" w:line="225" w:lineRule="exact"/>
        <w:rPr>
          <w:sz w:val="20"/>
          <w:szCs w:val="20"/>
          <w:color w:val="auto"/>
        </w:rPr>
      </w:pPr>
    </w:p>
    <w:p>
      <w:pPr>
        <w:ind w:left="1140" w:right="100" w:hanging="160"/>
        <w:spacing w:after="0" w:line="258" w:lineRule="auto"/>
        <w:tabs>
          <w:tab w:leader="none" w:pos="11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Appoints the independent auditor for the purpose of preparing and issuing an audit report and to perform related work, and discusses with the independent auditor appropriate staffing and compensation;</w:t>
      </w:r>
    </w:p>
    <w:p>
      <w:pPr>
        <w:spacing w:after="0" w:line="1" w:lineRule="exact"/>
        <w:rPr>
          <w:rFonts w:ascii="Arial" w:cs="Arial" w:eastAsia="Arial" w:hAnsi="Arial"/>
          <w:sz w:val="18"/>
          <w:szCs w:val="18"/>
          <w:color w:val="auto"/>
        </w:rPr>
      </w:pPr>
    </w:p>
    <w:p>
      <w:pPr>
        <w:ind w:left="1140" w:hanging="160"/>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Retains, as necessary or appropriate, independent legal, accounting or other advisors;</w:t>
      </w:r>
    </w:p>
    <w:p>
      <w:pPr>
        <w:spacing w:after="0" w:line="9" w:lineRule="exact"/>
        <w:rPr>
          <w:rFonts w:ascii="Arial" w:cs="Arial" w:eastAsia="Arial" w:hAnsi="Arial"/>
          <w:sz w:val="18"/>
          <w:szCs w:val="18"/>
          <w:color w:val="auto"/>
        </w:rPr>
      </w:pPr>
    </w:p>
    <w:p>
      <w:pPr>
        <w:ind w:left="1140" w:right="140" w:hanging="160"/>
        <w:spacing w:after="0" w:line="281" w:lineRule="auto"/>
        <w:tabs>
          <w:tab w:leader="none" w:pos="11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spacing w:after="0" w:line="1" w:lineRule="exact"/>
        <w:rPr>
          <w:rFonts w:ascii="Arial" w:cs="Arial" w:eastAsia="Arial" w:hAnsi="Arial"/>
          <w:sz w:val="16"/>
          <w:szCs w:val="16"/>
          <w:color w:val="auto"/>
        </w:rPr>
      </w:pPr>
    </w:p>
    <w:p>
      <w:pPr>
        <w:ind w:left="1140" w:right="100" w:hanging="160"/>
        <w:spacing w:after="0" w:line="281" w:lineRule="auto"/>
        <w:tabs>
          <w:tab w:leader="none" w:pos="11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spacing w:after="0" w:line="1" w:lineRule="exact"/>
        <w:rPr>
          <w:rFonts w:ascii="Arial" w:cs="Arial" w:eastAsia="Arial" w:hAnsi="Arial"/>
          <w:sz w:val="16"/>
          <w:szCs w:val="16"/>
          <w:color w:val="auto"/>
        </w:rPr>
      </w:pPr>
    </w:p>
    <w:p>
      <w:pPr>
        <w:ind w:left="1140" w:right="20" w:hanging="160"/>
        <w:spacing w:after="0" w:line="250" w:lineRule="auto"/>
        <w:tabs>
          <w:tab w:leader="none" w:pos="11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Arial" w:cs="Arial" w:eastAsia="Arial" w:hAnsi="Arial"/>
          <w:sz w:val="18"/>
          <w:szCs w:val="18"/>
          <w:color w:val="auto"/>
        </w:rPr>
      </w:pPr>
    </w:p>
    <w:p>
      <w:pPr>
        <w:ind w:left="1120" w:hanging="140"/>
        <w:spacing w:after="0"/>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Corporation's Guidelines for Business Conduct and Ethics.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Finance and Risk Management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Finance and Risk Management Committee assists the Board in fulfilling its oversight responsibilities for considering management’s proposed financial policies and actions, and making appropriate recommendations to the Board regarding: debt and capital structure, acquisitions, capital budgets, dividend policy, pension funding, cyber security and other financial and risk management matters. The Committee also oversees the Company’s risk management framework and strategy.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xml:space="preserve"> The independence of the Committee is in compliance with SEC regulations, the listing standards of the NASDAQ Stock Market and the Corporation’s Guidelines for Corporate Governance.</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8"/>
          <w:szCs w:val="18"/>
          <w:u w:val="single" w:color="auto"/>
          <w:color w:val="auto"/>
        </w:rPr>
        <w:t>www.twindisc.com</w:t>
      </w:r>
      <w:r>
        <w:rPr>
          <w:rFonts w:ascii="Arial" w:cs="Arial" w:eastAsia="Arial" w:hAnsi="Arial"/>
          <w:sz w:val="18"/>
          <w:szCs w:val="18"/>
          <w:color w:val="auto"/>
        </w:rPr>
        <w:t>. Shareholder recommendations to the Committee for Director candidates shall follow the following procedures:</w:t>
      </w:r>
    </w:p>
    <w:p>
      <w:pPr>
        <w:spacing w:after="0" w:line="188"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Committee must receive any such shareholder recommendations for Director candidates on or before the last business day in the month of March preceding that year's annual meeting.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recommendation for nomination shall be in writing and shall include the following information: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Name and address of the shareholder, whether an entity or an individual, making the recommendation;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written statement of the shareholder’s beneficial ownership of the Corporation's securities;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Name and address of the individual recommended for consideration as a Director nominee;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left="1300" w:hanging="644"/>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why such recommended candidate would be able to fulfill the duties of a Director;</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how the recommended candidate meets the independence requirements established by the SEC and the NASDAQ Stock Market;</w:t>
      </w: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written statement disclosing the recommended candidate's beneficial ownership of the Corporation's securities;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written statement disclosing relationships between the recommended candidate and the Corporation which may constitute a conflict of interest; and</w:t>
      </w:r>
    </w:p>
    <w:p>
      <w:pPr>
        <w:ind w:left="1300" w:hanging="644"/>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information relating to the recommended candidate that would be required to be disclosed in solicitations of proxies for the election of Directors under the Securities Exchange Act.</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Recommendation for nomination must be sent to the attention of the Committee via the U.S. Mail or by expedited delivery service, addressed to:</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Nominating and Governance Committee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Secretary of Twin Disc, Incorporated</w:t>
      </w: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 Mr. Johnson was nominated for the open Board position by Mr. John Batten, Chief Executive Officer.</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Compensation and Executive Development Committee</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u w:val="single" w:color="auto"/>
          <w:color w:val="auto"/>
        </w:rPr>
        <w:t>Scope of Authority</w:t>
      </w:r>
      <w:r>
        <w:rPr>
          <w:rFonts w:ascii="Arial" w:cs="Arial" w:eastAsia="Arial" w:hAnsi="Arial"/>
          <w:sz w:val="16"/>
          <w:szCs w:val="16"/>
          <w:color w:val="auto"/>
        </w:rPr>
        <w:t xml:space="preserve"> - The primary purpose of the Compensation and Executive Development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in accordance with the rules of the NASDAQ Stock Market.</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charter of the Compensation and Executive Development Committee is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The Corporation last updated the Compensation and Executive Development Committee charter on January 28, 2016.</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Composition</w:t>
      </w:r>
      <w:r>
        <w:rPr>
          <w:rFonts w:ascii="Arial" w:cs="Arial" w:eastAsia="Arial" w:hAnsi="Arial"/>
          <w:sz w:val="18"/>
          <w:szCs w:val="18"/>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Role of Consultants</w:t>
      </w:r>
      <w:r>
        <w:rPr>
          <w:rFonts w:ascii="Arial" w:cs="Arial" w:eastAsia="Arial" w:hAnsi="Arial"/>
          <w:sz w:val="16"/>
          <w:szCs w:val="16"/>
          <w:color w:val="auto"/>
        </w:rPr>
        <w:t xml:space="preserve"> - The Compensation and Executive Development Committee periodically engages an independent consultant to review its compensation program for the officers of the Corporation, in order to ensure market competitiveness. In general, the Committee has engaged an independent compensation consultant for this purpose every two years. Toward the end of FY2013, the Compensation Committee engaged Willis Towers Watson (“WTW”), a global human resources consulting firm, for this review for purposes of setting executive compensation for FY2014. WTW provides the Compensation Committee with information regarding market compensation practices and alternatives to consider when making compensation decisions for the executives. The Committee did not engage a compensation consultant in connection with setting executive compensation for FY2015, but it did review updated WTW survey information, which was increased by 3% for the base salary information and by 4% for long-term incentive compensation to reflect current compensation trends in the market. For FY2016, the Corporation again engaged WTW to provide a detailed review of the officer’s compensation program. The results of that review were used by the Committee when making base salary, annual incentive and long-term compensation decisions for fiscal 2016. For FY2017, the Committee did not engage a compensation consultant for review of competitive compensation data, consistent with their historical practice. Due to the continuing wage and salary freeze at all operations, all executive officers’ salaries were maintained at their reduced FY2016 levels, with the exception of Mr. Moore who received a 6.4% increase due to his promotion to Executive Vice President, Chief Operating Officer.</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WTW provided additional services to the Corporation in amounts exceeding $120,000 during FY2016. Specifically, the Corporation paid WTW $186,970 for pension and actuarial services and $43,231 for executive compensation consulting. The decision to engage WTW to provide pension and actuarial services to the Corporation was made by the Pension Committee of the Board of Directors after a competitive RFP process, and was not separately approved by the Compensation and Executive Development Committee or the Board of Directors.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8" w:name="page19"/>
    <w:bookmarkEnd w:id="18"/>
    <w:p>
      <w:pPr>
        <w:ind w:right="100"/>
        <w:spacing w:after="0" w:line="255" w:lineRule="auto"/>
        <w:rPr>
          <w:sz w:val="20"/>
          <w:szCs w:val="20"/>
          <w:color w:val="auto"/>
        </w:rPr>
      </w:pPr>
      <w:r>
        <w:rPr>
          <w:rFonts w:ascii="Arial" w:cs="Arial" w:eastAsia="Arial" w:hAnsi="Arial"/>
          <w:sz w:val="18"/>
          <w:szCs w:val="18"/>
          <w:u w:val="single" w:color="auto"/>
          <w:color w:val="auto"/>
        </w:rPr>
        <w:t>Role of Executive Officers</w:t>
      </w:r>
      <w:r>
        <w:rPr>
          <w:rFonts w:ascii="Arial" w:cs="Arial" w:eastAsia="Arial" w:hAnsi="Arial"/>
          <w:sz w:val="18"/>
          <w:szCs w:val="18"/>
          <w:color w:val="auto"/>
        </w:rPr>
        <w:t xml:space="preserve"> - The Compensation and Executive Development Committee makes all compensation decisions for the President and CEO, Mr. J. Batten, and approves recommendations for compensation actions for all other elected officers of the Corporation. As President and CEO, Mr. J.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President and CEO. It alone determines the salary adjustment, bonus payment and equity awards for Mr. J. Batten.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Compensation Committee Interlocks and Insider Participation</w:t>
      </w:r>
      <w:r>
        <w:rPr>
          <w:rFonts w:ascii="Arial" w:cs="Arial" w:eastAsia="Arial" w:hAnsi="Arial"/>
          <w:sz w:val="18"/>
          <w:szCs w:val="18"/>
          <w:color w:val="auto"/>
        </w:rPr>
        <w:t xml:space="preserve"> – During FY2016, the members of the Compensation and Executive Development Committee were David R. Zimmer (Chair from 7/1/15 – 12/10/15), Janet Giesselman (chair from 12/11/15 – 6/30/16), Michael C. Smiley and Harold M. Stratton II. None of the Compensation and Executive Development Committee members are former executive officers of the Corporation. See the “Board Independence” section for additional information concerning Director independence. The Corporation had no “Compensation Committee Interlocks” as described by the SEC during fiscal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Committee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responsibilities of the Pension Committee have been reviewed and consolidated into the Finance and Risk Management Committee and the Benefits Committee (a management committee, not a Board committee) effective November 2015. The former Pension Committee reviewed and recommended to the Board for approval the pension fund’s professional advisors and auditors. The Pension Committee annually reviewed actuarial assumptions, actuarial valuations, investment performance, funding policies and investment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Membership</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Finance</w:t>
            </w:r>
          </w:p>
        </w:tc>
        <w:tc>
          <w:tcPr>
            <w:tcW w:w="5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Compensation &amp;</w:t>
            </w: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And Risk</w:t>
            </w:r>
          </w:p>
        </w:tc>
        <w:tc>
          <w:tcPr>
            <w:tcW w:w="5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5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Nominating and</w:t>
            </w:r>
          </w:p>
        </w:tc>
      </w:tr>
      <w:tr>
        <w:trPr>
          <w:trHeight w:val="230"/>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Audit</w:t>
            </w:r>
          </w:p>
        </w:tc>
        <w:tc>
          <w:tcPr>
            <w:tcW w:w="5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Management</w:t>
            </w:r>
          </w:p>
        </w:tc>
        <w:tc>
          <w:tcPr>
            <w:tcW w:w="5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Development</w:t>
            </w:r>
          </w:p>
        </w:tc>
        <w:tc>
          <w:tcPr>
            <w:tcW w:w="5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Governance</w:t>
            </w:r>
          </w:p>
        </w:tc>
      </w:tr>
      <w:tr>
        <w:trPr>
          <w:trHeight w:val="210"/>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Zimmer</w:t>
            </w:r>
          </w:p>
        </w:tc>
        <w:tc>
          <w:tcPr>
            <w:tcW w:w="5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Stratton</w:t>
            </w:r>
          </w:p>
        </w:tc>
        <w:tc>
          <w:tcPr>
            <w:tcW w:w="5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Giesselman</w:t>
            </w:r>
          </w:p>
        </w:tc>
        <w:tc>
          <w:tcPr>
            <w:tcW w:w="5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Doar</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2"/>
              </w:rPr>
              <w:t>Doar</w:t>
            </w:r>
          </w:p>
        </w:tc>
        <w:tc>
          <w:tcPr>
            <w:tcW w:w="5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Doar</w:t>
            </w:r>
          </w:p>
        </w:tc>
        <w:tc>
          <w:tcPr>
            <w:tcW w:w="5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Smiley</w:t>
            </w:r>
          </w:p>
        </w:tc>
        <w:tc>
          <w:tcPr>
            <w:tcW w:w="5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Giesselman</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Johnson</w:t>
            </w:r>
          </w:p>
        </w:tc>
        <w:tc>
          <w:tcPr>
            <w:tcW w:w="5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Johnson</w:t>
            </w:r>
          </w:p>
        </w:tc>
        <w:tc>
          <w:tcPr>
            <w:tcW w:w="5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Stratton</w:t>
            </w:r>
          </w:p>
        </w:tc>
        <w:tc>
          <w:tcPr>
            <w:tcW w:w="5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Johnson</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88"/>
              </w:rPr>
              <w:t>Giesselman</w:t>
            </w:r>
          </w:p>
        </w:tc>
        <w:tc>
          <w:tcPr>
            <w:tcW w:w="5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Smiley</w:t>
            </w:r>
          </w:p>
        </w:tc>
        <w:tc>
          <w:tcPr>
            <w:tcW w:w="5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Zimmer</w:t>
            </w:r>
          </w:p>
        </w:tc>
        <w:tc>
          <w:tcPr>
            <w:tcW w:w="5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Stratton</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Smiley</w:t>
            </w:r>
          </w:p>
        </w:tc>
        <w:tc>
          <w:tcPr>
            <w:tcW w:w="5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Zimmer</w:t>
            </w:r>
          </w:p>
        </w:tc>
        <w:tc>
          <w:tcPr>
            <w:tcW w:w="5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with the exception of Ms. Giesselman, attended last year's annual meeting. The Board of Directors conducts its annual meeting in conjunction with the Annual Meeting of Shareholders at the Corporation's headquarters.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70" w:lineRule="exact"/>
        <w:rPr>
          <w:sz w:val="20"/>
          <w:szCs w:val="20"/>
          <w:color w:val="auto"/>
        </w:rPr>
      </w:pPr>
    </w:p>
    <w:p>
      <w:pPr>
        <w:ind w:firstLine="8"/>
        <w:spacing w:after="0" w:line="277" w:lineRule="auto"/>
        <w:tabs>
          <w:tab w:leader="none" w:pos="5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Chairman of the Board of Directors</w:t>
      </w:r>
    </w:p>
    <w:p>
      <w:pPr>
        <w:spacing w:after="0" w:line="211" w:lineRule="exact"/>
        <w:rPr>
          <w:sz w:val="20"/>
          <w:szCs w:val="20"/>
          <w:color w:val="auto"/>
        </w:rPr>
      </w:pPr>
    </w:p>
    <w:p>
      <w:pPr>
        <w:ind w:firstLine="8"/>
        <w:spacing w:after="0" w:line="342" w:lineRule="auto"/>
        <w:tabs>
          <w:tab w:leader="none" w:pos="4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[Name of Individual Director]</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From time to time, the Board may change the process by which stockholders may communicate with the Board or its members. Please refer to the Corporation's website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www.twindisc.com</w:t>
      </w:r>
      <w:r>
        <w:rPr>
          <w:rFonts w:ascii="Arial" w:cs="Arial" w:eastAsia="Arial" w:hAnsi="Arial"/>
          <w:sz w:val="18"/>
          <w:szCs w:val="18"/>
          <w:b w:val="1"/>
          <w:bCs w:val="1"/>
          <w:color w:val="auto"/>
        </w:rPr>
        <w:t>,</w:t>
      </w:r>
      <w:r>
        <w:rPr>
          <w:rFonts w:ascii="Arial" w:cs="Arial" w:eastAsia="Arial" w:hAnsi="Arial"/>
          <w:sz w:val="18"/>
          <w:szCs w:val="18"/>
          <w:color w:val="auto"/>
        </w:rPr>
        <w:t xml:space="preserve"> for any changes to this process.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describes the material components of compensation paid to the Corporation’s Chief Executive Officer, Chief Financial Officer, and its three most highly compensated executive officers for the fiscal year ended June 30, 2016 (the “Named Executive Officers”). For the fiscal year ended June 30, 2016, the Named Executive Officers are:</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John H. Batten, President and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Jeffrey S. Knutson, Vice President – Finance, Chief Financial Officer, Treasurer and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Malcolm F. Moore, Executive Vice President, Chief Operating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Dean J. Bratel, Vice President – Sales and Applied Technology;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Denise L. Wilcox, Vice President – Human Resources.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this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we will also explain the objectives of our compensation programs, why we pay the compensation we do and how that fits with the Corporation’s commitment to provide value to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Summary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Through the Board’s Compensation and Executive Development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performance stock units and restricted stock) that are tied to the Corporation’s stock price.</w:t>
      </w:r>
    </w:p>
    <w:p>
      <w:pPr>
        <w:spacing w:after="0" w:line="17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24" w:lineRule="exact"/>
        <w:rPr>
          <w:sz w:val="20"/>
          <w:szCs w:val="20"/>
          <w:color w:val="auto"/>
        </w:rPr>
      </w:pPr>
    </w:p>
    <w:p>
      <w:pPr>
        <w:ind w:left="660" w:right="12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181" w:lineRule="exact"/>
        <w:rPr>
          <w:rFonts w:ascii="Arial" w:cs="Arial" w:eastAsia="Arial" w:hAnsi="Arial"/>
          <w:sz w:val="18"/>
          <w:szCs w:val="18"/>
          <w:color w:val="auto"/>
        </w:rPr>
      </w:pPr>
    </w:p>
    <w:p>
      <w:pPr>
        <w:ind w:left="660" w:right="26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performance stock units and restricted stock).</w:t>
      </w:r>
    </w:p>
    <w:p>
      <w:pPr>
        <w:spacing w:after="0" w:line="165"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Corporation has stock ownership guidelines for each of its Named Executive Officers, thereby aligning their long-term interests with those of shareholders.</w:t>
      </w:r>
    </w:p>
    <w:p>
      <w:pPr>
        <w:spacing w:after="0" w:line="170"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FY2016, the Corporation added relative total shareholder return as one of the performance goals in its long-term incentive awards. The Corporation also awarded only performance stock and restricted stock as long-term incentive awards in FY2016, in order to promote additional equity ownership beyond the performance period for the long-term incentive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also maintains compensation practices that we believe are consistent with good governance. For example:</w:t>
      </w:r>
    </w:p>
    <w:p>
      <w:pPr>
        <w:spacing w:after="0" w:line="225" w:lineRule="exact"/>
        <w:rPr>
          <w:sz w:val="20"/>
          <w:szCs w:val="20"/>
          <w:color w:val="auto"/>
        </w:rPr>
      </w:pPr>
    </w:p>
    <w:p>
      <w:pPr>
        <w:ind w:left="660" w:right="5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ind w:left="660" w:right="2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Corporation’s long-term incentive compensation plan is designed to maximize the deduction for performance-based compensation under Section 162(m) of the Internal Revenue Code. In addition, in FY 2016, the Corporation amended its long-term incentive compensation plan to: (i) prohibit repricing of stock options and the repurchase of underwater options; (ii) further limit the recycling of shares that may be awarded under the plan; (iii) more clearly state that neither the Corporation nor the Committee may exercise discretion to increase awards that are intended to qualify as performance-based compensation under Section 162(m) of the Internal Revenue Code; and (iv) expressly state that all awards are subject to the clawback requirements of any applicable law and the listing standards of the NASDAQ Stock Market, and provide mechanisms for the Corporation to enforce its recovery rights.</w:t>
      </w:r>
    </w:p>
    <w:p>
      <w:pPr>
        <w:spacing w:after="0" w:line="189" w:lineRule="exact"/>
        <w:rPr>
          <w:rFonts w:ascii="Arial" w:cs="Arial" w:eastAsia="Arial" w:hAnsi="Arial"/>
          <w:sz w:val="18"/>
          <w:szCs w:val="18"/>
          <w:color w:val="auto"/>
        </w:rPr>
      </w:pPr>
    </w:p>
    <w:p>
      <w:pPr>
        <w:ind w:left="660" w:right="54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considers internal pay equity when making compensation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annual Corporate Incentive Plan is performance-based and has caps on bonus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Committee annually evaluates the Corporation’s compensation programs to ensure that they do not encourage unnecessary risk-taking.</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provides a brief overview of the highlights of the compensation received by the Corporation’s Named Executive Officers for the fiscal year that ended June 30, 2016:</w:t>
      </w:r>
    </w:p>
    <w:p>
      <w:pPr>
        <w:spacing w:after="0" w:line="170" w:lineRule="exact"/>
        <w:rPr>
          <w:sz w:val="20"/>
          <w:szCs w:val="20"/>
          <w:color w:val="auto"/>
        </w:rPr>
      </w:pPr>
    </w:p>
    <w:p>
      <w:pPr>
        <w:ind w:left="660" w:right="4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beginning of FY2016, the Committee decided to maintain the base salaries of all of the Corporation’s Named Executive Officers at their then-current level due to a global salary and wage freeze at all operations. In November 2015, due to a continued weakening of the Corporation’s performance, all Named Executive Officers received a 6% reduction in base salary, except the CEO and President, whose base salary was reduced 10%.</w:t>
      </w:r>
    </w:p>
    <w:p>
      <w:pPr>
        <w:spacing w:after="0" w:line="18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Corporation’s annual incentive plan (the “Corporate Incentive Plan”) was suspended shortly after the beginning of FY2016 as part of a global cost-containment and salary reduction program. As a result, none of the Named Executive Officers received an annual incentive under the Corporate Incentive Plan for FY2016.</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Corporation did not achieve the cumulative profitability objective for performance stock and performance stock units granted in 2013 under the Twin Disc, Incorporated 2010 Long-Term Incentive Compensation Plan. As a result, the performance stock and performance stock unit awards did not vest.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required by Section 14A of the Securities Exchange Act of 1934, the Corporation held its fifth shareholder advisory vote on executive compensation at its October 23, 2015, Annual Meeting of Shareholders. For the fifth year in a row, the shareholders overwhelmingly approved the say on pay proposal, with more than 96% of the votes cast in favor of the compensation paid to the Corporation’s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Compensation and Executive Development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http://ir.twindisc.com/corporate-governance.cfm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Compensation Philosophy and Objectives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6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Corporation believes that its executive officers should hold a meaningful stake in Twin Disc in order to align their economic interests with those of the shareholders. To that end, the Corporation has adopted stock ownership guidelines. Stock ownership targets are equal to five times annual base salary for the President and CEO, two times annual base salary for the CFO and Executive Vice President and COO, and one times annual base salary for the remainder of the officer team. Officers have a period of four years to attain their targeted ownership level. The Committee monitors compliance with this guideline, using its discretion to address non-attainment issues. Compliance is reviewed annually.</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Section 162(m) of the Internal Revenue Code generally disallows a tax deduction to public corporations for compensation over $1,000,000 for any fiscal year paid to the corporation’s chief executive officer and three other most highly compensated executive officers (other than the chief financial officer) in service as of the end of any fiscal year. However, Section 162(m) also provides that qualifying performance-based compensation will not be subject to the deduction limit if certain requirements are met. The Committee generally seeks to structure long-term compensation amounts and plans to meet the deductibility requirements under this provision.</w:t>
      </w:r>
    </w:p>
    <w:p>
      <w:pPr>
        <w:spacing w:after="0" w:line="18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spacing w:after="0" w:line="254" w:lineRule="auto"/>
        <w:rPr>
          <w:sz w:val="20"/>
          <w:szCs w:val="20"/>
          <w:color w:val="auto"/>
        </w:rPr>
      </w:pPr>
      <w:r>
        <w:rPr>
          <w:rFonts w:ascii="Arial" w:cs="Arial" w:eastAsia="Arial" w:hAnsi="Arial"/>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unnecessary risk. The Committee has concluded that the Corporation’s compensation policies and practices are not likely to have a material adverse effect on the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 of Executive Officers in Compensation Decisions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Committee makes all compensation decisions for the President and CEO (Mr. J. Batten) and approves recommendations for compensation actions for all other elected officers of the Corporation.</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President and CEO, Mr. J. Batten annually reviews the performance of each elected officer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Committee reviews the performance of the President and CEO. It alone determines the salary adjustment, bonus payment and equity compensation awards for Mr. J. Batten.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Setting Executive Compensation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66" w:lineRule="exact"/>
        <w:rPr>
          <w:sz w:val="20"/>
          <w:szCs w:val="20"/>
          <w:color w:val="auto"/>
        </w:rPr>
      </w:pPr>
    </w:p>
    <w:p>
      <w:pPr>
        <w:ind w:right="240"/>
        <w:spacing w:after="0" w:line="238" w:lineRule="auto"/>
        <w:rPr>
          <w:sz w:val="20"/>
          <w:szCs w:val="20"/>
          <w:color w:val="auto"/>
        </w:rPr>
      </w:pPr>
      <w:r>
        <w:rPr>
          <w:rFonts w:ascii="Arial" w:cs="Arial" w:eastAsia="Arial" w:hAnsi="Arial"/>
          <w:sz w:val="16"/>
          <w:szCs w:val="16"/>
          <w:color w:val="auto"/>
        </w:rPr>
        <w:t>The Corporation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companies of a similar size and industry. The Committee believes an executive’s target compensation is competitive if it falls within a band of plus or minus 15% from the competitive median of</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4" w:name="page25"/>
    <w:bookmarkEnd w:id="24"/>
    <w:p>
      <w:pPr>
        <w:ind w:right="100"/>
        <w:spacing w:after="0" w:line="271" w:lineRule="auto"/>
        <w:rPr>
          <w:sz w:val="20"/>
          <w:szCs w:val="20"/>
          <w:color w:val="auto"/>
        </w:rPr>
      </w:pPr>
      <w:r>
        <w:rPr>
          <w:rFonts w:ascii="Arial" w:cs="Arial" w:eastAsia="Arial" w:hAnsi="Arial"/>
          <w:sz w:val="17"/>
          <w:szCs w:val="17"/>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Historically, a compensation consultant has been engaged to conduct a detailed review of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6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FY2014, the Committee engaged Willis Towers Watson (formerly Towers Watson), a global human resources firm, to conduct a detailed review of competitive compensation levels for similar positions in similar industries. For this analysis, Willis Towers Watson referenced several data sources, including:</w:t>
      </w:r>
    </w:p>
    <w:p>
      <w:pPr>
        <w:spacing w:after="0" w:line="12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2012 Towers Watson Compensation Databank (CDB)</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2012 Towers Watson U.S. Top Management Compensation Study</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Relative to each of the data sources, Willis Towers Watson referenced a broad sample of both general industry companies with revenues of less than $1 billion (CDB survey) and durable goods manufacturing companies with revenues between $100 million and $450 million (U.S. Top Management Compensation Study). The complete survey participant lists for each of the data sources are provided in Appendix B.</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Committee received information on the 25</w:t>
      </w:r>
      <w:r>
        <w:rPr>
          <w:rFonts w:ascii="Arial" w:cs="Arial" w:eastAsia="Arial" w:hAnsi="Arial"/>
          <w:sz w:val="28"/>
          <w:szCs w:val="28"/>
          <w:color w:val="auto"/>
          <w:vertAlign w:val="superscript"/>
        </w:rPr>
        <w:t>th</w:t>
      </w:r>
      <w:r>
        <w:rPr>
          <w:rFonts w:ascii="Arial" w:cs="Arial" w:eastAsia="Arial" w:hAnsi="Arial"/>
          <w:sz w:val="17"/>
          <w:szCs w:val="17"/>
          <w:color w:val="auto"/>
        </w:rPr>
        <w: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percentiles of each element of executive compensation for comparable executive</w:t>
      </w:r>
    </w:p>
    <w:p>
      <w:pPr>
        <w:ind w:right="40"/>
        <w:spacing w:after="0" w:line="276" w:lineRule="auto"/>
        <w:rPr>
          <w:sz w:val="20"/>
          <w:szCs w:val="20"/>
          <w:color w:val="auto"/>
        </w:rPr>
      </w:pPr>
      <w:r>
        <w:rPr>
          <w:rFonts w:ascii="Arial" w:cs="Arial" w:eastAsia="Arial" w:hAnsi="Arial"/>
          <w:sz w:val="17"/>
          <w:szCs w:val="17"/>
          <w:color w:val="auto"/>
        </w:rPr>
        <w:t>positions. Because the samples included companies of similar size, only tabular data was used in the analysis, and not regression analysis as had been used in past analyses. The Committee did not consider any specific peer group of companies when making competitive comparisons or compensation decisions, and the Committee did not specify targeted individual companies from among the Willis Towers Watson survey participants.</w:t>
      </w:r>
    </w:p>
    <w:p>
      <w:pPr>
        <w:spacing w:after="0" w:line="174"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For FY2014, the base salary of each Named Executive Officer was set within 10% of the competitive median, except for the base salary of Mr. Bratel, whose base salary was set slightly below 25% of the competitive median due to his lack of tenure in the new position. The target annual incentive bonus as a percent of base salary was set at the competitive median for each Named Executive Officer except for Ms. Wilcox, whose target annual incentive bonus as a percent of base salary was set at the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The target total cash compensation (consisting of base salary and annual incentive bonus payments) and target total direct compensation (consisting of base salary, annual incentive bonus and long-term incentive payments) of each named executive officer for FY2014 was set within 15% of the competitive median, with the exception of Mr. Bratel, whose target total cash compensation and target total direct compensation were 24% and 20% below the competitive median, respectively. In addition, the target total direct compensation of Mr. J. Batten and Ms. Wilcox were 17% and 24% higher than the competitive median due to several factors that include impending promotion to CEO (Mr. J. Batten), the value of the position to the organization and internal equity considerations.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line="257" w:lineRule="auto"/>
        <w:rPr>
          <w:sz w:val="20"/>
          <w:szCs w:val="20"/>
          <w:color w:val="auto"/>
        </w:rPr>
      </w:pPr>
      <w:r>
        <w:rPr>
          <w:rFonts w:ascii="Arial" w:cs="Arial" w:eastAsia="Arial" w:hAnsi="Arial"/>
          <w:sz w:val="18"/>
          <w:szCs w:val="18"/>
          <w:color w:val="auto"/>
        </w:rPr>
        <w:t>For FY2015, the Committee followed the above-described historic practice and did not engage a compensation consultant to conduct a detailed review of competitive compensation data. It reviewed updated Willis Towers Watson survey information which was increased by 3% for the base salary information and by 4% for long-term incentive compensation, to reflect compensation trends in the market. It used that information, along with the recommendations from Mr. J. Batten as described above, the company-wide merit pool, and the FY2014 shareholder advisory vote on executive compensation, in determining the elements of each executive’s compensation package for FY2015.</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FY2016, the Corporation again engaged Willis Towers Watson to provide a detailed review of the officer’s compensation program. The results of that review were used by the Committee for informational purposes only. Due to a global salary and wage freeze at all operations, the Committee voted to maintain Officer salaries at their current levels. In November of 2015, due to continued weakening in the Corporation’s performance, all company officers participated in a Racine-based salary reduction program. Named Executive Officers received a 6% reduction in their base salary, except for Mr. J. Batten, who received a 10% reduction.</w:t>
      </w:r>
    </w:p>
    <w:p>
      <w:pPr>
        <w:spacing w:after="0" w:line="188"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For FY2017, the Committee did not engage a compensation consultant for review of competitive compensation data, consistent with their historical practice. Due to the continuing wage and salary freeze at all operations, all Named Executive Officers, salaries were maintained at their reduced FY2016 levels, with the exception of Mr. Moore who received a 6.4% increase due to his promotion to Executive Vice President, Chief Operating Officer.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64" w:lineRule="exact"/>
        <w:rPr>
          <w:sz w:val="20"/>
          <w:szCs w:val="20"/>
          <w:color w:val="auto"/>
        </w:rPr>
      </w:pPr>
    </w:p>
    <w:p>
      <w:pPr>
        <w:ind w:right="300"/>
        <w:spacing w:after="0" w:line="216" w:lineRule="auto"/>
        <w:rPr>
          <w:sz w:val="20"/>
          <w:szCs w:val="20"/>
          <w:color w:val="auto"/>
        </w:rPr>
      </w:pPr>
      <w:r>
        <w:rPr>
          <w:rFonts w:ascii="Arial" w:cs="Arial" w:eastAsia="Arial" w:hAnsi="Arial"/>
          <w:sz w:val="18"/>
          <w:szCs w:val="18"/>
          <w:color w:val="auto"/>
        </w:rPr>
        <w:t>Base salaries are reviewed each year by the Committee. As discussed above, salary levels are compared to the market median (i.e.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as determined by using survey data and as determined by external consultants, in order to ensure executives are paid a competitive salary, aiding in attraction and retention.</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 salary adjustments, as may be appropriate, are determined annually and may be based on individual, team or Corporation performance results, as well as other factors including changes to job scope or responsibilities.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ind w:right="220"/>
        <w:spacing w:after="0" w:line="277" w:lineRule="auto"/>
        <w:rPr>
          <w:sz w:val="20"/>
          <w:szCs w:val="20"/>
          <w:color w:val="auto"/>
        </w:rPr>
      </w:pPr>
      <w:r>
        <w:rPr>
          <w:rFonts w:ascii="Arial" w:cs="Arial" w:eastAsia="Arial" w:hAnsi="Arial"/>
          <w:sz w:val="18"/>
          <w:szCs w:val="18"/>
          <w:color w:val="auto"/>
        </w:rPr>
        <w:t>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Committee determines and approves base salary adjustments for the President and CEO, and approves base salary adjustments for the members of the executive officer team, based on the recommendations from the President and CEO. Generally, executive base salaries are increased at rates comparable to the increases provided at other comparable companies and are at or near market levels.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FY2015, the Committee adjusted the base salaries for the Named Executive Officers, effective beginning the first payroll period in October 2014, using the company-wide merit pool, as well as the information provided from Willis Towers Watson as a guide. The Committee determined that a base salary increase of approximately 4% would be appropriate for most of the Named Executive Officers to keep their base salaries near the market median, but that a greater increase would be appropriate for Mr. J. Batten, Mr. Knutson and Mr. Bratel due to their recent promotions and the need to move toward the midpoint of salaries for the market. The base salaries for the Named Executive Officers changed by the following percentages as compared to FY2014: Mr. J. Batten, 11.1%; Mr. Knutson, 8.9%; Mr. Bratel, 10.0%; and Ms. Wilcox, 4%. The Committee also approved increases in Mr. Knutson’s base salary of 12.7% in February 2015 and 14.5% in June 2015 due to his promotion to interim CFO and permanent CFO.</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July 2015, the Committee decided to maintain salaries at current levels in FY2016 for the Named Executive Officers due to a global salary and wage freeze at all operations. Effective in November 2015, the Named Executive Officers participated in a Racine-based salary reduction program. All Officers received a 6% reduction in base salary, with the exception of Mr. J. Batten who received a 10% reduction.</w:t>
      </w:r>
    </w:p>
    <w:p>
      <w:pPr>
        <w:spacing w:after="0" w:line="1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For FY2017, the Committee maintained all Named Executive Officers’ current salaries, with the exception of Mr. Moore, at their current levels, due to a continuing salary and wage freeze at all operations. Mr. Moore received a 6.4% salary increase due to his promotion to Executive Vice President, Chief Operating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 Specific annual performance goals are based on Economic Profit measures (earnings in excess of the Corporation’s cost of capital) and other initiatives of the Corporation that are determined annually.</w:t>
      </w:r>
    </w:p>
    <w:p>
      <w:pPr>
        <w:spacing w:after="0" w:line="187"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or subsidiary goal achievement. In no event may the payout be more than 200% of the target.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7"/>
          <w:szCs w:val="17"/>
          <w:color w:val="auto"/>
        </w:rPr>
        <w:t>For FY2016, the target bonuses as a percentage of base salary were set at 65% for Mr. J. Batten, 50% for Messrs. Moore, Knutson, and Bratel, and 40% for Ms. Wilcox and the CIP targets for the Named Executive Officers were set as listed below. However, the CIP was suspended shortly after the beginning of the year as part of a global cost containment and salary reduction program. As a result, no bonuses were paid.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3"/>
          </w:tcPr>
          <w:p>
            <w:pPr>
              <w:spacing w:after="0"/>
              <w:rPr>
                <w:sz w:val="20"/>
                <w:szCs w:val="20"/>
                <w:color w:val="auto"/>
              </w:rPr>
            </w:pPr>
            <w:r>
              <w:rPr>
                <w:rFonts w:ascii="Arial" w:cs="Arial" w:eastAsia="Arial" w:hAnsi="Arial"/>
                <w:sz w:val="18"/>
                <w:szCs w:val="18"/>
                <w:color w:val="auto"/>
              </w:rPr>
              <w:t>Objective</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Weight</w:t>
            </w:r>
          </w:p>
        </w:tc>
        <w:tc>
          <w:tcPr>
            <w:tcW w:w="4900" w:type="dxa"/>
            <w:vAlign w:val="bottom"/>
            <w:gridSpan w:val="2"/>
          </w:tcPr>
          <w:p>
            <w:pPr>
              <w:spacing w:after="0"/>
              <w:rPr>
                <w:sz w:val="20"/>
                <w:szCs w:val="20"/>
                <w:color w:val="auto"/>
              </w:rPr>
            </w:pPr>
            <w:r>
              <w:rPr>
                <w:rFonts w:ascii="Arial" w:cs="Arial" w:eastAsia="Arial" w:hAnsi="Arial"/>
                <w:sz w:val="18"/>
                <w:szCs w:val="18"/>
                <w:color w:val="auto"/>
              </w:rPr>
              <w:t>Target</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Economic Profit (defined as earnings in</w:t>
            </w:r>
          </w:p>
        </w:tc>
        <w:tc>
          <w:tcPr>
            <w:tcW w:w="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70%</w:t>
            </w:r>
          </w:p>
        </w:tc>
        <w:tc>
          <w:tcPr>
            <w:tcW w:w="58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Target: Economic Profit = $1</w:t>
            </w: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excess of the Company’s cost of capital)</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 Economic Profit = $ (3,527,000)</w:t>
            </w:r>
          </w:p>
        </w:tc>
      </w:tr>
      <w:tr>
        <w:trPr>
          <w:trHeight w:val="230"/>
        </w:trPr>
        <w:tc>
          <w:tcPr>
            <w:tcW w:w="20" w:type="dxa"/>
            <w:vAlign w:val="bottom"/>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Maximum: Economic Profit = $ 3,000,000</w:t>
            </w:r>
          </w:p>
        </w:tc>
      </w:tr>
      <w:tr>
        <w:trPr>
          <w:trHeight w:val="195"/>
        </w:trPr>
        <w:tc>
          <w:tcPr>
            <w:tcW w:w="20" w:type="dxa"/>
            <w:vAlign w:val="bottom"/>
          </w:tcPr>
          <w:p>
            <w:pPr>
              <w:spacing w:after="0"/>
              <w:rPr>
                <w:sz w:val="16"/>
                <w:szCs w:val="16"/>
                <w:color w:val="auto"/>
              </w:rPr>
            </w:pPr>
          </w:p>
        </w:tc>
        <w:tc>
          <w:tcPr>
            <w:tcW w:w="2960" w:type="dxa"/>
            <w:vAlign w:val="bottom"/>
            <w:gridSpan w:val="2"/>
          </w:tcPr>
          <w:p>
            <w:pPr>
              <w:spacing w:after="0" w:line="195" w:lineRule="exact"/>
              <w:rPr>
                <w:sz w:val="20"/>
                <w:szCs w:val="20"/>
                <w:color w:val="auto"/>
              </w:rPr>
            </w:pPr>
            <w:r>
              <w:rPr>
                <w:rFonts w:ascii="Arial" w:cs="Arial" w:eastAsia="Arial" w:hAnsi="Arial"/>
                <w:sz w:val="18"/>
                <w:szCs w:val="18"/>
                <w:color w:val="auto"/>
              </w:rPr>
              <w:t>Corporate Inventory (turns)</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c>
          <w:tcPr>
            <w:tcW w:w="580" w:type="dxa"/>
            <w:vAlign w:val="bottom"/>
          </w:tcPr>
          <w:p>
            <w:pPr>
              <w:spacing w:after="0"/>
              <w:rPr>
                <w:sz w:val="16"/>
                <w:szCs w:val="16"/>
                <w:color w:val="auto"/>
              </w:rPr>
            </w:pPr>
          </w:p>
        </w:tc>
        <w:tc>
          <w:tcPr>
            <w:tcW w:w="4900" w:type="dxa"/>
            <w:vAlign w:val="bottom"/>
            <w:gridSpan w:val="2"/>
          </w:tcPr>
          <w:p>
            <w:pPr>
              <w:spacing w:after="0" w:line="195" w:lineRule="exact"/>
              <w:rPr>
                <w:sz w:val="20"/>
                <w:szCs w:val="20"/>
                <w:color w:val="auto"/>
              </w:rPr>
            </w:pPr>
            <w:r>
              <w:rPr>
                <w:rFonts w:ascii="Arial" w:cs="Arial" w:eastAsia="Arial" w:hAnsi="Arial"/>
                <w:sz w:val="18"/>
                <w:szCs w:val="18"/>
                <w:color w:val="auto"/>
              </w:rPr>
              <w:t>Target = 2.24</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Threshold = 2.10</w:t>
            </w:r>
          </w:p>
        </w:tc>
      </w:tr>
      <w:tr>
        <w:trPr>
          <w:trHeight w:val="230"/>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Maximum = 2.50</w:t>
            </w:r>
          </w:p>
        </w:tc>
      </w:tr>
      <w:tr>
        <w:trPr>
          <w:trHeight w:val="195"/>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Sales Revenue</w:t>
            </w:r>
          </w:p>
        </w:tc>
        <w:tc>
          <w:tcPr>
            <w:tcW w:w="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Target = $292,369</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 = $265,790</w:t>
            </w:r>
          </w:p>
        </w:tc>
      </w:tr>
      <w:tr>
        <w:trPr>
          <w:trHeight w:val="230"/>
        </w:trPr>
        <w:tc>
          <w:tcPr>
            <w:tcW w:w="20" w:type="dxa"/>
            <w:vAlign w:val="bottom"/>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4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Maximum = $318,948</w:t>
            </w:r>
          </w:p>
        </w:tc>
      </w:tr>
    </w:tbl>
    <w:p>
      <w:pPr>
        <w:spacing w:after="0" w:line="200" w:lineRule="exact"/>
        <w:rPr>
          <w:sz w:val="20"/>
          <w:szCs w:val="20"/>
          <w:color w:val="auto"/>
        </w:rPr>
      </w:pPr>
    </w:p>
    <w:p>
      <w:pPr>
        <w:spacing w:after="0" w:line="21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An executive’s incentive payment under the CIP may be increased or decreased by up to 20%, at the discretion of the Committee, based on the recommendations of the President and CEO, if the executive’s individual performance goals are either exceeded or not achieved and other factors deemed important by the Committee. The Committee alone makes decisions regarding the President and CEO’s annual incentive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are used in the calculations of “Economic Profit,” a key component of the CIP:</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Economic Profit</w:t>
      </w:r>
      <w:r>
        <w:rPr>
          <w:rFonts w:ascii="Arial" w:cs="Arial" w:eastAsia="Arial" w:hAnsi="Arial"/>
          <w:sz w:val="18"/>
          <w:szCs w:val="18"/>
          <w:color w:val="auto"/>
        </w:rPr>
        <w:t xml:space="preserve"> is defined as the return on investment in excess of the Cost of Capital. It is calculated by taking Net Operating Profit after Tax (“NOPAT”) less (or as a percentage of) a Capital Charge (Average Invested Capital x Cost of Capital).</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Average Invested Capital</w:t>
      </w:r>
      <w:r>
        <w:rPr>
          <w:rFonts w:ascii="Arial" w:cs="Arial" w:eastAsia="Arial" w:hAnsi="Arial"/>
          <w:sz w:val="18"/>
          <w:szCs w:val="18"/>
          <w:color w:val="auto"/>
        </w:rPr>
        <w:t xml:space="preserve"> is defined as total assets less non-interest bearing liabilities less accrued retirement benefits less excess cash, computed on monthly trailing 13 month basis. For FY2015, excess cash was defined as cash in excess of $3 million, or roughly 1% of sales.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Cost of Capital</w:t>
      </w:r>
      <w:r>
        <w:rPr>
          <w:rFonts w:ascii="Arial" w:cs="Arial" w:eastAsia="Arial" w:hAnsi="Arial"/>
          <w:sz w:val="18"/>
          <w:szCs w:val="18"/>
          <w:color w:val="auto"/>
        </w:rPr>
        <w:t xml:space="preserve"> is defined as the weighted average expectation of Twin Disc’s sources of capital, debt and equity. For FY2015, the cost of capital has been calculated at 10% (after taxes).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FY2017, the Committee reviewed and approved the performance goals recommended for the CIP. The CIP will pay out if certain EBITDA, trade working capital, sales growth, and strategic objectives (individual achievement) are achieved.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Committee reviewed the recommendations and approved the target bonus percentages for each officer. The Committee discussed and determined the bonus percentage amount for Mr. J. Batten. For FY2017, the target bonus percentage of base salary will be 65% for Mr. J. Batten, 50% for Messrs. Knutson, Moore and Bratel, and 40% for Ms. Wilcox.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Twin Disc, Incorporated 2010 Long-Term Incentive Compensation Plan (“2010 LTI Plan”), which was amended and restated on July 31, 2015 and approved by the Corporation’s shareholders at the annual meeting in October 2015, provides for the opportunity for officers and key employees of the Corporation (and its subsidiaries) to acquire common stock of the Corporation or cash payments via stock options, stock appreciation rights, restricted stock, restricted stock units, performance stock awards, performance stock unit awards or performance unit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p>
      <w:pPr>
        <w:ind w:right="100"/>
        <w:spacing w:after="0" w:line="302" w:lineRule="auto"/>
        <w:rPr>
          <w:sz w:val="20"/>
          <w:szCs w:val="20"/>
          <w:color w:val="auto"/>
        </w:rPr>
      </w:pPr>
      <w:r>
        <w:rPr>
          <w:rFonts w:ascii="Arial" w:cs="Arial" w:eastAsia="Arial" w:hAnsi="Arial"/>
          <w:sz w:val="16"/>
          <w:szCs w:val="16"/>
          <w:color w:val="auto"/>
        </w:rPr>
        <w:t>The granting of performance stock encourages a pay for performance approach, aligning the interests of the executive with the economic goals of the Corporation and the shareholders. The granting of restricted stock is based on a number of factors that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15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composition of an executive’s long-term compensation – i.e. performance stock and restricted stock – is determined by the Committee. The executive has no role or choice whether to receive incentive compensation in the form of performance stock, restricted stock, or other forms.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Committee establishes the vesting criteria, including the performance goals that must be achieved in order for the award to vest. Grants are made at the beginning of each fiscal year, or as determined by the Committee, for the ensuing multi-year cycle period.</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FY2016, all of the Named Executive Officers received awards of performance stock. The Committee changed the performance measures that had historically been used in connection with the LTI Plan. Instead of using economic profit as the sole performance measure, the long-term incentive awards granted in FY2016 use a combination of the following performance goals and weightings for the three-year performance period ending in FY2018: (i) average annual sales revenue (40%), (ii) economic profit (40%), and (iii) relative total shareholder return (expressed as the percentile rank of the Corporation’s total shareholder return for the performance period relative to the average total shareholder return of the S&amp;P Machinery (Industrial) Index) (20%). In addition, the Corporation expanded the possible range of long-term incentive payments for each performance goal from 80% - 120% of the target to 50% - 150% of the target. These shares will vest on June 30, 2018 if the specific measures are achieved within the payout range.</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order to incent and retain the Corporation’s executives, shares of restricted stock were also granted to all Named Executive Officers in FY2016. These shares will vest July 30, 2018 provided the executive remains employed with the Corporation until the vesting date.</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July 2016, the Committee reviewed the performance objective established in July of 2013 for the vesting of performance stock and performance stock units granted in July 2013 under the Twin Disc, Incorporated 2010 Long-Term Incentive Compensation Plan. The objective is listed below:</w:t>
      </w:r>
    </w:p>
    <w:p>
      <w:pPr>
        <w:spacing w:after="0" w:line="147" w:lineRule="exact"/>
        <w:rPr>
          <w:sz w:val="20"/>
          <w:szCs w:val="20"/>
          <w:color w:val="auto"/>
        </w:rPr>
      </w:pPr>
    </w:p>
    <w:p>
      <w:pPr>
        <w:ind w:left="660" w:right="260"/>
        <w:spacing w:after="0" w:line="342" w:lineRule="auto"/>
        <w:rPr>
          <w:sz w:val="20"/>
          <w:szCs w:val="20"/>
          <w:color w:val="auto"/>
        </w:rPr>
      </w:pPr>
      <w:r>
        <w:rPr>
          <w:rFonts w:ascii="Arial" w:cs="Arial" w:eastAsia="Arial" w:hAnsi="Arial"/>
          <w:sz w:val="16"/>
          <w:szCs w:val="16"/>
          <w:color w:val="auto"/>
        </w:rPr>
        <w:t>The Performance Objective is the Company’s economic profit (measured as the difference between the Company’s cumulative net operating profit after taxes and the Company’s cumulative capital charge) for the cumulative three fiscal year period ending June 30, 2016, as specified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Performance Objective as</w:t>
            </w:r>
          </w:p>
        </w:tc>
        <w:tc>
          <w:tcPr>
            <w:tcW w:w="2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580" w:type="dxa"/>
            <w:vAlign w:val="bottom"/>
            <w:gridSpan w:val="3"/>
          </w:tcPr>
          <w:p>
            <w:pPr>
              <w:spacing w:after="0" w:line="196" w:lineRule="exact"/>
              <w:rPr>
                <w:sz w:val="20"/>
                <w:szCs w:val="20"/>
                <w:color w:val="auto"/>
              </w:rPr>
            </w:pPr>
            <w:r>
              <w:rPr>
                <w:rFonts w:ascii="Arial" w:cs="Arial" w:eastAsia="Arial" w:hAnsi="Arial"/>
                <w:sz w:val="18"/>
                <w:szCs w:val="18"/>
                <w:color w:val="auto"/>
              </w:rPr>
              <w:t>of June 30, 2016</w:t>
            </w:r>
          </w:p>
        </w:tc>
        <w:tc>
          <w:tcPr>
            <w:tcW w:w="1680" w:type="dxa"/>
            <w:vAlign w:val="bottom"/>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Maximum</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$2,000,000</w:t>
            </w:r>
          </w:p>
        </w:tc>
        <w:tc>
          <w:tcPr>
            <w:tcW w:w="6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Target</w:t>
            </w:r>
          </w:p>
        </w:tc>
        <w:tc>
          <w:tcPr>
            <w:tcW w:w="1200" w:type="dxa"/>
            <w:vAlign w:val="bottom"/>
          </w:tcPr>
          <w:p>
            <w:pPr>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Threshold</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$(2,000,000)</w:t>
            </w:r>
          </w:p>
        </w:tc>
        <w:tc>
          <w:tcPr>
            <w:tcW w:w="6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675"/>
        </w:trPr>
        <w:tc>
          <w:tcPr>
            <w:tcW w:w="6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5"/>
        </w:trPr>
        <w:tc>
          <w:tcPr>
            <w:tcW w:w="6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680" w:type="dxa"/>
            <w:vAlign w:val="bottom"/>
          </w:tcPr>
          <w:p>
            <w:pPr>
              <w:spacing w:after="0"/>
              <w:rPr>
                <w:sz w:val="9"/>
                <w:szCs w:val="9"/>
                <w:color w:val="auto"/>
              </w:rPr>
            </w:pPr>
          </w:p>
        </w:tc>
      </w:tr>
      <w:tr>
        <w:trPr>
          <w:trHeight w:val="61"/>
        </w:trPr>
        <w:tc>
          <w:tcPr>
            <w:tcW w:w="660" w:type="dxa"/>
            <w:vAlign w:val="bottom"/>
            <w:shd w:val="clear" w:color="auto" w:fill="808080"/>
          </w:tcPr>
          <w:p>
            <w:pPr>
              <w:spacing w:after="0"/>
              <w:rPr>
                <w:sz w:val="5"/>
                <w:szCs w:val="5"/>
                <w:color w:val="auto"/>
              </w:rPr>
            </w:pPr>
          </w:p>
        </w:tc>
        <w:tc>
          <w:tcPr>
            <w:tcW w:w="45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72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29" w:name="page30"/>
    <w:bookmarkEnd w:id="29"/>
    <w:p>
      <w:pPr>
        <w:spacing w:after="0" w:line="257" w:lineRule="auto"/>
        <w:rPr>
          <w:sz w:val="20"/>
          <w:szCs w:val="20"/>
          <w:color w:val="auto"/>
        </w:rPr>
      </w:pPr>
      <w:r>
        <w:rPr>
          <w:rFonts w:ascii="Arial" w:cs="Arial" w:eastAsia="Arial" w:hAnsi="Arial"/>
          <w:sz w:val="18"/>
          <w:szCs w:val="18"/>
          <w:color w:val="auto"/>
        </w:rPr>
        <w:t>For purposes of this performance objective, the Corporation’s cumulative capital charge was calculated by multiplying average invested capital times the cost of capital. Average invested capital is defined as total assets less non-interest bearing liabilities, less accrued retirement benefits less excess cash, computed on monthly trailing 13 month basis. Cost of capital is defined as the weighted average expectation of Twin Disc’s sources of capital, debt and equity. For FY2014-FY2016, excess cash was defined as cash in excess of $3,000,000, approximately 1% of net sales, and the cost of capital has been calculated at 10%, after taxes.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Committee determined, subject to audit, that the Corporation’s economic profit for the cumulative three year period ending June 30, 2016 was</w:t>
      </w:r>
    </w:p>
    <w:p>
      <w:pPr>
        <w:spacing w:after="0" w:line="3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$(28,349,152). As a result, both the performance stock and performance stock units granted to Named Executive Officers in July 2013 did not meet the threshold objective and therefore did not vest.</w:t>
      </w:r>
    </w:p>
    <w:p>
      <w:pPr>
        <w:spacing w:after="0" w:line="18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FY2017, the Committee changed the performance measures that had been used in connection with its long-term incentive plan. The long-term incentive awards granted in FY2017 use a combination of the following performance goals and weightings for the three fiscal year performance period ending June 30, 2019: (i) average return on invested capital (also known as average return on total capital) (40%), (ii) average sales revenue (30%), and (iii) average earnings per share (30%). In addition, the possible range of long-term incentive payments for each performance goal will be 50% - 150% of the target. The Committee awarded only performance stock and restricted stock as long-term incentive awards in FY2017.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addition to cash compensation and cash/stock incentive programs, 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Qualified Retirement Plans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u w:val="single" w:color="auto"/>
          <w:color w:val="auto"/>
        </w:rPr>
        <w:t>The Twin Disc, Incorporated Retirement Savings Plan for Salaried Employees</w:t>
      </w:r>
      <w:r>
        <w:rPr>
          <w:rFonts w:ascii="Arial" w:cs="Arial" w:eastAsia="Arial" w:hAnsi="Arial"/>
          <w:sz w:val="16"/>
          <w:szCs w:val="16"/>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4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Savings Plan does not allow employee contributions. Employer contributions, which are made annually, are 100% vested.</w:t>
      </w:r>
    </w:p>
    <w:p>
      <w:pPr>
        <w:spacing w:after="0" w:line="225"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u w:val="single" w:color="auto"/>
          <w:color w:val="auto"/>
        </w:rPr>
        <w:t>The Twin Disc, Incorporated Retirement Plan for Salaried Employees</w:t>
      </w:r>
      <w:r>
        <w:rPr>
          <w:rFonts w:ascii="Arial" w:cs="Arial" w:eastAsia="Arial" w:hAnsi="Arial"/>
          <w:sz w:val="16"/>
          <w:szCs w:val="16"/>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line="279" w:lineRule="auto"/>
        <w:rPr>
          <w:sz w:val="20"/>
          <w:szCs w:val="20"/>
          <w:color w:val="auto"/>
        </w:rPr>
      </w:pPr>
      <w:r>
        <w:rPr>
          <w:rFonts w:ascii="Arial" w:cs="Arial" w:eastAsia="Arial" w:hAnsi="Arial"/>
          <w:sz w:val="17"/>
          <w:szCs w:val="17"/>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 eligible for an accrued benefit under the pre-1997 Retirement Plan with 9.5 years of pre-January 1, 1997 credited service.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 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The Twin Disc, Incorporated – The Accelerator 401(k) Savings Plan (“401(k) Plan”)</w:t>
      </w:r>
      <w:r>
        <w:rPr>
          <w:rFonts w:ascii="Arial" w:cs="Arial" w:eastAsia="Arial" w:hAnsi="Arial"/>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(including Mr. J. Batten, Mr. Bratel and Ms. Wilcox)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SERP benefit is payable in two lump sum payments, which are paid on the first and second February 1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Life Insurance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Officers who obtained their positions on or after January 1, 2015 are eligible for a term life insurance benefit equal to three times their base salary, subject to certain limitations that may apply regarding insurability.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i w:val="1"/>
          <w:iCs w:val="1"/>
          <w:color w:val="auto"/>
        </w:rPr>
        <w:t>Change in Control Agreements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Corporation has change in control severance agreements with each of its executive officers, which were most recently updated in July 2014.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J. Batten, 2.0 for Mr. Knutson and Mr. Moore, and 1.5 for Mr. Bratel and Ms. Wilcox). In addition, the executive would be entitled to the cash value over the exercise price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7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performance stock and performance stock unit award agreements and restricted stock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and all restricted shares shall become freely transferable and non-forfeitable.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following table summarizes the “total compensation” of the Corporation’s Chief Executive Officer, Chief Financial Officer, and its three most highly compensated executive officers for the fiscal year ended June 30, 2016.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640" w:type="dxa"/>
            <w:vAlign w:val="bottom"/>
            <w:tcBorders>
              <w:top w:val="single" w:sz="8" w:color="auto"/>
              <w:left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(4)</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Change in</w:t>
            </w: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Pension Value</w:t>
            </w: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(3)</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Nonqualified</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10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92"/>
              </w:rPr>
              <w:t>Non-Equity</w:t>
            </w:r>
          </w:p>
        </w:tc>
        <w:tc>
          <w:tcPr>
            <w:tcW w:w="220" w:type="dxa"/>
            <w:vAlign w:val="bottom"/>
          </w:tcPr>
          <w:p>
            <w:pPr>
              <w:spacing w:after="0"/>
              <w:rPr>
                <w:sz w:val="18"/>
                <w:szCs w:val="18"/>
                <w:color w:val="auto"/>
              </w:rPr>
            </w:pPr>
          </w:p>
        </w:tc>
        <w:tc>
          <w:tcPr>
            <w:tcW w:w="10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Deferred</w:t>
            </w:r>
          </w:p>
        </w:tc>
        <w:tc>
          <w:tcPr>
            <w:tcW w:w="200" w:type="dxa"/>
            <w:vAlign w:val="bottom"/>
          </w:tcPr>
          <w:p>
            <w:pPr>
              <w:spacing w:after="0"/>
              <w:rPr>
                <w:sz w:val="18"/>
                <w:szCs w:val="18"/>
                <w:color w:val="auto"/>
              </w:rPr>
            </w:pPr>
          </w:p>
        </w:tc>
        <w:tc>
          <w:tcPr>
            <w:tcW w:w="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7"/>
              </w:rPr>
              <w:t>All Other</w:t>
            </w: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3"/>
              </w:rPr>
              <w:t>Stock</w:t>
            </w:r>
          </w:p>
        </w:tc>
        <w:tc>
          <w:tcPr>
            <w:tcW w:w="1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Incentive Plan</w:t>
            </w:r>
          </w:p>
        </w:tc>
        <w:tc>
          <w:tcPr>
            <w:tcW w:w="1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Compensation</w:t>
            </w:r>
          </w:p>
        </w:tc>
        <w:tc>
          <w:tcPr>
            <w:tcW w:w="11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w:t>
            </w: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0"/>
        </w:trPr>
        <w:tc>
          <w:tcPr>
            <w:tcW w:w="26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 and Principal Position</w:t>
            </w:r>
          </w:p>
        </w:tc>
        <w:tc>
          <w:tcPr>
            <w:tcW w:w="6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Year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Salary</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w w:val="97"/>
              </w:rPr>
              <w:t>Bonus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Awards</w:t>
            </w:r>
          </w:p>
        </w:tc>
        <w:tc>
          <w:tcPr>
            <w:tcW w:w="12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Compensation</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Earnings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John H. Batten</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469,232</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495,542</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95,404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1,064,759</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President and Chief</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486,540</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587,287</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290,550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86,091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1,454,924</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Executive Officer</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426,580</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587,317</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80,241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1,098,565</w:t>
            </w: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Jeffrey S. Knutson</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303,368</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208,849</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545,073</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Vice President – Finance,</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248,748</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197,361</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140,805</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618,932</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CFO, Sec’y and Treasurer</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Malcolm F. Moore</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351,057</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323,219</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714,035</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Executive Vice President,</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Chief Operating Officer</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Dean J. Bratel</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264,847</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189,867</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530,465</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Vice President – Sales</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268,273</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225,036</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122,925</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674,554</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and Applied Technology</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240,923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245,286</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550,078</w:t>
            </w: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Denise L. Wilcox</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221,507</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121,523</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72,339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418,640</w:t>
            </w:r>
          </w:p>
        </w:tc>
      </w:tr>
      <w:tr>
        <w:trPr>
          <w:trHeight w:val="210"/>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Vice President - Human</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227,710</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144,019</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82,248</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67,999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525,107</w:t>
            </w:r>
          </w:p>
        </w:tc>
      </w:tr>
      <w:tr>
        <w:trPr>
          <w:trHeight w:val="208"/>
        </w:trPr>
        <w:tc>
          <w:tcPr>
            <w:tcW w:w="26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Resources</w:t>
            </w:r>
          </w:p>
        </w:tc>
        <w:tc>
          <w:tcPr>
            <w:tcW w:w="6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219,204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165,881</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459,808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-2334260</wp:posOffset>
            </wp:positionV>
            <wp:extent cx="722947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-1750695</wp:posOffset>
            </wp:positionV>
            <wp:extent cx="722947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-1167765</wp:posOffset>
            </wp:positionV>
            <wp:extent cx="72294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-584835</wp:posOffset>
            </wp:positionV>
            <wp:extent cx="72294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Discretionary bonuses approved by the Compensation and Executive Development Committee on July 30, 2014.</w:t>
      </w:r>
    </w:p>
    <w:p>
      <w:pPr>
        <w:spacing w:after="0" w:line="225" w:lineRule="exact"/>
        <w:rPr>
          <w:rFonts w:ascii="Arial" w:cs="Arial" w:eastAsia="Arial" w:hAnsi="Arial"/>
          <w:sz w:val="18"/>
          <w:szCs w:val="18"/>
          <w:color w:val="auto"/>
        </w:rPr>
      </w:pPr>
    </w:p>
    <w:p>
      <w:pPr>
        <w:ind w:left="340" w:right="20" w:hanging="332"/>
        <w:spacing w:after="0" w:line="291"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fiscal 2016, assuming the maximum performance goal is achieved, are as follows: Mr. J. Batten, $495,542; Mr. Knutson, $208,849; Mr. Moore, $269,611; Mr. Bratel, $189,867; and Ms. Wilcox, $121,523. These calculations are based on the closing share price on the date of grant of $16.10 for those shares granted on 7/31/15. The amount shown for Mr. Moore includes the value of 2,942 fully-vested shares of the Corporation’s stock awarded to him on July 1, 2015, the first day of his employment as an executive officer of the Corporation, valued at the closing share price of $18.29 on that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ind w:left="332" w:right="360"/>
        <w:spacing w:after="0" w:line="287" w:lineRule="auto"/>
        <w:rPr>
          <w:sz w:val="20"/>
          <w:szCs w:val="20"/>
          <w:color w:val="auto"/>
        </w:rPr>
      </w:pPr>
      <w:r>
        <w:rPr>
          <w:rFonts w:ascii="Arial" w:cs="Arial" w:eastAsia="Arial" w:hAnsi="Arial"/>
          <w:sz w:val="19"/>
          <w:szCs w:val="19"/>
          <w:color w:val="auto"/>
        </w:rPr>
        <w:t>The following table presents separately the compensation expense recognized in FY2016, 2015, and 2014 for outstanding awards of performance stock, performance stock units and restricted stock for Messrs. J. Batten, Bratel and Ms. Wilcox, the compensation expense recognized in FY2016 and FY2015 for outstanding awards of performance stock, performance stock units and restricted stock for Mr. Knutson; and the compensation expense recognized in FY2016 for Mr. Moore:</w:t>
      </w:r>
    </w:p>
    <w:p>
      <w:pPr>
        <w:spacing w:after="0" w:line="169" w:lineRule="exact"/>
        <w:rPr>
          <w:sz w:val="20"/>
          <w:szCs w:val="20"/>
          <w:color w:val="auto"/>
        </w:rPr>
      </w:pPr>
    </w:p>
    <w:tbl>
      <w:tblPr>
        <w:tblLayout w:type="fixed"/>
        <w:tblInd w:w="322" w:type="dxa"/>
        <w:tblCellMar>
          <w:top w:w="0" w:type="dxa"/>
          <w:left w:w="0" w:type="dxa"/>
          <w:bottom w:w="0" w:type="dxa"/>
          <w:right w:w="0" w:type="dxa"/>
        </w:tblCellMar>
      </w:tblPr>
      <w:tr>
        <w:trPr>
          <w:trHeight w:val="233"/>
        </w:trPr>
        <w:tc>
          <w:tcPr>
            <w:tcW w:w="220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Name</w:t>
            </w:r>
          </w:p>
        </w:tc>
        <w:tc>
          <w:tcPr>
            <w:tcW w:w="72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Year</w:t>
            </w:r>
          </w:p>
        </w:tc>
        <w:tc>
          <w:tcPr>
            <w:tcW w:w="380" w:type="dxa"/>
            <w:vAlign w:val="bottom"/>
            <w:tcBorders>
              <w:top w:val="single" w:sz="8" w:color="auto"/>
              <w:bottom w:val="single" w:sz="8" w:color="auto"/>
            </w:tcBorders>
          </w:tcPr>
          <w:p>
            <w:pPr>
              <w:spacing w:after="0"/>
              <w:rPr>
                <w:sz w:val="20"/>
                <w:szCs w:val="20"/>
                <w:color w:val="auto"/>
              </w:rPr>
            </w:pPr>
          </w:p>
        </w:tc>
        <w:tc>
          <w:tcPr>
            <w:tcW w:w="210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w w:val="99"/>
              </w:rPr>
              <w:t>Performance Stock</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Performance Stock Units</w:t>
            </w:r>
          </w:p>
        </w:tc>
        <w:tc>
          <w:tcPr>
            <w:tcW w:w="260" w:type="dxa"/>
            <w:vAlign w:val="bottom"/>
            <w:tcBorders>
              <w:top w:val="single" w:sz="8" w:color="auto"/>
              <w:bottom w:val="single" w:sz="8" w:color="auto"/>
              <w:right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Restricted Stock</w:t>
            </w:r>
          </w:p>
        </w:tc>
      </w:tr>
      <w:tr>
        <w:trPr>
          <w:trHeight w:val="210"/>
        </w:trPr>
        <w:tc>
          <w:tcPr>
            <w:tcW w:w="220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John H. Batten</w:t>
            </w: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18,539</w:t>
            </w:r>
          </w:p>
        </w:tc>
        <w:tc>
          <w:tcPr>
            <w:tcW w:w="2180" w:type="dxa"/>
            <w:vAlign w:val="bottom"/>
            <w:tcBorders>
              <w:bottom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313,785</w:t>
            </w:r>
          </w:p>
        </w:tc>
      </w:tr>
      <w:tr>
        <w:trPr>
          <w:trHeight w:val="210"/>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218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290,098</w:t>
            </w:r>
          </w:p>
        </w:tc>
      </w:tr>
      <w:tr>
        <w:trPr>
          <w:trHeight w:val="210"/>
        </w:trPr>
        <w:tc>
          <w:tcPr>
            <w:tcW w:w="22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180" w:type="dxa"/>
            <w:vAlign w:val="bottom"/>
            <w:tcBorders>
              <w:bottom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271,451</w:t>
            </w:r>
          </w:p>
        </w:tc>
      </w:tr>
      <w:tr>
        <w:trPr>
          <w:trHeight w:val="210"/>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Jeffrey S. Knutson</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7,816</w:t>
            </w:r>
          </w:p>
        </w:tc>
        <w:tc>
          <w:tcPr>
            <w:tcW w:w="218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128,208</w:t>
            </w:r>
          </w:p>
        </w:tc>
      </w:tr>
      <w:tr>
        <w:trPr>
          <w:trHeight w:val="210"/>
        </w:trPr>
        <w:tc>
          <w:tcPr>
            <w:tcW w:w="22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180" w:type="dxa"/>
            <w:vAlign w:val="bottom"/>
            <w:tcBorders>
              <w:bottom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100,646</w:t>
            </w:r>
          </w:p>
        </w:tc>
      </w:tr>
      <w:tr>
        <w:trPr>
          <w:trHeight w:val="210"/>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Malcolm F. Moore</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10,084</w:t>
            </w:r>
          </w:p>
        </w:tc>
        <w:tc>
          <w:tcPr>
            <w:tcW w:w="218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109,695</w:t>
            </w:r>
          </w:p>
        </w:tc>
      </w:tr>
      <w:tr>
        <w:trPr>
          <w:trHeight w:val="210"/>
        </w:trPr>
        <w:tc>
          <w:tcPr>
            <w:tcW w:w="220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Dean J. Bratel</w:t>
            </w: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7,101</w:t>
            </w:r>
          </w:p>
        </w:tc>
        <w:tc>
          <w:tcPr>
            <w:tcW w:w="2180" w:type="dxa"/>
            <w:vAlign w:val="bottom"/>
            <w:tcBorders>
              <w:bottom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125,600</w:t>
            </w:r>
          </w:p>
        </w:tc>
      </w:tr>
      <w:tr>
        <w:trPr>
          <w:trHeight w:val="210"/>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218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115,487</w:t>
            </w:r>
          </w:p>
        </w:tc>
      </w:tr>
      <w:tr>
        <w:trPr>
          <w:trHeight w:val="210"/>
        </w:trPr>
        <w:tc>
          <w:tcPr>
            <w:tcW w:w="22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180" w:type="dxa"/>
            <w:vAlign w:val="bottom"/>
            <w:tcBorders>
              <w:bottom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111,013</w:t>
            </w:r>
          </w:p>
        </w:tc>
      </w:tr>
      <w:tr>
        <w:trPr>
          <w:trHeight w:val="210"/>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Denise L. Wilcox</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4,547</w:t>
            </w:r>
          </w:p>
        </w:tc>
        <w:tc>
          <w:tcPr>
            <w:tcW w:w="218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83,210</w:t>
            </w:r>
          </w:p>
        </w:tc>
      </w:tr>
      <w:tr>
        <w:trPr>
          <w:trHeight w:val="210"/>
        </w:trPr>
        <w:tc>
          <w:tcPr>
            <w:tcW w:w="22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180" w:type="dxa"/>
            <w:vAlign w:val="bottom"/>
            <w:tcBorders>
              <w:bottom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83,621</w:t>
            </w:r>
          </w:p>
        </w:tc>
      </w:tr>
      <w:tr>
        <w:trPr>
          <w:trHeight w:val="206"/>
        </w:trPr>
        <w:tc>
          <w:tcPr>
            <w:tcW w:w="2200" w:type="dxa"/>
            <w:vAlign w:val="bottom"/>
            <w:tcBorders>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218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87,923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-1605280</wp:posOffset>
            </wp:positionV>
            <wp:extent cx="650049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-1313815</wp:posOffset>
            </wp:positionV>
            <wp:extent cx="650049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-1021715</wp:posOffset>
            </wp:positionV>
            <wp:extent cx="650049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-730250</wp:posOffset>
            </wp:positionV>
            <wp:extent cx="650049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-438785</wp:posOffset>
            </wp:positionV>
            <wp:extent cx="650049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-147320</wp:posOffset>
            </wp:positionV>
            <wp:extent cx="650049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00495" cy="137160"/>
                    </a:xfrm>
                    <a:prstGeom prst="rect">
                      <a:avLst/>
                    </a:prstGeom>
                    <a:noFill/>
                  </pic:spPr>
                </pic:pic>
              </a:graphicData>
            </a:graphic>
          </wp:anchor>
        </w:drawing>
      </w:r>
    </w:p>
    <w:p>
      <w:pPr>
        <w:spacing w:after="0" w:line="178" w:lineRule="exact"/>
        <w:rPr>
          <w:sz w:val="20"/>
          <w:szCs w:val="20"/>
          <w:color w:val="auto"/>
        </w:rPr>
      </w:pPr>
    </w:p>
    <w:p>
      <w:pPr>
        <w:ind w:left="332" w:right="100" w:hanging="332"/>
        <w:spacing w:after="0" w:line="256" w:lineRule="auto"/>
        <w:tabs>
          <w:tab w:leader="none" w:pos="3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cash bonuses earned in connection with achievement of specific performance targets under the Corporate Incentive Plan, described under the “Annual Incentive Compensation” portion of the Compensation Discussion and Analysis, above. There were no bonuses paid for FY2016 or FY2014 as the threshold performance targets in each year were not met.</w:t>
      </w:r>
    </w:p>
    <w:p>
      <w:pPr>
        <w:ind w:left="332" w:hanging="332"/>
        <w:spacing w:after="0"/>
        <w:tabs>
          <w:tab w:leader="none" w:pos="3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figures for FY2016 reflect the change in qualified pension amounts for each of the Named Executive Officers.</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 Compensation consists of the following:</w:t>
      </w:r>
    </w:p>
    <w:p>
      <w:pPr>
        <w:spacing w:after="0" w:line="200" w:lineRule="exact"/>
        <w:rPr>
          <w:sz w:val="20"/>
          <w:szCs w:val="20"/>
          <w:color w:val="auto"/>
        </w:rPr>
      </w:pPr>
    </w:p>
    <w:p>
      <w:pPr>
        <w:spacing w:after="0" w:line="218" w:lineRule="exact"/>
        <w:rPr>
          <w:sz w:val="20"/>
          <w:szCs w:val="20"/>
          <w:color w:val="auto"/>
        </w:rPr>
      </w:pPr>
    </w:p>
    <w:tbl>
      <w:tblPr>
        <w:tblLayout w:type="fixed"/>
        <w:tblInd w:w="1162" w:type="dxa"/>
        <w:tblCellMar>
          <w:top w:w="0" w:type="dxa"/>
          <w:left w:w="0" w:type="dxa"/>
          <w:bottom w:w="0" w:type="dxa"/>
          <w:right w:w="0" w:type="dxa"/>
        </w:tblCellMar>
      </w:tblPr>
      <w:tr>
        <w:trPr>
          <w:trHeight w:val="218"/>
        </w:trPr>
        <w:tc>
          <w:tcPr>
            <w:tcW w:w="2560" w:type="dxa"/>
            <w:vAlign w:val="bottom"/>
            <w:tcBorders>
              <w:top w:val="single" w:sz="8" w:color="auto"/>
              <w:left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Retirement</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Perquisites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r>
      <w:tr>
        <w:trPr>
          <w:trHeight w:val="216"/>
        </w:trPr>
        <w:tc>
          <w:tcPr>
            <w:tcW w:w="256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401(k)</w:t>
            </w:r>
          </w:p>
        </w:tc>
        <w:tc>
          <w:tcPr>
            <w:tcW w:w="240" w:type="dxa"/>
            <w:vAlign w:val="bottom"/>
          </w:tcPr>
          <w:p>
            <w:pPr>
              <w:spacing w:after="0"/>
              <w:rPr>
                <w:sz w:val="18"/>
                <w:szCs w:val="18"/>
                <w:color w:val="auto"/>
              </w:rPr>
            </w:pPr>
          </w:p>
        </w:tc>
        <w:tc>
          <w:tcPr>
            <w:tcW w:w="90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Savings</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6"/>
              </w:rPr>
              <w:t>Defined</w:t>
            </w:r>
          </w:p>
        </w:tc>
        <w:tc>
          <w:tcPr>
            <w:tcW w:w="1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256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Company</w:t>
            </w:r>
          </w:p>
        </w:tc>
        <w:tc>
          <w:tcPr>
            <w:tcW w:w="240" w:type="dxa"/>
            <w:vAlign w:val="bottom"/>
          </w:tcPr>
          <w:p>
            <w:pPr>
              <w:spacing w:after="0"/>
              <w:rPr>
                <w:sz w:val="18"/>
                <w:szCs w:val="18"/>
                <w:color w:val="auto"/>
              </w:rPr>
            </w:pPr>
          </w:p>
        </w:tc>
        <w:tc>
          <w:tcPr>
            <w:tcW w:w="90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8"/>
              </w:rPr>
              <w:t>Plan</w:t>
            </w:r>
          </w:p>
        </w:tc>
        <w:tc>
          <w:tcPr>
            <w:tcW w:w="11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Contribution</w:t>
            </w:r>
          </w:p>
        </w:tc>
        <w:tc>
          <w:tcPr>
            <w:tcW w:w="160" w:type="dxa"/>
            <w:vAlign w:val="bottom"/>
          </w:tcPr>
          <w:p>
            <w:pPr>
              <w:spacing w:after="0"/>
              <w:rPr>
                <w:sz w:val="18"/>
                <w:szCs w:val="18"/>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Life</w:t>
            </w:r>
          </w:p>
        </w:tc>
        <w:tc>
          <w:tcPr>
            <w:tcW w:w="180" w:type="dxa"/>
            <w:vAlign w:val="bottom"/>
          </w:tcPr>
          <w:p>
            <w:pPr>
              <w:spacing w:after="0"/>
              <w:rPr>
                <w:sz w:val="18"/>
                <w:szCs w:val="18"/>
                <w:color w:val="auto"/>
              </w:rPr>
            </w:pPr>
          </w:p>
        </w:tc>
        <w:tc>
          <w:tcPr>
            <w:tcW w:w="9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7"/>
              </w:rPr>
              <w:t>Personal</w:t>
            </w: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30"/>
        </w:trPr>
        <w:tc>
          <w:tcPr>
            <w:tcW w:w="2560" w:type="dxa"/>
            <w:vAlign w:val="bottom"/>
            <w:tcBorders>
              <w:left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color w:val="auto"/>
              </w:rPr>
              <w:t>Name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3"/>
              </w:rPr>
              <w:t>Match</w:t>
            </w:r>
          </w:p>
        </w:tc>
        <w:tc>
          <w:tcPr>
            <w:tcW w:w="114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Contribution</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SERP</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85"/>
              </w:rPr>
              <w:t>Insurance</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Benefits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r>
      <w:tr>
        <w:trPr>
          <w:trHeight w:val="210"/>
        </w:trPr>
        <w:tc>
          <w:tcPr>
            <w:tcW w:w="25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J.H. Batten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6,681</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14,575</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15,608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95,404</w:t>
            </w:r>
          </w:p>
        </w:tc>
      </w:tr>
      <w:tr>
        <w:trPr>
          <w:trHeight w:val="210"/>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J.S. Knutson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8,086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24,770</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32,856</w:t>
            </w:r>
          </w:p>
        </w:tc>
      </w:tr>
      <w:tr>
        <w:trPr>
          <w:trHeight w:val="210"/>
        </w:trPr>
        <w:tc>
          <w:tcPr>
            <w:tcW w:w="25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M.F. Moore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26,666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39,759</w:t>
            </w:r>
          </w:p>
        </w:tc>
      </w:tr>
      <w:tr>
        <w:trPr>
          <w:trHeight w:val="210"/>
        </w:trPr>
        <w:tc>
          <w:tcPr>
            <w:tcW w:w="2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D.J. Bratel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7,188</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17,225</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9,163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26,660</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60,236</w:t>
            </w:r>
          </w:p>
        </w:tc>
      </w:tr>
      <w:tr>
        <w:trPr>
          <w:trHeight w:val="208"/>
        </w:trPr>
        <w:tc>
          <w:tcPr>
            <w:tcW w:w="25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D.L.Wilcox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6,146</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14,575</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48,650</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-584835</wp:posOffset>
            </wp:positionV>
            <wp:extent cx="578040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80405" cy="146050"/>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-292735</wp:posOffset>
            </wp:positionV>
            <wp:extent cx="578040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0405" cy="146050"/>
                    </a:xfrm>
                    <a:prstGeom prst="rect">
                      <a:avLst/>
                    </a:prstGeom>
                    <a:noFill/>
                  </pic:spPr>
                </pic:pic>
              </a:graphicData>
            </a:graphic>
          </wp:anchor>
        </w:drawing>
      </w:r>
    </w:p>
    <w:p>
      <w:pPr>
        <w:spacing w:after="0" w:line="395" w:lineRule="exact"/>
        <w:rPr>
          <w:sz w:val="20"/>
          <w:szCs w:val="20"/>
          <w:color w:val="auto"/>
        </w:rPr>
      </w:pPr>
    </w:p>
    <w:p>
      <w:pPr>
        <w:ind w:left="332" w:right="360"/>
        <w:spacing w:after="0" w:line="277" w:lineRule="auto"/>
        <w:rPr>
          <w:sz w:val="20"/>
          <w:szCs w:val="20"/>
          <w:color w:val="auto"/>
        </w:rPr>
      </w:pPr>
      <w:r>
        <w:rPr>
          <w:rFonts w:ascii="Arial" w:cs="Arial" w:eastAsia="Arial" w:hAnsi="Arial"/>
          <w:sz w:val="18"/>
          <w:szCs w:val="18"/>
          <w:color w:val="auto"/>
        </w:rPr>
        <w:t>The Corporation’s Supplemental Executive Retirement Plan (“SERP”) was restated during FY2011 to provide a defined contribution formula for the benefits of Messrs. J. Batten, Bratel and Ms. Wilcox. Mr. Knutson and Mr. Moore do not participate in the SERP.</w:t>
      </w:r>
    </w:p>
    <w:p>
      <w:pPr>
        <w:spacing w:after="0" w:line="170" w:lineRule="exact"/>
        <w:rPr>
          <w:sz w:val="20"/>
          <w:szCs w:val="20"/>
          <w:color w:val="auto"/>
        </w:rPr>
      </w:pPr>
    </w:p>
    <w:p>
      <w:pPr>
        <w:ind w:left="332" w:right="480"/>
        <w:spacing w:after="0" w:line="277" w:lineRule="auto"/>
        <w:rPr>
          <w:sz w:val="20"/>
          <w:szCs w:val="20"/>
          <w:color w:val="auto"/>
        </w:rPr>
      </w:pPr>
      <w:r>
        <w:rPr>
          <w:rFonts w:ascii="Arial" w:cs="Arial" w:eastAsia="Arial" w:hAnsi="Arial"/>
          <w:sz w:val="18"/>
          <w:szCs w:val="18"/>
          <w:color w:val="auto"/>
        </w:rPr>
        <w:t>Messrs. Batten, Knutson, Bratel and Ms. Wilcox participate in an endorsement split-dollar life insurance plan. Mr. Moore participates in a term life insurance plan.</w:t>
      </w:r>
    </w:p>
    <w:p>
      <w:pPr>
        <w:spacing w:after="0" w:line="170" w:lineRule="exact"/>
        <w:rPr>
          <w:sz w:val="20"/>
          <w:szCs w:val="20"/>
          <w:color w:val="auto"/>
        </w:rPr>
      </w:pPr>
    </w:p>
    <w:p>
      <w:pPr>
        <w:ind w:left="332"/>
        <w:spacing w:after="0" w:line="302" w:lineRule="auto"/>
        <w:rPr>
          <w:sz w:val="20"/>
          <w:szCs w:val="20"/>
          <w:color w:val="auto"/>
        </w:rPr>
      </w:pPr>
      <w:r>
        <w:rPr>
          <w:rFonts w:ascii="Arial" w:cs="Arial" w:eastAsia="Arial" w:hAnsi="Arial"/>
          <w:sz w:val="16"/>
          <w:szCs w:val="16"/>
          <w:color w:val="auto"/>
        </w:rPr>
        <w:t>Perquisites and Personal Benefits for Mr. J. Batten for FY2016 include personal use of company plane, dues, and premiums paid for supplemental long-term disability insurance. Perquisites and Personal Benefits for Mr. Moore consist of temporary housing relocation benefits and premiums paid for supplemental long-term disability insurance. The aggregate total of perquisites and personal benefits for each of the remaining Named Executive Officers was less than $10,000 for FY2016, and therefore need not be disclosed or included in such Named Executive Officers’ “Other Compensation” total.</w:t>
      </w:r>
    </w:p>
    <w:p>
      <w:pPr>
        <w:spacing w:after="0" w:line="3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60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incentive awards granted to our Named Executive Officers during FY2016.</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80" w:type="dxa"/>
            <w:vAlign w:val="bottom"/>
            <w:tcBorders>
              <w:top w:val="single" w:sz="8" w:color="auto"/>
              <w:left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2540" w:type="dxa"/>
            <w:vAlign w:val="bottom"/>
            <w:tcBorders>
              <w:top w:val="single" w:sz="8" w:color="auto"/>
              <w:right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0"/>
              </w:rPr>
              <w:t>Estimated Future Cash</w:t>
            </w:r>
          </w:p>
        </w:tc>
        <w:tc>
          <w:tcPr>
            <w:tcW w:w="268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Estimated Future Share or Unit</w:t>
            </w:r>
          </w:p>
        </w:tc>
        <w:tc>
          <w:tcPr>
            <w:tcW w:w="104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1"/>
              </w:rPr>
              <w:t>Incentive Payouts Under Non-</w:t>
            </w:r>
          </w:p>
        </w:tc>
        <w:tc>
          <w:tcPr>
            <w:tcW w:w="2680" w:type="dxa"/>
            <w:vAlign w:val="bottom"/>
            <w:tcBorders>
              <w:right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Payouts Under Equity Incentive</w:t>
            </w:r>
          </w:p>
        </w:tc>
        <w:tc>
          <w:tcPr>
            <w:tcW w:w="10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91"/>
              </w:rPr>
              <w:t>Equity Incentive Plan Awards</w:t>
            </w:r>
          </w:p>
        </w:tc>
        <w:tc>
          <w:tcPr>
            <w:tcW w:w="8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Plan Awards</w:t>
            </w:r>
          </w:p>
        </w:tc>
        <w:tc>
          <w:tcPr>
            <w:tcW w:w="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78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All other</w:t>
            </w:r>
          </w:p>
        </w:tc>
        <w:tc>
          <w:tcPr>
            <w:tcW w:w="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All other</w:t>
            </w: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right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88"/>
              </w:rPr>
              <w:t>Grant</w:t>
            </w:r>
          </w:p>
        </w:tc>
        <w:tc>
          <w:tcPr>
            <w:tcW w:w="40" w:type="dxa"/>
            <w:vAlign w:val="bottom"/>
          </w:tcPr>
          <w:p>
            <w:pPr>
              <w:spacing w:after="0"/>
              <w:rPr>
                <w:sz w:val="16"/>
                <w:szCs w:val="16"/>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option</w:t>
            </w:r>
          </w:p>
        </w:tc>
        <w:tc>
          <w:tcPr>
            <w:tcW w:w="8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Date Fair</w:t>
            </w:r>
          </w:p>
        </w:tc>
        <w:tc>
          <w:tcPr>
            <w:tcW w:w="40" w:type="dxa"/>
            <w:vAlign w:val="bottom"/>
          </w:tcPr>
          <w:p>
            <w:pPr>
              <w:spacing w:after="0"/>
              <w:rPr>
                <w:sz w:val="18"/>
                <w:szCs w:val="18"/>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awards;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awards;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Exercise or</w:t>
            </w:r>
          </w:p>
        </w:tc>
        <w:tc>
          <w:tcPr>
            <w:tcW w:w="200" w:type="dxa"/>
            <w:vAlign w:val="bottom"/>
          </w:tcPr>
          <w:p>
            <w:pPr>
              <w:spacing w:after="0"/>
              <w:rPr>
                <w:sz w:val="18"/>
                <w:szCs w:val="18"/>
                <w:color w:val="auto"/>
              </w:rPr>
            </w:pPr>
          </w:p>
        </w:tc>
        <w:tc>
          <w:tcPr>
            <w:tcW w:w="76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Value of</w:t>
            </w:r>
          </w:p>
        </w:tc>
        <w:tc>
          <w:tcPr>
            <w:tcW w:w="40" w:type="dxa"/>
            <w:vAlign w:val="bottom"/>
          </w:tcPr>
          <w:p>
            <w:pPr>
              <w:spacing w:after="0"/>
              <w:rPr>
                <w:sz w:val="18"/>
                <w:szCs w:val="18"/>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base price</w:t>
            </w:r>
          </w:p>
        </w:tc>
        <w:tc>
          <w:tcPr>
            <w:tcW w:w="9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Stock and</w:t>
            </w:r>
          </w:p>
        </w:tc>
        <w:tc>
          <w:tcPr>
            <w:tcW w:w="40" w:type="dxa"/>
            <w:vAlign w:val="bottom"/>
          </w:tcPr>
          <w:p>
            <w:pPr>
              <w:spacing w:after="0"/>
              <w:rPr>
                <w:sz w:val="18"/>
                <w:szCs w:val="18"/>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shares of</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securities</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of option</w:t>
            </w:r>
          </w:p>
        </w:tc>
        <w:tc>
          <w:tcPr>
            <w:tcW w:w="200" w:type="dxa"/>
            <w:vAlign w:val="bottom"/>
          </w:tcPr>
          <w:p>
            <w:pPr>
              <w:spacing w:after="0"/>
              <w:rPr>
                <w:sz w:val="18"/>
                <w:szCs w:val="18"/>
                <w:color w:val="auto"/>
              </w:rPr>
            </w:pPr>
          </w:p>
        </w:tc>
        <w:tc>
          <w:tcPr>
            <w:tcW w:w="7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Option</w:t>
            </w:r>
          </w:p>
        </w:tc>
        <w:tc>
          <w:tcPr>
            <w:tcW w:w="40" w:type="dxa"/>
            <w:vAlign w:val="bottom"/>
          </w:tcPr>
          <w:p>
            <w:pPr>
              <w:spacing w:after="0"/>
              <w:rPr>
                <w:sz w:val="18"/>
                <w:szCs w:val="18"/>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Grant</w:t>
            </w:r>
          </w:p>
        </w:tc>
        <w:tc>
          <w:tcPr>
            <w:tcW w:w="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w w:val="87"/>
              </w:rPr>
              <w:t>Threshold</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Maximum</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Threshold</w:t>
            </w:r>
          </w:p>
        </w:tc>
        <w:tc>
          <w:tcPr>
            <w:tcW w:w="1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80" w:type="dxa"/>
            <w:vAlign w:val="bottom"/>
          </w:tcPr>
          <w:p>
            <w:pPr>
              <w:spacing w:after="0"/>
              <w:rPr>
                <w:sz w:val="18"/>
                <w:szCs w:val="18"/>
                <w:color w:val="auto"/>
              </w:rPr>
            </w:pPr>
          </w:p>
        </w:tc>
        <w:tc>
          <w:tcPr>
            <w:tcW w:w="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4"/>
              </w:rPr>
              <w:t>Maximum</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or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underlying</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awards</w:t>
            </w:r>
          </w:p>
        </w:tc>
        <w:tc>
          <w:tcPr>
            <w:tcW w:w="200" w:type="dxa"/>
            <w:vAlign w:val="bottom"/>
          </w:tcPr>
          <w:p>
            <w:pPr>
              <w:spacing w:after="0"/>
              <w:rPr>
                <w:sz w:val="18"/>
                <w:szCs w:val="18"/>
                <w:color w:val="auto"/>
              </w:rPr>
            </w:pPr>
          </w:p>
        </w:tc>
        <w:tc>
          <w:tcPr>
            <w:tcW w:w="76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3"/>
              </w:rPr>
              <w:t>Awards</w:t>
            </w:r>
          </w:p>
        </w:tc>
        <w:tc>
          <w:tcPr>
            <w:tcW w:w="40" w:type="dxa"/>
            <w:vAlign w:val="bottom"/>
          </w:tcPr>
          <w:p>
            <w:pPr>
              <w:spacing w:after="0"/>
              <w:rPr>
                <w:sz w:val="18"/>
                <w:szCs w:val="18"/>
                <w:color w:val="auto"/>
              </w:rPr>
            </w:pPr>
          </w:p>
        </w:tc>
      </w:tr>
      <w:tr>
        <w:trPr>
          <w:trHeight w:val="230"/>
        </w:trPr>
        <w:tc>
          <w:tcPr>
            <w:tcW w:w="178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Name</w:t>
            </w:r>
          </w:p>
        </w:tc>
        <w:tc>
          <w:tcPr>
            <w:tcW w:w="6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Date</w:t>
            </w:r>
          </w:p>
        </w:tc>
        <w:tc>
          <w:tcPr>
            <w:tcW w:w="8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units (2)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options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($/Sh)</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(3)</w:t>
            </w:r>
          </w:p>
        </w:tc>
        <w:tc>
          <w:tcPr>
            <w:tcW w:w="40" w:type="dxa"/>
            <w:vAlign w:val="bottom"/>
          </w:tcPr>
          <w:p>
            <w:pPr>
              <w:spacing w:after="0"/>
              <w:rPr>
                <w:sz w:val="20"/>
                <w:szCs w:val="20"/>
                <w:color w:val="auto"/>
              </w:rPr>
            </w:pPr>
          </w:p>
        </w:tc>
      </w:tr>
      <w:tr>
        <w:trPr>
          <w:trHeight w:val="210"/>
        </w:trPr>
        <w:tc>
          <w:tcPr>
            <w:tcW w:w="1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 H. Batten</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Cash Incentive</w:t>
            </w: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1780" w:type="dxa"/>
            <w:vAlign w:val="bottom"/>
            <w:tcBorders>
              <w:left w:val="single" w:sz="8" w:color="auto"/>
              <w:right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Performance Stock</w:t>
            </w:r>
          </w:p>
        </w:tc>
        <w:tc>
          <w:tcPr>
            <w:tcW w:w="68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Awards (1)</w:t>
            </w:r>
          </w:p>
        </w:tc>
        <w:tc>
          <w:tcPr>
            <w:tcW w:w="6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20,519</w:t>
            </w: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30,779</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165,186</w:t>
            </w:r>
          </w:p>
        </w:tc>
        <w:tc>
          <w:tcPr>
            <w:tcW w:w="40" w:type="dxa"/>
            <w:vAlign w:val="bottom"/>
          </w:tcPr>
          <w:p>
            <w:pPr>
              <w:spacing w:after="0"/>
              <w:rPr>
                <w:sz w:val="20"/>
                <w:szCs w:val="20"/>
                <w:color w:val="auto"/>
              </w:rPr>
            </w:pPr>
          </w:p>
        </w:tc>
      </w:tr>
      <w:tr>
        <w:trPr>
          <w:trHeight w:val="195"/>
        </w:trPr>
        <w:tc>
          <w:tcPr>
            <w:tcW w:w="1780" w:type="dxa"/>
            <w:vAlign w:val="bottom"/>
            <w:tcBorders>
              <w:left w:val="single" w:sz="8" w:color="auto"/>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Restricted Stock</w:t>
            </w: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Award</w:t>
            </w:r>
          </w:p>
        </w:tc>
        <w:tc>
          <w:tcPr>
            <w:tcW w:w="6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20,519</w:t>
            </w:r>
          </w:p>
        </w:tc>
        <w:tc>
          <w:tcPr>
            <w:tcW w:w="9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330,356</w:t>
            </w:r>
          </w:p>
        </w:tc>
        <w:tc>
          <w:tcPr>
            <w:tcW w:w="40" w:type="dxa"/>
            <w:vAlign w:val="bottom"/>
          </w:tcPr>
          <w:p>
            <w:pPr>
              <w:spacing w:after="0"/>
              <w:rPr>
                <w:sz w:val="20"/>
                <w:szCs w:val="20"/>
                <w:color w:val="auto"/>
              </w:rPr>
            </w:pPr>
          </w:p>
        </w:tc>
      </w:tr>
      <w:tr>
        <w:trPr>
          <w:trHeight w:val="210"/>
        </w:trPr>
        <w:tc>
          <w:tcPr>
            <w:tcW w:w="1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J.S. Knutson</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Cash Incentive</w:t>
            </w: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1780" w:type="dxa"/>
            <w:vAlign w:val="bottom"/>
            <w:tcBorders>
              <w:left w:val="single" w:sz="8" w:color="auto"/>
              <w:right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Performance Stock</w:t>
            </w:r>
          </w:p>
        </w:tc>
        <w:tc>
          <w:tcPr>
            <w:tcW w:w="68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Awards (1)</w:t>
            </w:r>
          </w:p>
        </w:tc>
        <w:tc>
          <w:tcPr>
            <w:tcW w:w="6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8,648</w:t>
            </w: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12,972</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69,616</w:t>
            </w:r>
          </w:p>
        </w:tc>
        <w:tc>
          <w:tcPr>
            <w:tcW w:w="40" w:type="dxa"/>
            <w:vAlign w:val="bottom"/>
          </w:tcPr>
          <w:p>
            <w:pPr>
              <w:spacing w:after="0"/>
              <w:rPr>
                <w:sz w:val="20"/>
                <w:szCs w:val="20"/>
                <w:color w:val="auto"/>
              </w:rPr>
            </w:pPr>
          </w:p>
        </w:tc>
      </w:tr>
      <w:tr>
        <w:trPr>
          <w:trHeight w:val="195"/>
        </w:trPr>
        <w:tc>
          <w:tcPr>
            <w:tcW w:w="1780" w:type="dxa"/>
            <w:vAlign w:val="bottom"/>
            <w:tcBorders>
              <w:left w:val="single" w:sz="8" w:color="auto"/>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Restricted Stock</w:t>
            </w: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Award</w:t>
            </w:r>
          </w:p>
        </w:tc>
        <w:tc>
          <w:tcPr>
            <w:tcW w:w="6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8,648</w:t>
            </w:r>
          </w:p>
        </w:tc>
        <w:tc>
          <w:tcPr>
            <w:tcW w:w="9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139,233</w:t>
            </w:r>
          </w:p>
        </w:tc>
        <w:tc>
          <w:tcPr>
            <w:tcW w:w="40" w:type="dxa"/>
            <w:vAlign w:val="bottom"/>
          </w:tcPr>
          <w:p>
            <w:pPr>
              <w:spacing w:after="0"/>
              <w:rPr>
                <w:sz w:val="20"/>
                <w:szCs w:val="20"/>
                <w:color w:val="auto"/>
              </w:rPr>
            </w:pPr>
          </w:p>
        </w:tc>
      </w:tr>
      <w:tr>
        <w:trPr>
          <w:trHeight w:val="210"/>
        </w:trPr>
        <w:tc>
          <w:tcPr>
            <w:tcW w:w="1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M.F. Moore</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Cash Incentive</w:t>
            </w: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1780" w:type="dxa"/>
            <w:vAlign w:val="bottom"/>
            <w:tcBorders>
              <w:left w:val="single" w:sz="8" w:color="auto"/>
              <w:right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Performance Stock</w:t>
            </w:r>
          </w:p>
        </w:tc>
        <w:tc>
          <w:tcPr>
            <w:tcW w:w="68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Awards (1)</w:t>
            </w:r>
          </w:p>
        </w:tc>
        <w:tc>
          <w:tcPr>
            <w:tcW w:w="6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11,164</w:t>
            </w: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16,746</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89,870</w:t>
            </w:r>
          </w:p>
        </w:tc>
        <w:tc>
          <w:tcPr>
            <w:tcW w:w="40" w:type="dxa"/>
            <w:vAlign w:val="bottom"/>
          </w:tcPr>
          <w:p>
            <w:pPr>
              <w:spacing w:after="0"/>
              <w:rPr>
                <w:sz w:val="20"/>
                <w:szCs w:val="20"/>
                <w:color w:val="auto"/>
              </w:rPr>
            </w:pPr>
          </w:p>
        </w:tc>
      </w:tr>
      <w:tr>
        <w:trPr>
          <w:trHeight w:val="195"/>
        </w:trPr>
        <w:tc>
          <w:tcPr>
            <w:tcW w:w="1780" w:type="dxa"/>
            <w:vAlign w:val="bottom"/>
            <w:tcBorders>
              <w:left w:val="single" w:sz="8" w:color="auto"/>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Restricted Stock</w:t>
            </w: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Award</w:t>
            </w:r>
          </w:p>
        </w:tc>
        <w:tc>
          <w:tcPr>
            <w:tcW w:w="6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11,164</w:t>
            </w:r>
          </w:p>
        </w:tc>
        <w:tc>
          <w:tcPr>
            <w:tcW w:w="9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179,540</w:t>
            </w:r>
          </w:p>
        </w:tc>
        <w:tc>
          <w:tcPr>
            <w:tcW w:w="40" w:type="dxa"/>
            <w:vAlign w:val="bottom"/>
          </w:tcPr>
          <w:p>
            <w:pPr>
              <w:spacing w:after="0"/>
              <w:rPr>
                <w:sz w:val="20"/>
                <w:szCs w:val="20"/>
                <w:color w:val="auto"/>
              </w:rPr>
            </w:pPr>
          </w:p>
        </w:tc>
      </w:tr>
      <w:tr>
        <w:trPr>
          <w:trHeight w:val="210"/>
        </w:trPr>
        <w:tc>
          <w:tcPr>
            <w:tcW w:w="1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D.J. Bratel</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Cash Incentive</w:t>
            </w: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1780" w:type="dxa"/>
            <w:vAlign w:val="bottom"/>
            <w:tcBorders>
              <w:left w:val="single" w:sz="8" w:color="auto"/>
              <w:right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Performance Stock</w:t>
            </w:r>
          </w:p>
        </w:tc>
        <w:tc>
          <w:tcPr>
            <w:tcW w:w="68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Awards (1)</w:t>
            </w:r>
          </w:p>
        </w:tc>
        <w:tc>
          <w:tcPr>
            <w:tcW w:w="6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7,862</w:t>
            </w: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11,793</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63,289</w:t>
            </w:r>
          </w:p>
        </w:tc>
        <w:tc>
          <w:tcPr>
            <w:tcW w:w="40" w:type="dxa"/>
            <w:vAlign w:val="bottom"/>
          </w:tcPr>
          <w:p>
            <w:pPr>
              <w:spacing w:after="0"/>
              <w:rPr>
                <w:sz w:val="20"/>
                <w:szCs w:val="20"/>
                <w:color w:val="auto"/>
              </w:rPr>
            </w:pPr>
          </w:p>
        </w:tc>
      </w:tr>
      <w:tr>
        <w:trPr>
          <w:trHeight w:val="195"/>
        </w:trPr>
        <w:tc>
          <w:tcPr>
            <w:tcW w:w="1780" w:type="dxa"/>
            <w:vAlign w:val="bottom"/>
            <w:tcBorders>
              <w:left w:val="single" w:sz="8" w:color="auto"/>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Restricted Stock</w:t>
            </w: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Award</w:t>
            </w:r>
          </w:p>
        </w:tc>
        <w:tc>
          <w:tcPr>
            <w:tcW w:w="6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7,862</w:t>
            </w:r>
          </w:p>
        </w:tc>
        <w:tc>
          <w:tcPr>
            <w:tcW w:w="9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126,578</w:t>
            </w:r>
          </w:p>
        </w:tc>
        <w:tc>
          <w:tcPr>
            <w:tcW w:w="40" w:type="dxa"/>
            <w:vAlign w:val="bottom"/>
          </w:tcPr>
          <w:p>
            <w:pPr>
              <w:spacing w:after="0"/>
              <w:rPr>
                <w:sz w:val="20"/>
                <w:szCs w:val="20"/>
                <w:color w:val="auto"/>
              </w:rPr>
            </w:pPr>
          </w:p>
        </w:tc>
      </w:tr>
      <w:tr>
        <w:trPr>
          <w:trHeight w:val="210"/>
        </w:trPr>
        <w:tc>
          <w:tcPr>
            <w:tcW w:w="1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D.L. Wilcox</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Cash Incentive</w:t>
            </w: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1780" w:type="dxa"/>
            <w:vAlign w:val="bottom"/>
            <w:tcBorders>
              <w:left w:val="single" w:sz="8" w:color="auto"/>
              <w:right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Performance Stock</w:t>
            </w:r>
          </w:p>
        </w:tc>
        <w:tc>
          <w:tcPr>
            <w:tcW w:w="68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80" w:type="dxa"/>
            <w:vAlign w:val="bottom"/>
            <w:tcBorders>
              <w:left w:val="single" w:sz="8" w:color="auto"/>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Awards (1)</w:t>
            </w:r>
          </w:p>
        </w:tc>
        <w:tc>
          <w:tcPr>
            <w:tcW w:w="6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5,032</w:t>
            </w: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7,548</w:t>
            </w:r>
          </w:p>
        </w:tc>
        <w:tc>
          <w:tcPr>
            <w:tcW w:w="104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40,508</w:t>
            </w:r>
          </w:p>
        </w:tc>
        <w:tc>
          <w:tcPr>
            <w:tcW w:w="40" w:type="dxa"/>
            <w:vAlign w:val="bottom"/>
          </w:tcPr>
          <w:p>
            <w:pPr>
              <w:spacing w:after="0"/>
              <w:rPr>
                <w:sz w:val="20"/>
                <w:szCs w:val="20"/>
                <w:color w:val="auto"/>
              </w:rPr>
            </w:pPr>
          </w:p>
        </w:tc>
      </w:tr>
      <w:tr>
        <w:trPr>
          <w:trHeight w:val="195"/>
        </w:trPr>
        <w:tc>
          <w:tcPr>
            <w:tcW w:w="1780" w:type="dxa"/>
            <w:vAlign w:val="bottom"/>
            <w:tcBorders>
              <w:left w:val="single" w:sz="8" w:color="auto"/>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Restricted Stock</w:t>
            </w:r>
          </w:p>
        </w:tc>
        <w:tc>
          <w:tcPr>
            <w:tcW w:w="6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7"/>
        </w:trPr>
        <w:tc>
          <w:tcPr>
            <w:tcW w:w="178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Award</w:t>
            </w:r>
          </w:p>
        </w:tc>
        <w:tc>
          <w:tcPr>
            <w:tcW w:w="6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7/31/15</w:t>
            </w:r>
          </w:p>
        </w:tc>
        <w:tc>
          <w:tcPr>
            <w:tcW w:w="8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5,032</w:t>
            </w:r>
          </w:p>
        </w:tc>
        <w:tc>
          <w:tcPr>
            <w:tcW w:w="90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81,015</w:t>
            </w:r>
          </w:p>
        </w:tc>
        <w:tc>
          <w:tcPr>
            <w:tcW w:w="40" w:type="dxa"/>
            <w:vAlign w:val="bottom"/>
          </w:tcPr>
          <w:p>
            <w:pPr>
              <w:spacing w:after="0"/>
              <w:rPr>
                <w:sz w:val="19"/>
                <w:szCs w:val="19"/>
                <w:color w:val="auto"/>
              </w:rPr>
            </w:pPr>
          </w:p>
        </w:tc>
      </w:tr>
      <w:tr>
        <w:trPr>
          <w:trHeight w:val="672"/>
        </w:trPr>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1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780" w:type="dxa"/>
            <w:vAlign w:val="bottom"/>
            <w:tcBorders>
              <w:left w:val="single" w:sz="8" w:color="808080"/>
              <w:right w:val="single" w:sz="8" w:color="808080"/>
            </w:tcBorders>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-4675505</wp:posOffset>
            </wp:positionV>
            <wp:extent cx="722947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-4246245</wp:posOffset>
            </wp:positionV>
            <wp:extent cx="7229475"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-3817620</wp:posOffset>
            </wp:positionV>
            <wp:extent cx="722947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-3388995</wp:posOffset>
            </wp:positionV>
            <wp:extent cx="7229475"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-2960370</wp:posOffset>
            </wp:positionV>
            <wp:extent cx="722947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-2531110</wp:posOffset>
            </wp:positionV>
            <wp:extent cx="7229475" cy="28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-2102485</wp:posOffset>
            </wp:positionV>
            <wp:extent cx="722947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-1673860</wp:posOffset>
            </wp:positionV>
            <wp:extent cx="7229475" cy="283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-1245235</wp:posOffset>
            </wp:positionV>
            <wp:extent cx="722947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-815975</wp:posOffset>
            </wp:positionV>
            <wp:extent cx="7229475"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35" w:name="page36"/>
    <w:bookmarkEnd w:id="35"/>
    <w:p>
      <w:pPr>
        <w:ind w:left="328" w:right="240" w:hanging="328"/>
        <w:spacing w:after="0" w:line="258"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stock awards with performance-based vesting criteria, as discussed in the “Long-Term Compensation” section of the Compensation Discussion and Analysis; eligible for vesting in 2018.</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restricted stock with a vesting date of July 31, 2018. This stock will vest if the executive remains employed through the vesting date.</w:t>
      </w:r>
    </w:p>
    <w:p>
      <w:pPr>
        <w:spacing w:after="0" w:line="32" w:lineRule="exact"/>
        <w:rPr>
          <w:rFonts w:ascii="Arial" w:cs="Arial" w:eastAsia="Arial" w:hAnsi="Arial"/>
          <w:sz w:val="16"/>
          <w:szCs w:val="16"/>
          <w:color w:val="auto"/>
        </w:rPr>
      </w:pPr>
    </w:p>
    <w:p>
      <w:pPr>
        <w:ind w:left="328" w:hanging="328"/>
        <w:spacing w:after="0" w:line="255"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grant date fair values are calculated using the closing price of Twin Disc shares on the July 31, 2015 grant date ($16.10). The grant date fair values for the performance stock awards are based on the assumption that the threshold performance objectives for these awards would be met, the most probable outcome as of the grant date.</w:t>
      </w:r>
    </w:p>
    <w:p>
      <w:pPr>
        <w:spacing w:after="0" w:line="200" w:lineRule="exact"/>
        <w:rPr>
          <w:sz w:val="20"/>
          <w:szCs w:val="20"/>
          <w:color w:val="auto"/>
        </w:rPr>
      </w:pPr>
    </w:p>
    <w:p>
      <w:pPr>
        <w:spacing w:after="0" w:line="233" w:lineRule="exact"/>
        <w:rPr>
          <w:sz w:val="20"/>
          <w:szCs w:val="20"/>
          <w:color w:val="auto"/>
        </w:rPr>
      </w:pPr>
    </w:p>
    <w:p>
      <w:pPr>
        <w:jc w:val="center"/>
        <w:ind w:right="11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88"/>
          </w:cols>
          <w:pgMar w:left="572" w:top="800"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 summarizes the number of shares covered by exercisable and unexercisable options, as well as the number of restricted stock, performance stock and performance stock unit awards held by our Named Executive Officers on June 30, 2016.</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06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Option Awards</w:t>
            </w:r>
          </w:p>
        </w:tc>
        <w:tc>
          <w:tcPr>
            <w:tcW w:w="10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right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Stock Awards</w:t>
            </w: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right w:val="single" w:sz="8" w:color="auto"/>
            </w:tcBorders>
          </w:tcPr>
          <w:p>
            <w:pPr>
              <w:spacing w:after="0"/>
              <w:rPr>
                <w:sz w:val="20"/>
                <w:szCs w:val="20"/>
                <w:color w:val="auto"/>
              </w:rPr>
            </w:pPr>
          </w:p>
        </w:tc>
      </w:tr>
      <w:tr>
        <w:trPr>
          <w:trHeight w:val="195"/>
        </w:trPr>
        <w:tc>
          <w:tcPr>
            <w:tcW w:w="106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Equity</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Incentive</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Incentive</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Awards:</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Market or</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Awards:</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Payout</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Incentive Plan</w:t>
            </w: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Market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Value of</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2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Value of</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Unearned</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Unearned</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5"/>
              </w:rPr>
              <w:t>Number of</w:t>
            </w: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Shares or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Shares,</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Shares,</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Underlying</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1"/>
              </w:rPr>
              <w:t>Securities</w:t>
            </w: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Shares or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Units of</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Units or</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Units or</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Unexercised</w:t>
            </w: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Underlying</w:t>
            </w:r>
          </w:p>
        </w:tc>
        <w:tc>
          <w:tcPr>
            <w:tcW w:w="10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Units of</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Other Rights</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Other Rights</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Options</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Unexercised</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 That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That Have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That Have</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That Have</w:t>
            </w:r>
          </w:p>
        </w:tc>
      </w:tr>
      <w:tr>
        <w:trPr>
          <w:trHeight w:val="216"/>
        </w:trPr>
        <w:tc>
          <w:tcPr>
            <w:tcW w:w="106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0"/>
              </w:rPr>
              <w:t>Options</w:t>
            </w:r>
          </w:p>
        </w:tc>
        <w:tc>
          <w:tcPr>
            <w:tcW w:w="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Unearned</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Exercise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Have Not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Not Vested</w:t>
            </w:r>
          </w:p>
        </w:tc>
        <w:tc>
          <w:tcPr>
            <w:tcW w:w="12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Not Vested</w:t>
            </w:r>
          </w:p>
        </w:tc>
      </w:tr>
      <w:tr>
        <w:trPr>
          <w:trHeight w:val="230"/>
        </w:trPr>
        <w:tc>
          <w:tcPr>
            <w:tcW w:w="106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Name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2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Unexercisable</w:t>
            </w:r>
          </w:p>
        </w:tc>
        <w:tc>
          <w:tcPr>
            <w:tcW w:w="1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Options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r>
      <w:tr>
        <w:trPr>
          <w:trHeight w:val="210"/>
        </w:trPr>
        <w:tc>
          <w:tcPr>
            <w:tcW w:w="10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J.H. Batten</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569,360</w:t>
            </w:r>
          </w:p>
        </w:tc>
      </w:tr>
      <w:tr>
        <w:trPr>
          <w:trHeight w:val="195"/>
        </w:trPr>
        <w:tc>
          <w:tcPr>
            <w:tcW w:w="10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J.S.</w:t>
            </w:r>
          </w:p>
        </w:tc>
        <w:tc>
          <w:tcPr>
            <w:tcW w:w="126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22,618</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242,917</w:t>
            </w:r>
          </w:p>
        </w:tc>
      </w:tr>
      <w:tr>
        <w:trPr>
          <w:trHeight w:val="230"/>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Knutson</w:t>
            </w:r>
          </w:p>
        </w:tc>
        <w:tc>
          <w:tcPr>
            <w:tcW w:w="1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r>
      <w:tr>
        <w:trPr>
          <w:trHeight w:val="210"/>
        </w:trPr>
        <w:tc>
          <w:tcPr>
            <w:tcW w:w="10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M.F. Moore</w:t>
            </w: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179,852</w:t>
            </w:r>
          </w:p>
        </w:tc>
      </w:tr>
      <w:tr>
        <w:trPr>
          <w:trHeight w:val="210"/>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M.F. Moore</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1,200</w:t>
            </w: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18.0050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10/20/2016</w:t>
            </w:r>
          </w:p>
        </w:tc>
        <w:tc>
          <w:tcPr>
            <w:tcW w:w="10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10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M.F. Moore</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1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27.5450</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10/19/2017</w:t>
            </w: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M.F. Moore</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1,200</w:t>
            </w: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10.0100</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6/30/2018</w:t>
            </w:r>
          </w:p>
        </w:tc>
        <w:tc>
          <w:tcPr>
            <w:tcW w:w="10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r>
      <w:tr>
        <w:trPr>
          <w:trHeight w:val="210"/>
        </w:trPr>
        <w:tc>
          <w:tcPr>
            <w:tcW w:w="10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M.F. Moore</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1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13.6100</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6/30/2018</w:t>
            </w: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D.J. Bratel</w:t>
            </w:r>
          </w:p>
        </w:tc>
        <w:tc>
          <w:tcPr>
            <w:tcW w:w="12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20,958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225,089</w:t>
            </w:r>
          </w:p>
        </w:tc>
      </w:tr>
      <w:tr>
        <w:trPr>
          <w:trHeight w:val="264"/>
        </w:trPr>
        <w:tc>
          <w:tcPr>
            <w:tcW w:w="106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D.L.</w:t>
            </w:r>
          </w:p>
        </w:tc>
        <w:tc>
          <w:tcPr>
            <w:tcW w:w="1260" w:type="dxa"/>
            <w:vAlign w:val="bottom"/>
            <w:tcBorders>
              <w:right w:val="single" w:sz="8" w:color="auto"/>
            </w:tcBorders>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260" w:type="dxa"/>
            <w:vAlign w:val="bottom"/>
            <w:tcBorders>
              <w:right w:val="single" w:sz="8" w:color="auto"/>
            </w:tcBorders>
            <w:shd w:val="clear" w:color="auto" w:fill="CCEEFF"/>
          </w:tcPr>
          <w:p>
            <w:pPr>
              <w:spacing w:after="0"/>
              <w:rPr>
                <w:sz w:val="22"/>
                <w:szCs w:val="22"/>
                <w:color w:val="auto"/>
              </w:rPr>
            </w:pPr>
          </w:p>
        </w:tc>
        <w:tc>
          <w:tcPr>
            <w:tcW w:w="1040" w:type="dxa"/>
            <w:vAlign w:val="bottom"/>
            <w:tcBorders>
              <w:right w:val="single" w:sz="8" w:color="auto"/>
            </w:tcBorders>
            <w:shd w:val="clear" w:color="auto" w:fill="CCEEFF"/>
          </w:tcPr>
          <w:p>
            <w:pPr>
              <w:spacing w:after="0"/>
              <w:rPr>
                <w:sz w:val="22"/>
                <w:szCs w:val="22"/>
                <w:color w:val="auto"/>
              </w:rPr>
            </w:pPr>
          </w:p>
        </w:tc>
        <w:tc>
          <w:tcPr>
            <w:tcW w:w="1220" w:type="dxa"/>
            <w:vAlign w:val="bottom"/>
            <w:tcBorders>
              <w:right w:val="single" w:sz="8" w:color="auto"/>
            </w:tcBorders>
            <w:shd w:val="clear" w:color="auto" w:fill="CCEEFF"/>
          </w:tcPr>
          <w:p>
            <w:pPr>
              <w:spacing w:after="0"/>
              <w:rPr>
                <w:sz w:val="22"/>
                <w:szCs w:val="22"/>
                <w:color w:val="auto"/>
              </w:rPr>
            </w:pPr>
          </w:p>
        </w:tc>
        <w:tc>
          <w:tcPr>
            <w:tcW w:w="1040" w:type="dxa"/>
            <w:vAlign w:val="bottom"/>
            <w:tcBorders>
              <w:right w:val="single" w:sz="8" w:color="auto"/>
            </w:tcBorders>
            <w:shd w:val="clear" w:color="auto" w:fill="CCEEFF"/>
          </w:tcPr>
          <w:p>
            <w:pPr>
              <w:spacing w:after="0"/>
              <w:rPr>
                <w:sz w:val="22"/>
                <w:szCs w:val="22"/>
                <w:color w:val="auto"/>
              </w:rPr>
            </w:pPr>
          </w:p>
        </w:tc>
        <w:tc>
          <w:tcPr>
            <w:tcW w:w="980" w:type="dxa"/>
            <w:vAlign w:val="bottom"/>
            <w:tcBorders>
              <w:right w:val="single" w:sz="8" w:color="auto"/>
            </w:tcBorders>
            <w:shd w:val="clear" w:color="auto" w:fill="CCEEFF"/>
          </w:tcPr>
          <w:p>
            <w:pPr>
              <w:spacing w:after="0"/>
              <w:rPr>
                <w:sz w:val="22"/>
                <w:szCs w:val="22"/>
                <w:color w:val="auto"/>
              </w:rPr>
            </w:pPr>
          </w:p>
        </w:tc>
        <w:tc>
          <w:tcPr>
            <w:tcW w:w="11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146,902</w:t>
            </w:r>
          </w:p>
        </w:tc>
      </w:tr>
      <w:tr>
        <w:trPr>
          <w:trHeight w:val="160"/>
        </w:trPr>
        <w:tc>
          <w:tcPr>
            <w:tcW w:w="1060" w:type="dxa"/>
            <w:vAlign w:val="bottom"/>
            <w:tcBorders>
              <w:left w:val="single" w:sz="8" w:color="auto"/>
              <w:bottom w:val="single" w:sz="8" w:color="auto"/>
              <w:right w:val="single" w:sz="8" w:color="auto"/>
            </w:tcBorders>
            <w:shd w:val="clear" w:color="auto" w:fill="CCEEFF"/>
          </w:tcPr>
          <w:p>
            <w:pPr>
              <w:ind w:left="80"/>
              <w:spacing w:after="0" w:line="159" w:lineRule="exact"/>
              <w:rPr>
                <w:sz w:val="20"/>
                <w:szCs w:val="20"/>
                <w:color w:val="auto"/>
              </w:rPr>
            </w:pPr>
            <w:r>
              <w:rPr>
                <w:rFonts w:ascii="Arial" w:cs="Arial" w:eastAsia="Arial" w:hAnsi="Arial"/>
                <w:sz w:val="18"/>
                <w:szCs w:val="18"/>
                <w:color w:val="auto"/>
              </w:rPr>
              <w:t>Wilcox</w:t>
            </w:r>
          </w:p>
        </w:tc>
        <w:tc>
          <w:tcPr>
            <w:tcW w:w="1260" w:type="dxa"/>
            <w:vAlign w:val="bottom"/>
            <w:tcBorders>
              <w:bottom w:val="single" w:sz="8" w:color="auto"/>
              <w:right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right w:val="single" w:sz="8" w:color="auto"/>
            </w:tcBorders>
            <w:shd w:val="clear" w:color="auto" w:fill="CCEEFF"/>
          </w:tcPr>
          <w:p>
            <w:pPr>
              <w:spacing w:after="0"/>
              <w:rPr>
                <w:sz w:val="13"/>
                <w:szCs w:val="13"/>
                <w:color w:val="auto"/>
              </w:rPr>
            </w:pPr>
          </w:p>
        </w:tc>
        <w:tc>
          <w:tcPr>
            <w:tcW w:w="1260" w:type="dxa"/>
            <w:vAlign w:val="bottom"/>
            <w:tcBorders>
              <w:bottom w:val="single" w:sz="8" w:color="auto"/>
              <w:right w:val="single" w:sz="8" w:color="auto"/>
            </w:tcBorders>
            <w:shd w:val="clear" w:color="auto" w:fill="CCEEFF"/>
          </w:tcPr>
          <w:p>
            <w:pPr>
              <w:spacing w:after="0"/>
              <w:rPr>
                <w:sz w:val="13"/>
                <w:szCs w:val="13"/>
                <w:color w:val="auto"/>
              </w:rPr>
            </w:pPr>
          </w:p>
        </w:tc>
        <w:tc>
          <w:tcPr>
            <w:tcW w:w="1040" w:type="dxa"/>
            <w:vAlign w:val="bottom"/>
            <w:tcBorders>
              <w:bottom w:val="single" w:sz="8" w:color="auto"/>
              <w:right w:val="single" w:sz="8" w:color="auto"/>
            </w:tcBorders>
            <w:shd w:val="clear" w:color="auto" w:fill="CCEEFF"/>
          </w:tcPr>
          <w:p>
            <w:pPr>
              <w:spacing w:after="0"/>
              <w:rPr>
                <w:sz w:val="13"/>
                <w:szCs w:val="13"/>
                <w:color w:val="auto"/>
              </w:rPr>
            </w:pPr>
          </w:p>
        </w:tc>
        <w:tc>
          <w:tcPr>
            <w:tcW w:w="1220" w:type="dxa"/>
            <w:vAlign w:val="bottom"/>
            <w:tcBorders>
              <w:bottom w:val="single" w:sz="8" w:color="auto"/>
              <w:right w:val="single" w:sz="8" w:color="auto"/>
            </w:tcBorders>
            <w:shd w:val="clear" w:color="auto" w:fill="CCEEFF"/>
          </w:tcPr>
          <w:p>
            <w:pPr>
              <w:spacing w:after="0"/>
              <w:rPr>
                <w:sz w:val="13"/>
                <w:szCs w:val="13"/>
                <w:color w:val="auto"/>
              </w:rPr>
            </w:pPr>
          </w:p>
        </w:tc>
        <w:tc>
          <w:tcPr>
            <w:tcW w:w="1040" w:type="dxa"/>
            <w:vAlign w:val="bottom"/>
            <w:tcBorders>
              <w:bottom w:val="single" w:sz="8" w:color="auto"/>
              <w:right w:val="single" w:sz="8" w:color="auto"/>
            </w:tcBorders>
            <w:shd w:val="clear" w:color="auto" w:fill="CCEEFF"/>
          </w:tcPr>
          <w:p>
            <w:pPr>
              <w:spacing w:after="0"/>
              <w:rPr>
                <w:sz w:val="13"/>
                <w:szCs w:val="13"/>
                <w:color w:val="auto"/>
              </w:rPr>
            </w:pPr>
          </w:p>
        </w:tc>
        <w:tc>
          <w:tcPr>
            <w:tcW w:w="980" w:type="dxa"/>
            <w:vAlign w:val="bottom"/>
            <w:tcBorders>
              <w:bottom w:val="single" w:sz="8" w:color="auto"/>
              <w:right w:val="single" w:sz="8" w:color="auto"/>
            </w:tcBorders>
            <w:shd w:val="clear" w:color="auto" w:fill="CCEEFF"/>
          </w:tcPr>
          <w:p>
            <w:pPr>
              <w:spacing w:after="0"/>
              <w:rPr>
                <w:sz w:val="13"/>
                <w:szCs w:val="13"/>
                <w:color w:val="auto"/>
              </w:rPr>
            </w:pPr>
          </w:p>
        </w:tc>
        <w:tc>
          <w:tcPr>
            <w:tcW w:w="1140" w:type="dxa"/>
            <w:vAlign w:val="bottom"/>
            <w:tcBorders>
              <w:bottom w:val="single" w:sz="8" w:color="auto"/>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right w:val="single" w:sz="8" w:color="auto"/>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-1442085</wp:posOffset>
            </wp:positionV>
            <wp:extent cx="7229475" cy="28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28321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-1013460</wp:posOffset>
            </wp:positionV>
            <wp:extent cx="72294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-721995</wp:posOffset>
            </wp:positionV>
            <wp:extent cx="72294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-430530</wp:posOffset>
            </wp:positionV>
            <wp:extent cx="722947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46050"/>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options listed for Mr. Moore represent awards granted during his tenure as director.</w:t>
      </w:r>
    </w:p>
    <w:p>
      <w:pPr>
        <w:spacing w:after="0" w:line="23" w:lineRule="exact"/>
        <w:rPr>
          <w:rFonts w:ascii="Arial" w:cs="Arial" w:eastAsia="Arial" w:hAnsi="Arial"/>
          <w:sz w:val="18"/>
          <w:szCs w:val="18"/>
          <w:color w:val="auto"/>
        </w:rPr>
      </w:pPr>
    </w:p>
    <w:p>
      <w:pPr>
        <w:ind w:left="340" w:right="20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number of non-vested restricted stock awards, performance stock awards and performance stock unit awards that are scheduled to vest at various times between July 2016 and July 2018. For awards granted in fiscal 2014, only restricted shares are outstanding and are assumed to vest completely. For awards granted in fiscal 2015 and fiscal 2016 with Threshold/Target/Maximum payout levels, the figures presented assume a threshold level of achievement.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Values were calculated using $10.74 per share, the closing price of the Corporation’s common stock as of June 30,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information regarding each exercise of stock options and vesting of restricted stock and performance stock that occurred during FY2016 for each of our Named Executive Officers.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30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3540" w:type="dxa"/>
            <w:vAlign w:val="bottom"/>
            <w:tcBorders>
              <w:top w:val="single" w:sz="8" w:color="auto"/>
              <w:bottom w:val="single" w:sz="8" w:color="auto"/>
              <w:right w:val="single" w:sz="8" w:color="auto"/>
            </w:tcBorders>
            <w:gridSpan w:val="2"/>
          </w:tcPr>
          <w:p>
            <w:pPr>
              <w:ind w:left="1220"/>
              <w:spacing w:after="0"/>
              <w:rPr>
                <w:sz w:val="20"/>
                <w:szCs w:val="20"/>
                <w:color w:val="auto"/>
              </w:rPr>
            </w:pPr>
            <w:r>
              <w:rPr>
                <w:rFonts w:ascii="Arial" w:cs="Arial" w:eastAsia="Arial" w:hAnsi="Arial"/>
                <w:sz w:val="18"/>
                <w:szCs w:val="18"/>
                <w:color w:val="auto"/>
              </w:rPr>
              <w:t>Option Awards</w:t>
            </w:r>
          </w:p>
        </w:tc>
        <w:tc>
          <w:tcPr>
            <w:tcW w:w="3440" w:type="dxa"/>
            <w:vAlign w:val="bottom"/>
            <w:tcBorders>
              <w:top w:val="single" w:sz="8" w:color="auto"/>
              <w:bottom w:val="single" w:sz="8" w:color="auto"/>
              <w:right w:val="single" w:sz="8" w:color="auto"/>
            </w:tcBorders>
            <w:gridSpan w:val="3"/>
          </w:tcPr>
          <w:p>
            <w:pPr>
              <w:jc w:val="right"/>
              <w:ind w:right="1150"/>
              <w:spacing w:after="0"/>
              <w:rPr>
                <w:sz w:val="20"/>
                <w:szCs w:val="20"/>
                <w:color w:val="auto"/>
              </w:rPr>
            </w:pPr>
            <w:r>
              <w:rPr>
                <w:rFonts w:ascii="Arial" w:cs="Arial" w:eastAsia="Arial" w:hAnsi="Arial"/>
                <w:sz w:val="18"/>
                <w:szCs w:val="18"/>
                <w:color w:val="auto"/>
              </w:rPr>
              <w:t>Stock Awards</w:t>
            </w:r>
          </w:p>
        </w:tc>
      </w:tr>
      <w:tr>
        <w:trPr>
          <w:trHeight w:val="195"/>
        </w:trPr>
        <w:tc>
          <w:tcPr>
            <w:tcW w:w="3300" w:type="dxa"/>
            <w:vAlign w:val="bottom"/>
            <w:tcBorders>
              <w:left w:val="single" w:sz="8" w:color="auto"/>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Number of Shares</w:t>
            </w:r>
          </w:p>
        </w:tc>
        <w:tc>
          <w:tcPr>
            <w:tcW w:w="17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Acquired on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Value Realized</w:t>
            </w:r>
          </w:p>
        </w:tc>
        <w:tc>
          <w:tcPr>
            <w:tcW w:w="17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Number of Shares</w:t>
            </w:r>
          </w:p>
        </w:tc>
        <w:tc>
          <w:tcPr>
            <w:tcW w:w="260" w:type="dxa"/>
            <w:vAlign w:val="bottom"/>
          </w:tcPr>
          <w:p>
            <w:pPr>
              <w:spacing w:after="0"/>
              <w:rPr>
                <w:sz w:val="18"/>
                <w:szCs w:val="18"/>
                <w:color w:val="auto"/>
              </w:rPr>
            </w:pPr>
          </w:p>
        </w:tc>
        <w:tc>
          <w:tcPr>
            <w:tcW w:w="14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Value Realized</w:t>
            </w:r>
          </w:p>
        </w:tc>
      </w:tr>
      <w:tr>
        <w:trPr>
          <w:trHeight w:val="230"/>
        </w:trPr>
        <w:tc>
          <w:tcPr>
            <w:tcW w:w="330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8"/>
                <w:szCs w:val="18"/>
                <w:color w:val="auto"/>
              </w:rPr>
              <w:t>Name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Exercise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on Exercise</w:t>
            </w:r>
          </w:p>
        </w:tc>
        <w:tc>
          <w:tcPr>
            <w:tcW w:w="1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96"/>
              </w:rPr>
              <w:t>Acquired on Vesting</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on Vesting</w:t>
            </w:r>
          </w:p>
        </w:tc>
      </w:tr>
      <w:tr>
        <w:trPr>
          <w:trHeight w:val="210"/>
        </w:trPr>
        <w:tc>
          <w:tcPr>
            <w:tcW w:w="3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J.H. Batten</w:t>
            </w:r>
          </w:p>
        </w:tc>
        <w:tc>
          <w:tcPr>
            <w:tcW w:w="178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12,594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193,696</w:t>
            </w:r>
          </w:p>
        </w:tc>
      </w:tr>
      <w:tr>
        <w:trPr>
          <w:trHeight w:val="210"/>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J.S. Knutson</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4,058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62,412</w:t>
            </w:r>
          </w:p>
        </w:tc>
      </w:tr>
      <w:tr>
        <w:trPr>
          <w:trHeight w:val="210"/>
        </w:trPr>
        <w:tc>
          <w:tcPr>
            <w:tcW w:w="3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M.F. Moore</w:t>
            </w:r>
          </w:p>
        </w:tc>
        <w:tc>
          <w:tcPr>
            <w:tcW w:w="178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D.J. Bratel</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4,638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71,332</w:t>
            </w:r>
          </w:p>
        </w:tc>
      </w:tr>
      <w:tr>
        <w:trPr>
          <w:trHeight w:val="208"/>
        </w:trPr>
        <w:tc>
          <w:tcPr>
            <w:tcW w:w="3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D.L. Wilcox</w:t>
            </w:r>
          </w:p>
        </w:tc>
        <w:tc>
          <w:tcPr>
            <w:tcW w:w="1780" w:type="dxa"/>
            <w:vAlign w:val="bottom"/>
            <w:tcBorders>
              <w:bottom w:val="single" w:sz="8" w:color="auto"/>
              <w:right w:val="single" w:sz="8" w:color="auto"/>
            </w:tcBorders>
            <w:shd w:val="clear" w:color="auto" w:fill="CCEEFF"/>
          </w:tcPr>
          <w:p>
            <w:pPr>
              <w:spacing w:after="0"/>
              <w:rPr>
                <w:sz w:val="18"/>
                <w:szCs w:val="18"/>
                <w:color w:val="auto"/>
              </w:rPr>
            </w:pPr>
          </w:p>
        </w:tc>
        <w:tc>
          <w:tcPr>
            <w:tcW w:w="176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-584835</wp:posOffset>
            </wp:positionV>
            <wp:extent cx="650049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650049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00495" cy="14605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actuarial present value of each Named Executive Officer’s accumulated benefits as of June 30, 2016 under our defined benefit pension plan</w:t>
      </w:r>
      <w:r>
        <w:rPr>
          <w:rFonts w:ascii="Arial" w:cs="Arial" w:eastAsia="Arial" w:hAnsi="Arial"/>
          <w:sz w:val="18"/>
          <w:szCs w:val="18"/>
          <w:b w:val="1"/>
          <w:bCs w:val="1"/>
          <w:color w:val="auto"/>
        </w:rPr>
        <w:t>.</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880" w:type="dxa"/>
            <w:vAlign w:val="bottom"/>
            <w:tcBorders>
              <w:top w:val="single" w:sz="8" w:color="auto"/>
              <w:left w:val="single" w:sz="8" w:color="auto"/>
              <w:right w:val="single" w:sz="8" w:color="auto"/>
            </w:tcBorders>
          </w:tcPr>
          <w:p>
            <w:pPr>
              <w:spacing w:after="0"/>
              <w:rPr>
                <w:sz w:val="19"/>
                <w:szCs w:val="19"/>
                <w:color w:val="auto"/>
              </w:rPr>
            </w:pPr>
          </w:p>
        </w:tc>
        <w:tc>
          <w:tcPr>
            <w:tcW w:w="28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Number of</w:t>
            </w: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1820" w:type="dxa"/>
            <w:vAlign w:val="bottom"/>
            <w:tcBorders>
              <w:top w:val="single" w:sz="8" w:color="auto"/>
              <w:right w:val="single" w:sz="8" w:color="auto"/>
            </w:tcBorders>
          </w:tcPr>
          <w:p>
            <w:pPr>
              <w:spacing w:after="0"/>
              <w:rPr>
                <w:sz w:val="19"/>
                <w:szCs w:val="19"/>
                <w:color w:val="auto"/>
              </w:rPr>
            </w:pP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Years of</w:t>
            </w:r>
          </w:p>
        </w:tc>
        <w:tc>
          <w:tcPr>
            <w:tcW w:w="2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Credited Service</w:t>
            </w:r>
          </w:p>
        </w:tc>
        <w:tc>
          <w:tcPr>
            <w:tcW w:w="2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(Salaried</w:t>
            </w:r>
          </w:p>
        </w:tc>
        <w:tc>
          <w:tcPr>
            <w:tcW w:w="24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Payments</w:t>
            </w: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Retirement Plan</w:t>
            </w:r>
          </w:p>
        </w:tc>
        <w:tc>
          <w:tcPr>
            <w:tcW w:w="240" w:type="dxa"/>
            <w:vAlign w:val="bottom"/>
          </w:tcPr>
          <w:p>
            <w:pPr>
              <w:spacing w:after="0"/>
              <w:rPr>
                <w:sz w:val="18"/>
                <w:szCs w:val="18"/>
                <w:color w:val="auto"/>
              </w:rPr>
            </w:pPr>
          </w:p>
        </w:tc>
        <w:tc>
          <w:tcPr>
            <w:tcW w:w="15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Present Value of</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During</w:t>
            </w: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as of plan</w:t>
            </w:r>
          </w:p>
        </w:tc>
        <w:tc>
          <w:tcPr>
            <w:tcW w:w="240" w:type="dxa"/>
            <w:vAlign w:val="bottom"/>
          </w:tcPr>
          <w:p>
            <w:pPr>
              <w:spacing w:after="0"/>
              <w:rPr>
                <w:sz w:val="18"/>
                <w:szCs w:val="18"/>
                <w:color w:val="auto"/>
              </w:rPr>
            </w:pPr>
          </w:p>
        </w:tc>
        <w:tc>
          <w:tcPr>
            <w:tcW w:w="158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2"/>
              </w:rPr>
              <w:t>Accumulated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Last Fiscal</w:t>
            </w:r>
          </w:p>
        </w:tc>
      </w:tr>
      <w:tr>
        <w:trPr>
          <w:trHeight w:val="230"/>
        </w:trPr>
        <w:tc>
          <w:tcPr>
            <w:tcW w:w="188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Name</w:t>
            </w:r>
          </w:p>
        </w:tc>
        <w:tc>
          <w:tcPr>
            <w:tcW w:w="288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Plan Name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freeze date)</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3"/>
              </w:rPr>
              <w:t>Benefits (1)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Year</w:t>
            </w:r>
          </w:p>
        </w:tc>
      </w:tr>
      <w:tr>
        <w:trPr>
          <w:trHeight w:val="195"/>
        </w:trPr>
        <w:tc>
          <w:tcPr>
            <w:tcW w:w="1880" w:type="dxa"/>
            <w:vAlign w:val="bottom"/>
            <w:tcBorders>
              <w:left w:val="single" w:sz="8" w:color="auto"/>
              <w:right w:val="single" w:sz="8" w:color="auto"/>
            </w:tcBorders>
            <w:shd w:val="clear" w:color="auto" w:fill="CCEEFF"/>
          </w:tcPr>
          <w:p>
            <w:pPr>
              <w:spacing w:after="0"/>
              <w:rPr>
                <w:sz w:val="16"/>
                <w:szCs w:val="16"/>
                <w:color w:val="auto"/>
              </w:rPr>
            </w:pPr>
          </w:p>
        </w:tc>
        <w:tc>
          <w:tcPr>
            <w:tcW w:w="288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Retirement Plan for Salaried</w:t>
            </w:r>
          </w:p>
        </w:tc>
        <w:tc>
          <w:tcPr>
            <w:tcW w:w="188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spacing w:after="0"/>
              <w:rPr>
                <w:sz w:val="16"/>
                <w:szCs w:val="16"/>
                <w:color w:val="auto"/>
              </w:rPr>
            </w:pPr>
          </w:p>
        </w:tc>
      </w:tr>
      <w:tr>
        <w:trPr>
          <w:trHeight w:val="230"/>
        </w:trPr>
        <w:tc>
          <w:tcPr>
            <w:tcW w:w="1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J.H. Batten</w:t>
            </w:r>
          </w:p>
        </w:tc>
        <w:tc>
          <w:tcPr>
            <w:tcW w:w="28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Employees</w:t>
            </w:r>
          </w:p>
        </w:tc>
        <w:tc>
          <w:tcPr>
            <w:tcW w:w="1880" w:type="dxa"/>
            <w:vAlign w:val="bottom"/>
            <w:tcBorders>
              <w:bottom w:val="single" w:sz="8" w:color="auto"/>
              <w:right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137,907</w:t>
            </w:r>
          </w:p>
        </w:tc>
        <w:tc>
          <w:tcPr>
            <w:tcW w:w="1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210"/>
        </w:trPr>
        <w:tc>
          <w:tcPr>
            <w:tcW w:w="1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J.S. Knutson</w:t>
            </w:r>
          </w:p>
        </w:tc>
        <w:tc>
          <w:tcPr>
            <w:tcW w:w="28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N/A (2)</w:t>
            </w:r>
          </w:p>
        </w:tc>
        <w:tc>
          <w:tcPr>
            <w:tcW w:w="188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210"/>
        </w:trPr>
        <w:tc>
          <w:tcPr>
            <w:tcW w:w="1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M.F. Moore</w:t>
            </w:r>
          </w:p>
        </w:tc>
        <w:tc>
          <w:tcPr>
            <w:tcW w:w="28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N/A (2)</w:t>
            </w:r>
          </w:p>
        </w:tc>
        <w:tc>
          <w:tcPr>
            <w:tcW w:w="188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195"/>
        </w:trPr>
        <w:tc>
          <w:tcPr>
            <w:tcW w:w="1880" w:type="dxa"/>
            <w:vAlign w:val="bottom"/>
            <w:tcBorders>
              <w:left w:val="single" w:sz="8" w:color="auto"/>
              <w:right w:val="single" w:sz="8" w:color="auto"/>
            </w:tcBorders>
            <w:shd w:val="clear" w:color="auto" w:fill="CCEEFF"/>
          </w:tcPr>
          <w:p>
            <w:pPr>
              <w:spacing w:after="0"/>
              <w:rPr>
                <w:sz w:val="16"/>
                <w:szCs w:val="16"/>
                <w:color w:val="auto"/>
              </w:rPr>
            </w:pPr>
          </w:p>
        </w:tc>
        <w:tc>
          <w:tcPr>
            <w:tcW w:w="288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Retirement Plan for Salaried</w:t>
            </w:r>
          </w:p>
        </w:tc>
        <w:tc>
          <w:tcPr>
            <w:tcW w:w="188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spacing w:after="0"/>
              <w:rPr>
                <w:sz w:val="16"/>
                <w:szCs w:val="16"/>
                <w:color w:val="auto"/>
              </w:rPr>
            </w:pPr>
          </w:p>
        </w:tc>
      </w:tr>
      <w:tr>
        <w:trPr>
          <w:trHeight w:val="230"/>
        </w:trPr>
        <w:tc>
          <w:tcPr>
            <w:tcW w:w="1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D.J. Bratel</w:t>
            </w:r>
          </w:p>
        </w:tc>
        <w:tc>
          <w:tcPr>
            <w:tcW w:w="28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Employees</w:t>
            </w:r>
          </w:p>
        </w:tc>
        <w:tc>
          <w:tcPr>
            <w:tcW w:w="1880" w:type="dxa"/>
            <w:vAlign w:val="bottom"/>
            <w:tcBorders>
              <w:bottom w:val="single" w:sz="8" w:color="auto"/>
              <w:right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209,657</w:t>
            </w:r>
          </w:p>
        </w:tc>
        <w:tc>
          <w:tcPr>
            <w:tcW w:w="1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195"/>
        </w:trPr>
        <w:tc>
          <w:tcPr>
            <w:tcW w:w="1880" w:type="dxa"/>
            <w:vAlign w:val="bottom"/>
            <w:tcBorders>
              <w:left w:val="single" w:sz="8" w:color="auto"/>
              <w:right w:val="single" w:sz="8" w:color="auto"/>
            </w:tcBorders>
            <w:shd w:val="clear" w:color="auto" w:fill="CCEEFF"/>
          </w:tcPr>
          <w:p>
            <w:pPr>
              <w:spacing w:after="0"/>
              <w:rPr>
                <w:sz w:val="16"/>
                <w:szCs w:val="16"/>
                <w:color w:val="auto"/>
              </w:rPr>
            </w:pPr>
          </w:p>
        </w:tc>
        <w:tc>
          <w:tcPr>
            <w:tcW w:w="2880" w:type="dxa"/>
            <w:vAlign w:val="bottom"/>
            <w:tcBorders>
              <w:right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Retirement Plan for Salaried</w:t>
            </w:r>
          </w:p>
        </w:tc>
        <w:tc>
          <w:tcPr>
            <w:tcW w:w="188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spacing w:after="0"/>
              <w:rPr>
                <w:sz w:val="16"/>
                <w:szCs w:val="16"/>
                <w:color w:val="auto"/>
              </w:rPr>
            </w:pPr>
          </w:p>
        </w:tc>
      </w:tr>
      <w:tr>
        <w:trPr>
          <w:trHeight w:val="229"/>
        </w:trPr>
        <w:tc>
          <w:tcPr>
            <w:tcW w:w="18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D.L. Wilcox</w:t>
            </w:r>
          </w:p>
        </w:tc>
        <w:tc>
          <w:tcPr>
            <w:tcW w:w="28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Employees</w:t>
            </w:r>
          </w:p>
        </w:tc>
        <w:tc>
          <w:tcPr>
            <w:tcW w:w="1880" w:type="dxa"/>
            <w:vAlign w:val="bottom"/>
            <w:tcBorders>
              <w:bottom w:val="single" w:sz="8" w:color="auto"/>
              <w:right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99,542</w:t>
            </w:r>
          </w:p>
        </w:tc>
        <w:tc>
          <w:tcPr>
            <w:tcW w:w="18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-1442085</wp:posOffset>
            </wp:positionV>
            <wp:extent cx="650049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-1150620</wp:posOffset>
            </wp:positionV>
            <wp:extent cx="650049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-859155</wp:posOffset>
            </wp:positionV>
            <wp:extent cx="650049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0049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-430530</wp:posOffset>
            </wp:positionV>
            <wp:extent cx="650049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00495" cy="146050"/>
                    </a:xfrm>
                    <a:prstGeom prst="rect">
                      <a:avLst/>
                    </a:prstGeom>
                    <a:noFill/>
                  </pic:spPr>
                </pic:pic>
              </a:graphicData>
            </a:graphic>
          </wp:anchor>
        </w:drawing>
      </w:r>
    </w:p>
    <w:p>
      <w:pPr>
        <w:spacing w:after="0" w:line="395" w:lineRule="exact"/>
        <w:rPr>
          <w:sz w:val="20"/>
          <w:szCs w:val="20"/>
          <w:color w:val="auto"/>
        </w:rPr>
      </w:pPr>
    </w:p>
    <w:p>
      <w:pPr>
        <w:ind w:left="660" w:right="160" w:hanging="328"/>
        <w:spacing w:after="0" w:line="271"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key assumptions were made in calculating the present value of the qualified retirement plan. For Messrs. J. Batten, Bratel, and Ms. Wilcox, the key assumptions include a 3.57% discount rate and a retirement age of 65. No mortality assumption was used prior to retirement. After retirement, the mortality assumption is the Gender-specific RP-2014 table with generational mortality improvements.</w:t>
      </w:r>
    </w:p>
    <w:p>
      <w:pPr>
        <w:ind w:left="66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Knutson and Mr. Moore do not participate in the Retirement Plan for Salaried Employees because they were hired after October 1, 2003, the date that the plan was closed to new employees.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Retirement Plan for Salaried Employees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 b) Age 60 with 10 years of service; c) 30 years of service at any age; or d) age plus service equals 85 points. There are currently no executive officers eligible to retire.</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Officers with a benefit under both the pre-1997 portion of the Retirement Plan and the cash balance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Subsequently, the Retirement Plan was amended to freeze all future benefit accruals, effective August 1, 2009.</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 2014, the annual limit was $260,000 and in calendar years 2015 and 2016, the annual limit is $265,000.</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accumulated benefits as of June 30, 2016 under our Supplemental Executive Retirement Plan for each Named Executive Officer with a benefit under a defined contribution formula under that plan.</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640" w:type="dxa"/>
            <w:vAlign w:val="bottom"/>
            <w:tcBorders>
              <w:top w:val="single" w:sz="8" w:color="auto"/>
              <w:left w:val="single" w:sz="8" w:color="auto"/>
              <w:right w:val="single" w:sz="8" w:color="auto"/>
            </w:tcBorders>
          </w:tcPr>
          <w:p>
            <w:pPr>
              <w:spacing w:after="0"/>
              <w:rPr>
                <w:sz w:val="19"/>
                <w:szCs w:val="19"/>
                <w:color w:val="auto"/>
              </w:rPr>
            </w:pPr>
          </w:p>
        </w:tc>
        <w:tc>
          <w:tcPr>
            <w:tcW w:w="142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color w:val="auto"/>
                <w:w w:val="92"/>
              </w:rPr>
              <w:t>Executive</w:t>
            </w:r>
          </w:p>
        </w:tc>
        <w:tc>
          <w:tcPr>
            <w:tcW w:w="42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40" w:type="dxa"/>
            <w:vAlign w:val="bottom"/>
            <w:tcBorders>
              <w:top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0"/>
              </w:rPr>
              <w:t>Registrant</w:t>
            </w:r>
          </w:p>
        </w:tc>
        <w:tc>
          <w:tcPr>
            <w:tcW w:w="36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89"/>
              </w:rPr>
              <w:t>Aggregate</w:t>
            </w:r>
          </w:p>
        </w:tc>
        <w:tc>
          <w:tcPr>
            <w:tcW w:w="300" w:type="dxa"/>
            <w:vAlign w:val="bottom"/>
            <w:tcBorders>
              <w:top w:val="single" w:sz="8" w:color="auto"/>
            </w:tcBorders>
          </w:tcPr>
          <w:p>
            <w:pPr>
              <w:spacing w:after="0"/>
              <w:rPr>
                <w:sz w:val="19"/>
                <w:szCs w:val="19"/>
                <w:color w:val="auto"/>
              </w:rPr>
            </w:pPr>
          </w:p>
        </w:tc>
        <w:tc>
          <w:tcPr>
            <w:tcW w:w="1540" w:type="dxa"/>
            <w:vAlign w:val="bottom"/>
            <w:tcBorders>
              <w:top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89"/>
              </w:rPr>
              <w:t>Aggregate</w:t>
            </w:r>
          </w:p>
        </w:tc>
        <w:tc>
          <w:tcPr>
            <w:tcW w:w="36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89"/>
              </w:rPr>
              <w:t>Aggregate</w:t>
            </w: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1420" w:type="dxa"/>
            <w:vAlign w:val="bottom"/>
          </w:tcPr>
          <w:p>
            <w:pPr>
              <w:jc w:val="center"/>
              <w:ind w:left="330"/>
              <w:spacing w:after="0"/>
              <w:rPr>
                <w:sz w:val="20"/>
                <w:szCs w:val="20"/>
                <w:color w:val="auto"/>
              </w:rPr>
            </w:pPr>
            <w:r>
              <w:rPr>
                <w:rFonts w:ascii="Arial" w:cs="Arial" w:eastAsia="Arial" w:hAnsi="Arial"/>
                <w:sz w:val="18"/>
                <w:szCs w:val="18"/>
                <w:color w:val="auto"/>
                <w:w w:val="94"/>
              </w:rPr>
              <w:t>Contributions</w:t>
            </w:r>
          </w:p>
        </w:tc>
        <w:tc>
          <w:tcPr>
            <w:tcW w:w="4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Contributions</w:t>
            </w:r>
          </w:p>
        </w:tc>
        <w:tc>
          <w:tcPr>
            <w:tcW w:w="360" w:type="dxa"/>
            <w:vAlign w:val="bottom"/>
          </w:tcPr>
          <w:p>
            <w:pPr>
              <w:spacing w:after="0"/>
              <w:rPr>
                <w:sz w:val="18"/>
                <w:szCs w:val="18"/>
                <w:color w:val="auto"/>
              </w:rPr>
            </w:pPr>
          </w:p>
        </w:tc>
        <w:tc>
          <w:tcPr>
            <w:tcW w:w="14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0"/>
              </w:rPr>
              <w:t>Earnings</w:t>
            </w:r>
          </w:p>
        </w:tc>
        <w:tc>
          <w:tcPr>
            <w:tcW w:w="300" w:type="dxa"/>
            <w:vAlign w:val="bottom"/>
          </w:tcPr>
          <w:p>
            <w:pPr>
              <w:spacing w:after="0"/>
              <w:rPr>
                <w:sz w:val="18"/>
                <w:szCs w:val="18"/>
                <w:color w:val="auto"/>
              </w:rPr>
            </w:pPr>
          </w:p>
        </w:tc>
        <w:tc>
          <w:tcPr>
            <w:tcW w:w="154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5"/>
              </w:rPr>
              <w:t>Withdrawals/</w:t>
            </w:r>
          </w:p>
        </w:tc>
        <w:tc>
          <w:tcPr>
            <w:tcW w:w="360" w:type="dxa"/>
            <w:vAlign w:val="bottom"/>
          </w:tcPr>
          <w:p>
            <w:pPr>
              <w:spacing w:after="0"/>
              <w:rPr>
                <w:sz w:val="18"/>
                <w:szCs w:val="18"/>
                <w:color w:val="auto"/>
              </w:rPr>
            </w:pPr>
          </w:p>
        </w:tc>
        <w:tc>
          <w:tcPr>
            <w:tcW w:w="148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86"/>
              </w:rPr>
              <w:t>Balance at</w:t>
            </w:r>
          </w:p>
        </w:tc>
      </w:tr>
      <w:tr>
        <w:trPr>
          <w:trHeight w:val="230"/>
        </w:trPr>
        <w:tc>
          <w:tcPr>
            <w:tcW w:w="164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Name</w:t>
            </w:r>
          </w:p>
        </w:tc>
        <w:tc>
          <w:tcPr>
            <w:tcW w:w="14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in Last FY</w:t>
            </w:r>
          </w:p>
        </w:tc>
        <w:tc>
          <w:tcPr>
            <w:tcW w:w="42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4"/>
              </w:rPr>
              <w:t>in Last FY (1)</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6"/>
              </w:rPr>
              <w:t>in Last FY</w:t>
            </w: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4"/>
              </w:rPr>
              <w:t>Distributions</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4"/>
              </w:rPr>
              <w:t>Last FYE</w:t>
            </w:r>
          </w:p>
        </w:tc>
      </w:tr>
      <w:tr>
        <w:trPr>
          <w:trHeight w:val="210"/>
        </w:trPr>
        <w:tc>
          <w:tcPr>
            <w:tcW w:w="16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J.H. Batten</w:t>
            </w:r>
          </w:p>
        </w:tc>
        <w:tc>
          <w:tcPr>
            <w:tcW w:w="14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29,540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147,649</w:t>
            </w:r>
          </w:p>
        </w:tc>
      </w:tr>
      <w:tr>
        <w:trPr>
          <w:trHeight w:val="210"/>
        </w:trPr>
        <w:tc>
          <w:tcPr>
            <w:tcW w:w="164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10"/>
        </w:trPr>
        <w:tc>
          <w:tcPr>
            <w:tcW w:w="16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J.S. Knutson</w:t>
            </w:r>
          </w:p>
        </w:tc>
        <w:tc>
          <w:tcPr>
            <w:tcW w:w="14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N/A</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r>
      <w:tr>
        <w:trPr>
          <w:trHeight w:val="210"/>
        </w:trPr>
        <w:tc>
          <w:tcPr>
            <w:tcW w:w="164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10"/>
        </w:trPr>
        <w:tc>
          <w:tcPr>
            <w:tcW w:w="16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M.F. Moore</w:t>
            </w:r>
          </w:p>
        </w:tc>
        <w:tc>
          <w:tcPr>
            <w:tcW w:w="14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N/A</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r>
      <w:tr>
        <w:trPr>
          <w:trHeight w:val="210"/>
        </w:trPr>
        <w:tc>
          <w:tcPr>
            <w:tcW w:w="164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10"/>
        </w:trPr>
        <w:tc>
          <w:tcPr>
            <w:tcW w:w="16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D.J. Bratel</w:t>
            </w:r>
          </w:p>
        </w:tc>
        <w:tc>
          <w:tcPr>
            <w:tcW w:w="14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9,163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34,119</w:t>
            </w:r>
          </w:p>
        </w:tc>
      </w:tr>
      <w:tr>
        <w:trPr>
          <w:trHeight w:val="210"/>
        </w:trPr>
        <w:tc>
          <w:tcPr>
            <w:tcW w:w="1640" w:type="dxa"/>
            <w:vAlign w:val="bottom"/>
            <w:tcBorders>
              <w:left w:val="single" w:sz="8" w:color="auto"/>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r>
      <w:tr>
        <w:trPr>
          <w:trHeight w:val="208"/>
        </w:trPr>
        <w:tc>
          <w:tcPr>
            <w:tcW w:w="16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D.L. Wilcox</w:t>
            </w:r>
          </w:p>
        </w:tc>
        <w:tc>
          <w:tcPr>
            <w:tcW w:w="14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-1167765</wp:posOffset>
            </wp:positionV>
            <wp:extent cx="686054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-876300</wp:posOffset>
            </wp:positionV>
            <wp:extent cx="686054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-584835</wp:posOffset>
            </wp:positionV>
            <wp:extent cx="686054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60540"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-292735</wp:posOffset>
            </wp:positionV>
            <wp:extent cx="686054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60540" cy="146050"/>
                    </a:xfrm>
                    <a:prstGeom prst="rect">
                      <a:avLst/>
                    </a:prstGeom>
                    <a:noFill/>
                  </pic:spPr>
                </pic:pic>
              </a:graphicData>
            </a:graphic>
          </wp:anchor>
        </w:drawing>
      </w:r>
    </w:p>
    <w:p>
      <w:pPr>
        <w:spacing w:after="0" w:line="178" w:lineRule="exact"/>
        <w:rPr>
          <w:sz w:val="20"/>
          <w:szCs w:val="20"/>
          <w:color w:val="auto"/>
        </w:rPr>
      </w:pPr>
    </w:p>
    <w:p>
      <w:pPr>
        <w:ind w:left="340" w:right="2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amounts reported in the “Registrant Contributions in Last FY” column are credits to a bookkeeping account maintained by the Corporation for the benefit of the Named Executive Officer, and are included in the “All Other Compensation” figures of the Summary Compensation Table.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Supplemental Executive Retirement Plan (“SERP”) is available to qualified US-based Named Executive Officers, including Mr. Batten, Mr. Bratel and Ms. Wilcox. It is the Corporation’s current practice to allow no additional participants in this plan.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J. Batten and Bratel and Ms. Wilcox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Batten, Bratel and Ms. Wilcox will receive interest credits based on the annual rate on 30-year Treasury securities, with a minimum annual interest credit of three percent.</w:t>
      </w:r>
    </w:p>
    <w:p>
      <w:pPr>
        <w:spacing w:after="0" w:line="18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(or on the date that is six months after retirement, if later), and the second payment to be made on February 1 of the following year. The two payments shall be the actuarial equivalent of the annual benefit calculated under the single life annuity form.</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each of the two lump sum payments exceed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77" w:lineRule="exact"/>
        <w:rPr>
          <w:sz w:val="20"/>
          <w:szCs w:val="20"/>
          <w:color w:val="auto"/>
        </w:rPr>
      </w:pPr>
    </w:p>
    <w:p>
      <w:pPr>
        <w:ind w:left="660" w:right="180" w:hanging="328"/>
        <w:spacing w:after="0" w:line="29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Normal or Early Retirement</w:t>
      </w:r>
      <w:r>
        <w:rPr>
          <w:rFonts w:ascii="Arial" w:cs="Arial" w:eastAsia="Arial" w:hAnsi="Arial"/>
          <w:sz w:val="16"/>
          <w:szCs w:val="16"/>
          <w:color w:val="auto"/>
        </w:rPr>
        <w:t>. The normal retirement age for US-based employees, including the Named Executive Officers, is 65. All full-time</w:t>
      </w:r>
      <w:r>
        <w:rPr>
          <w:rFonts w:ascii="Arial" w:cs="Arial" w:eastAsia="Arial" w:hAnsi="Arial"/>
          <w:sz w:val="16"/>
          <w:szCs w:val="16"/>
          <w:b w:val="1"/>
          <w:bCs w:val="1"/>
          <w:color w:val="auto"/>
        </w:rPr>
        <w:t xml:space="preserve"> </w:t>
      </w:r>
      <w:r>
        <w:rPr>
          <w:rFonts w:ascii="Arial" w:cs="Arial" w:eastAsia="Arial" w:hAnsi="Arial"/>
          <w:sz w:val="16"/>
          <w:szCs w:val="16"/>
          <w:color w:val="auto"/>
        </w:rPr>
        <w:t>salaried employees employed before October 1, 2003 participate in the Twin Disc, Incorporated Retirement Plan for Salaried Employees and the Twin Disc, Incorporated Retirement Savings Plan for Salaried Employees. Eligibility for retirement occurs upon reaching one of the following age and service requirements: a) Age 65 with 5 years of service; b) Age 60 with 10 years of service; c) 30 years of service at any age; or d) age plus service equals 85 points. There are no Named Executive Officers who were eligible for retirement at the end of FY2016.</w:t>
      </w:r>
    </w:p>
    <w:p>
      <w:pPr>
        <w:spacing w:after="0" w:line="158" w:lineRule="exact"/>
        <w:rPr>
          <w:rFonts w:ascii="Arial" w:cs="Arial" w:eastAsia="Arial" w:hAnsi="Arial"/>
          <w:sz w:val="16"/>
          <w:szCs w:val="16"/>
          <w:color w:val="auto"/>
        </w:rPr>
      </w:pPr>
    </w:p>
    <w:p>
      <w:pPr>
        <w:ind w:left="660" w:right="180"/>
        <w:spacing w:after="0" w:line="277" w:lineRule="auto"/>
        <w:rPr>
          <w:rFonts w:ascii="Arial" w:cs="Arial" w:eastAsia="Arial" w:hAnsi="Arial"/>
          <w:sz w:val="16"/>
          <w:szCs w:val="16"/>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7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Restricted stock is forfeited if retirement occurs before the restrictions on such shares have ended.</w:t>
      </w:r>
    </w:p>
    <w:p>
      <w:pPr>
        <w:spacing w:after="0" w:line="225"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7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Stock options must be exercised within 30 days of termination or they expire.</w:t>
      </w:r>
    </w:p>
    <w:p>
      <w:pPr>
        <w:spacing w:after="0" w:line="225" w:lineRule="exact"/>
        <w:rPr>
          <w:rFonts w:ascii="Arial" w:cs="Arial" w:eastAsia="Arial" w:hAnsi="Arial"/>
          <w:sz w:val="16"/>
          <w:szCs w:val="16"/>
          <w:color w:val="auto"/>
        </w:rPr>
      </w:pPr>
    </w:p>
    <w:p>
      <w:pPr>
        <w:ind w:left="660" w:right="40"/>
        <w:spacing w:after="0" w:line="277" w:lineRule="auto"/>
        <w:rPr>
          <w:rFonts w:ascii="Arial" w:cs="Arial" w:eastAsia="Arial" w:hAnsi="Arial"/>
          <w:sz w:val="16"/>
          <w:szCs w:val="16"/>
          <w:color w:val="auto"/>
        </w:rPr>
      </w:pPr>
      <w:r>
        <w:rPr>
          <w:rFonts w:ascii="Arial" w:cs="Arial" w:eastAsia="Arial" w:hAnsi="Arial"/>
          <w:sz w:val="18"/>
          <w:szCs w:val="18"/>
          <w:color w:val="auto"/>
        </w:rPr>
        <w:t>A Supplemental Executive Retirement Plan (SERP) is available for several Named Executive Officers who qualify for a retirement benefit under the Corporation’s pension plans. Mr. J. Batten, Mr. Bratel and Ms. Wilcox are currently the only participants.</w:t>
      </w:r>
    </w:p>
    <w:p>
      <w:pPr>
        <w:spacing w:after="0" w:line="170" w:lineRule="exact"/>
        <w:rPr>
          <w:rFonts w:ascii="Arial" w:cs="Arial" w:eastAsia="Arial" w:hAnsi="Arial"/>
          <w:sz w:val="16"/>
          <w:szCs w:val="16"/>
          <w:color w:val="auto"/>
        </w:rPr>
      </w:pPr>
    </w:p>
    <w:p>
      <w:pPr>
        <w:ind w:left="660" w:right="240"/>
        <w:spacing w:after="0" w:line="218" w:lineRule="auto"/>
        <w:rPr>
          <w:rFonts w:ascii="Arial" w:cs="Arial" w:eastAsia="Arial" w:hAnsi="Arial"/>
          <w:sz w:val="16"/>
          <w:szCs w:val="16"/>
          <w:color w:val="auto"/>
        </w:rPr>
      </w:pPr>
      <w:r>
        <w:rPr>
          <w:rFonts w:ascii="Arial" w:cs="Arial" w:eastAsia="Arial" w:hAnsi="Arial"/>
          <w:sz w:val="18"/>
          <w:szCs w:val="18"/>
          <w:color w:val="auto"/>
        </w:rPr>
        <w:t>For those executives eligible for an endorsement split-dollar life insurance policy, the ownership of the life insurance will be transferred from the Corporation to the executive at the later of retirement or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9" w:lineRule="exact"/>
        <w:rPr>
          <w:rFonts w:ascii="Arial" w:cs="Arial" w:eastAsia="Arial" w:hAnsi="Arial"/>
          <w:sz w:val="16"/>
          <w:szCs w:val="16"/>
          <w:color w:val="auto"/>
        </w:rPr>
      </w:pPr>
    </w:p>
    <w:p>
      <w:pPr>
        <w:ind w:left="660" w:right="60" w:hanging="328"/>
        <w:spacing w:after="0" w:line="31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Death while Employed</w:t>
      </w:r>
      <w:r>
        <w:rPr>
          <w:rFonts w:ascii="Arial" w:cs="Arial" w:eastAsia="Arial" w:hAnsi="Arial"/>
          <w:sz w:val="17"/>
          <w:szCs w:val="17"/>
          <w:color w:val="auto"/>
        </w:rPr>
        <w:t>. In the event of death of a Named Executive Officer while actively employed, the executive’s estate would receive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base salary earned, but not yet paid. In addition, any vacation accrual not used would also be paid to the estate.</w:t>
      </w:r>
    </w:p>
    <w:p>
      <w:pPr>
        <w:spacing w:after="0" w:line="14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Restricted stock vests and becomes payable per the terms of the individual grant agreement. The estate would receive the payment.</w:t>
      </w:r>
    </w:p>
    <w:p>
      <w:pPr>
        <w:spacing w:after="0" w:line="225" w:lineRule="exact"/>
        <w:rPr>
          <w:rFonts w:ascii="Arial" w:cs="Arial" w:eastAsia="Arial" w:hAnsi="Arial"/>
          <w:sz w:val="17"/>
          <w:szCs w:val="17"/>
          <w:color w:val="auto"/>
        </w:rPr>
      </w:pPr>
    </w:p>
    <w:p>
      <w:pPr>
        <w:ind w:left="660" w:right="20"/>
        <w:spacing w:after="0" w:line="342" w:lineRule="auto"/>
        <w:rPr>
          <w:rFonts w:ascii="Arial" w:cs="Arial" w:eastAsia="Arial" w:hAnsi="Arial"/>
          <w:sz w:val="17"/>
          <w:szCs w:val="17"/>
          <w:color w:val="auto"/>
        </w:rPr>
      </w:pPr>
      <w:r>
        <w:rPr>
          <w:rFonts w:ascii="Arial" w:cs="Arial" w:eastAsia="Arial" w:hAnsi="Arial"/>
          <w:sz w:val="16"/>
          <w:szCs w:val="16"/>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2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0" w:name="page41"/>
    <w:bookmarkEnd w:id="40"/>
    <w:p>
      <w:pPr>
        <w:ind w:left="328" w:right="60" w:hanging="328"/>
        <w:spacing w:after="0" w:line="266"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In the event of termination of employment due to disability, a Named Executive Officer would receive benefits under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disability plans, generally available to full-time salaried employees. Benefits are reduced for any social security or pension eligibility.</w:t>
      </w:r>
    </w:p>
    <w:p>
      <w:pPr>
        <w:spacing w:after="0" w:line="18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Restricted stock vests and becomes payable per the terms of the individual grant agreement.</w:t>
      </w:r>
    </w:p>
    <w:p>
      <w:pPr>
        <w:spacing w:after="0" w:line="225" w:lineRule="exact"/>
        <w:rPr>
          <w:rFonts w:ascii="Arial" w:cs="Arial" w:eastAsia="Arial" w:hAnsi="Arial"/>
          <w:sz w:val="18"/>
          <w:szCs w:val="18"/>
          <w:color w:val="auto"/>
        </w:rPr>
      </w:pPr>
    </w:p>
    <w:p>
      <w:pPr>
        <w:ind w:left="328" w:right="40"/>
        <w:spacing w:after="0" w:line="264" w:lineRule="auto"/>
        <w:rPr>
          <w:rFonts w:ascii="Arial" w:cs="Arial" w:eastAsia="Arial" w:hAnsi="Arial"/>
          <w:sz w:val="18"/>
          <w:szCs w:val="18"/>
          <w:color w:val="auto"/>
        </w:rPr>
      </w:pPr>
      <w:r>
        <w:rPr>
          <w:rFonts w:ascii="Arial" w:cs="Arial" w:eastAsia="Arial" w:hAnsi="Arial"/>
          <w:sz w:val="18"/>
          <w:szCs w:val="18"/>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77" w:lineRule="exact"/>
        <w:rPr>
          <w:rFonts w:ascii="Arial" w:cs="Arial" w:eastAsia="Arial" w:hAnsi="Arial"/>
          <w:sz w:val="18"/>
          <w:szCs w:val="18"/>
          <w:color w:val="auto"/>
        </w:rPr>
      </w:pPr>
    </w:p>
    <w:p>
      <w:pPr>
        <w:ind w:left="328" w:right="980" w:hanging="328"/>
        <w:spacing w:after="0" w:line="282"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Committee would determine that severance payments are appropriate.</w:t>
      </w:r>
    </w:p>
    <w:p>
      <w:pPr>
        <w:spacing w:after="0" w:line="161"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prior to becoming eligible for retirement.</w:t>
      </w:r>
    </w:p>
    <w:p>
      <w:pPr>
        <w:spacing w:after="0" w:line="161" w:lineRule="exact"/>
        <w:rPr>
          <w:rFonts w:ascii="Arial" w:cs="Arial" w:eastAsia="Arial" w:hAnsi="Arial"/>
          <w:sz w:val="18"/>
          <w:szCs w:val="18"/>
          <w:color w:val="auto"/>
        </w:rPr>
      </w:pPr>
    </w:p>
    <w:p>
      <w:pPr>
        <w:ind w:left="328" w:hanging="328"/>
        <w:spacing w:after="0" w:line="254"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Involuntary Termination (or Resignation for Good Cause) Following Change in Control</w:t>
      </w:r>
      <w:r>
        <w:rPr>
          <w:rFonts w:ascii="Arial" w:cs="Arial" w:eastAsia="Arial" w:hAnsi="Arial"/>
          <w:sz w:val="18"/>
          <w:szCs w:val="18"/>
          <w:color w:val="auto"/>
        </w:rPr>
        <w:t>. The Corporation has entered into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with each of our Named Executive Officers. The versions of the agreements that were in effect on June 30, 2016 provide that, following a change in control of the corporation (as defined in the agreement) if employment of the executive officer is terminated by the Corporation for any reason other than "Good Cause," or terminated by the executive for "Good Reason" within 24 months after the change in control occurs, certain benefits would become payable. These include:</w:t>
      </w:r>
    </w:p>
    <w:p>
      <w:pPr>
        <w:spacing w:after="0" w:line="3" w:lineRule="exact"/>
        <w:rPr>
          <w:rFonts w:ascii="Arial" w:cs="Arial" w:eastAsia="Arial" w:hAnsi="Arial"/>
          <w:sz w:val="18"/>
          <w:szCs w:val="18"/>
          <w:color w:val="auto"/>
        </w:rPr>
      </w:pPr>
    </w:p>
    <w:p>
      <w:pPr>
        <w:ind w:left="968" w:right="60" w:hanging="324"/>
        <w:spacing w:after="0" w:line="281" w:lineRule="auto"/>
        <w:rPr>
          <w:rFonts w:ascii="Arial" w:cs="Arial" w:eastAsia="Arial" w:hAnsi="Arial"/>
          <w:sz w:val="18"/>
          <w:szCs w:val="18"/>
          <w:color w:val="auto"/>
        </w:rPr>
      </w:pPr>
      <w:r>
        <w:rPr>
          <w:rFonts w:ascii="Arial" w:cs="Arial" w:eastAsia="Arial" w:hAnsi="Arial"/>
          <w:sz w:val="16"/>
          <w:szCs w:val="16"/>
          <w:color w:val="auto"/>
        </w:rPr>
        <w:t>o severance as a multiple of base salary and the greater of (1) the annual bonus awarder to the Employee under the CIP for the fiscal year immediately preceding the fiscal year in which the Date of Termination occurs (or, if no annual bonus was received for such fiscal year, the average of the annual bonuses awarded to Employee under the the CIP for the three years preceding the fiscal year in which the Date of Termination occurs) or (2) the Employee’s target annual bonus under the CIP for the fiscal year in which the Date of Termination occurs,</w:t>
      </w:r>
    </w:p>
    <w:p>
      <w:pPr>
        <w:spacing w:after="0" w:line="2" w:lineRule="exact"/>
        <w:rPr>
          <w:rFonts w:ascii="Arial" w:cs="Arial" w:eastAsia="Arial" w:hAnsi="Arial"/>
          <w:sz w:val="18"/>
          <w:szCs w:val="18"/>
          <w:color w:val="auto"/>
        </w:rPr>
      </w:pPr>
    </w:p>
    <w:p>
      <w:pPr>
        <w:ind w:left="648" w:right="6800"/>
        <w:spacing w:after="0" w:line="250" w:lineRule="auto"/>
        <w:rPr>
          <w:rFonts w:ascii="Arial" w:cs="Arial" w:eastAsia="Arial" w:hAnsi="Arial"/>
          <w:sz w:val="18"/>
          <w:szCs w:val="18"/>
          <w:color w:val="auto"/>
        </w:rPr>
      </w:pPr>
      <w:r>
        <w:rPr>
          <w:rFonts w:ascii="Arial" w:cs="Arial" w:eastAsia="Arial" w:hAnsi="Arial"/>
          <w:sz w:val="18"/>
          <w:szCs w:val="18"/>
          <w:color w:val="auto"/>
        </w:rPr>
        <w:t>o twenty-four months of benefit continuation, o current value of all outstanding stock options, o restricted stock, and</w:t>
      </w:r>
    </w:p>
    <w:p>
      <w:pPr>
        <w:spacing w:after="0" w:line="1" w:lineRule="exact"/>
        <w:rPr>
          <w:rFonts w:ascii="Arial" w:cs="Arial" w:eastAsia="Arial" w:hAnsi="Arial"/>
          <w:sz w:val="18"/>
          <w:szCs w:val="18"/>
          <w:color w:val="auto"/>
        </w:rPr>
      </w:pPr>
    </w:p>
    <w:p>
      <w:pPr>
        <w:ind w:left="968" w:right="40" w:hanging="324"/>
        <w:spacing w:after="0" w:line="261" w:lineRule="auto"/>
        <w:rPr>
          <w:rFonts w:ascii="Arial" w:cs="Arial" w:eastAsia="Arial" w:hAnsi="Arial"/>
          <w:sz w:val="18"/>
          <w:szCs w:val="18"/>
          <w:color w:val="auto"/>
        </w:rPr>
      </w:pPr>
      <w:r>
        <w:rPr>
          <w:rFonts w:ascii="Arial" w:cs="Arial" w:eastAsia="Arial" w:hAnsi="Arial"/>
          <w:sz w:val="18"/>
          <w:szCs w:val="18"/>
          <w:color w:val="auto"/>
        </w:rPr>
        <w:t>o performance stock and performance units immediately vest, and stock or cash is paid under the agreements as if the maximum performance objective was achieved.</w:t>
      </w:r>
    </w:p>
    <w:p>
      <w:pPr>
        <w:spacing w:after="0" w:line="183" w:lineRule="exact"/>
        <w:rPr>
          <w:rFonts w:ascii="Arial" w:cs="Arial" w:eastAsia="Arial" w:hAnsi="Arial"/>
          <w:sz w:val="18"/>
          <w:szCs w:val="18"/>
          <w:color w:val="auto"/>
        </w:rPr>
      </w:pPr>
    </w:p>
    <w:p>
      <w:pPr>
        <w:ind w:left="328" w:right="20"/>
        <w:spacing w:after="0" w:line="257" w:lineRule="auto"/>
        <w:rPr>
          <w:rFonts w:ascii="Arial" w:cs="Arial" w:eastAsia="Arial" w:hAnsi="Arial"/>
          <w:sz w:val="18"/>
          <w:szCs w:val="18"/>
          <w:color w:val="auto"/>
        </w:rPr>
      </w:pPr>
      <w:r>
        <w:rPr>
          <w:rFonts w:ascii="Arial" w:cs="Arial" w:eastAsia="Arial" w:hAnsi="Arial"/>
          <w:sz w:val="18"/>
          <w:szCs w:val="18"/>
          <w:color w:val="auto"/>
        </w:rPr>
        <w:t>In addition, if an event constituting a change in control of the Corporation occurs and the executive thereafter either terminates employment for good reason or is involuntarily terminated by the Corporation without cause, then the performance stock units granted shall immediately vest and a cash payment shall be made as if the maximum performance objective had been fully achieved. Such cash payment shall be equal to the number of performance stock units granted to the employee multiplied by the fair market value of the Corporation’s common stock as of the effective date of such change in control.</w:t>
      </w:r>
    </w:p>
    <w:p>
      <w:pPr>
        <w:spacing w:after="0" w:line="200" w:lineRule="exact"/>
        <w:rPr>
          <w:sz w:val="20"/>
          <w:szCs w:val="20"/>
          <w:color w:val="auto"/>
        </w:rPr>
      </w:pPr>
    </w:p>
    <w:p>
      <w:pPr>
        <w:spacing w:after="0" w:line="23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0" w:right="259" w:bottom="1440" w:gutter="0" w:footer="0" w:header="0"/>
        </w:sectPr>
      </w:pPr>
    </w:p>
    <w:bookmarkStart w:id="41" w:name="page42"/>
    <w:bookmarkEnd w:id="41"/>
    <w:p>
      <w:pPr>
        <w:ind w:right="100"/>
        <w:spacing w:after="0" w:line="277" w:lineRule="auto"/>
        <w:rPr>
          <w:sz w:val="20"/>
          <w:szCs w:val="20"/>
          <w:color w:val="auto"/>
        </w:rPr>
      </w:pPr>
      <w:r>
        <w:rPr>
          <w:rFonts w:ascii="Arial" w:cs="Arial" w:eastAsia="Arial" w:hAnsi="Arial"/>
          <w:sz w:val="18"/>
          <w:szCs w:val="18"/>
          <w:color w:val="auto"/>
        </w:rPr>
        <w:t>The following tables show the amounts payable under different termination scenarios for each Named Executive Officer as if such scenario occurred on June 30, 2016, the last day of the Corporation’s most recent fiscal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John H. Batten</w:t>
            </w: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92"/>
        </w:trPr>
        <w:tc>
          <w:tcPr>
            <w:tcW w:w="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Termination Event</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Base Salary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Accelerated</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Other Benefits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Incentive Plan</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Restricted Stock,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Performance Stock</w:t>
            </w: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and Performance</w:t>
            </w: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Stock Units, and</w:t>
            </w: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Stock Options</w:t>
            </w: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Eligible on</w:t>
            </w: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Eligible on</w:t>
            </w:r>
          </w:p>
        </w:tc>
        <w:tc>
          <w:tcPr>
            <w:tcW w:w="14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Eligible on</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6/30/16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6/30/16</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6/30/16</w:t>
            </w: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$806,893 (2)</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0"/>
              </w:rPr>
              <w:t>$806,893</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$806,893 (2)</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$ 372,650 (3)</w:t>
            </w: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$1,031,894</w:t>
            </w: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Voluntary Termination Prior to</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$0 (5)</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2"/>
              </w:rPr>
              <w:t>$1,072,830 (6)</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90"/>
              </w:rPr>
              <w:t>$1,905,517 (7)</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8"/>
              </w:rPr>
              <w:t>$2,978,347</w:t>
            </w: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bonus plan for FY16 was suspended as a part of a cost containment program, therefore no bonuses were payable.</w:t>
      </w:r>
    </w:p>
    <w:p>
      <w:pPr>
        <w:spacing w:after="0" w:line="23"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2016 ($72,302), plus 2/3rds of the maximum cash payment for performance stock units payable for the performance period ending June 30, 2017 ($45,008), plus the value of the prorated maximum number of shares issuable under the performance stock awards (100% of the maximum shares issuable under the performance stock awards for the performance period ending June 30, 2016 (6,899 shares), plus 2/3rds of the maximum shares issuable under the performance stock awards for the performance period ending June 30, 2017 (4,295 shares), plus 1/3rd of the maximum shares issuable under the performance stock awards for the performance period ending June 30, 2018 (10,260 shares)). In addition, Mr. Batten has 11,498 shares of restricted stock that vest on July 25, 2016,, 10,736 shares of restricted stock that vest on July,30, 2017, and 20,519 shares of restricted stock that vest on July 31, 2018 if he remains employed with the Corporation through those dates, respectively. The maximum cash payments of the performance stock unit awards were determined by using $10.48, the mean of the high and low selling prices of Twin Disc shares on June 30, 2016, and the values of performance shares and restricted shares were determined by using $10.74, the closing price of Twin Disc shares on June 30, 2016.</w:t>
      </w:r>
    </w:p>
    <w:p>
      <w:pPr>
        <w:spacing w:after="0" w:line="3" w:lineRule="exact"/>
        <w:rPr>
          <w:rFonts w:ascii="Arial" w:cs="Arial" w:eastAsia="Arial" w:hAnsi="Arial"/>
          <w:sz w:val="17"/>
          <w:szCs w:val="17"/>
          <w:color w:val="auto"/>
        </w:rPr>
      </w:pPr>
    </w:p>
    <w:p>
      <w:pPr>
        <w:ind w:left="340" w:right="60" w:hanging="332"/>
        <w:spacing w:after="0" w:line="265"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this amount, $225,002 is the value of six months of benefits beginning July 1, 2016 under the Corporation’s short-term disability program for salaried employees. Any benefits payable after six months are provided by a fully-insured disability carrier. The remainder of this amount is the June 30, 2016 value of Mr. Batten’s benefit under the Supplemental Executive Retirement Plan (“SERP”), which vests upon termination of employment due to disability but is not payable until the date that Mr. Batten would have attained early or normal retirement age under the SERP.</w:t>
      </w:r>
    </w:p>
    <w:p>
      <w:pPr>
        <w:ind w:left="340" w:righ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Batten was involuntarily terminated for cause on June 30, 2016.</w:t>
      </w:r>
    </w:p>
    <w:p>
      <w:pPr>
        <w:ind w:left="340" w:right="30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2016. These awards did not vest, as the performance target was not met.</w:t>
      </w:r>
    </w:p>
    <w:p>
      <w:pPr>
        <w:ind w:left="340" w:right="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(42,753) and performance stock (44,120) valued at $10.74 (the closing price of Twin Disc shares on June 30, 2016), and performance stock units (13,341) valued at $10.48 (the mean of the high and low selling prices of Twin Disc shares on June 30, 2016).</w:t>
      </w:r>
    </w:p>
    <w:p>
      <w:pPr>
        <w:spacing w:after="0" w:line="2" w:lineRule="exact"/>
        <w:rPr>
          <w:rFonts w:ascii="Arial" w:cs="Arial" w:eastAsia="Arial" w:hAnsi="Arial"/>
          <w:sz w:val="18"/>
          <w:szCs w:val="18"/>
          <w:color w:val="auto"/>
        </w:rPr>
      </w:pPr>
    </w:p>
    <w:p>
      <w:pPr>
        <w:ind w:left="340" w:right="20" w:hanging="332"/>
        <w:spacing w:after="0" w:line="25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Change in Control Severance Agreement as in effect on June 30, 2016, Mr. Batten is entitled to 2.5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$1,856,258 as of June 30, 2016. The figure in the table above also includes benefit continuation for 24 months ($49,259).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Jeffrey S. Knutson</w:t>
            </w: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92"/>
        </w:trPr>
        <w:tc>
          <w:tcPr>
            <w:tcW w:w="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Termination Event</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Base Salary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Accelerated</w:t>
            </w:r>
          </w:p>
        </w:tc>
        <w:tc>
          <w:tcPr>
            <w:tcW w:w="1400" w:type="dxa"/>
            <w:vAlign w:val="bottom"/>
          </w:tcPr>
          <w:p>
            <w:pPr>
              <w:ind w:left="140"/>
              <w:spacing w:after="0"/>
              <w:rPr>
                <w:sz w:val="20"/>
                <w:szCs w:val="20"/>
                <w:color w:val="auto"/>
              </w:rPr>
            </w:pPr>
            <w:r>
              <w:rPr>
                <w:rFonts w:ascii="Arial" w:cs="Arial" w:eastAsia="Arial" w:hAnsi="Arial"/>
                <w:sz w:val="18"/>
                <w:szCs w:val="18"/>
                <w:color w:val="auto"/>
              </w:rPr>
              <w:t>Other Benefits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Incentive Plan</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Restricted Stock,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Performance Stock,</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Performance Stock</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Units, and Stock</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6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0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Not eligible on</w:t>
            </w:r>
          </w:p>
        </w:tc>
        <w:tc>
          <w:tcPr>
            <w:tcW w:w="14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6/30/16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6/30/16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6//30/16</w:t>
            </w: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$ 311,727 (2)</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0"/>
              </w:rPr>
              <w:t>$311,727</w:t>
            </w: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$ 311,727 (2)</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$ 140,457 (3)</w:t>
            </w: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$452,184</w:t>
            </w: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Voluntary Termination Prior to</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$0 (5)</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$ 417,239 (6)</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1"/>
              </w:rPr>
              <w:t>$ 936,869 (7)</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8"/>
              </w:rPr>
              <w:t>$1,354,108</w:t>
            </w: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bonus plan was suspended as a part of a cost containment program, therefore no bonuses were payable.</w:t>
      </w:r>
    </w:p>
    <w:p>
      <w:pPr>
        <w:spacing w:after="0" w:line="23"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2016 ($21,494), plus 2/3rds of the maximum cash payment for performance stock units payable for the performance period ending June 30, 2017 ($12,485), plus the value of the prorated maximum number of shares issuable under the performance stock awards (100% of the maximum shares issuable under the performance stock awards for the performance period ending June 30, 2016 (2,051 shares), plus 2/3rds of the maximum shares issuable under the performance stock awards for the performance period ending June 30, 2017 (1,192 shares), plus 1/3rd of the maximum shares issuable under the performance stock awards for the performance period ending June 30, 2018 (4,324 shares). In addition, Mr. Knutson has 4,168 shares of restricted stock that vest on July 25, 2016, 5,478 shares of restricted stock that vest on July 30, 2017, and 8,648 shares of restricted stock that vest on July 31, 2018 if he remains employed with the Corporation through those dates, respectively. The maximum cash payments of the performance stock unit awards were determined by using $10.48, the mean of the high and low selling prices of Twin Disc shares on June 30, 2016, and the values of performance shares and restricted shares were determined by using $10.74, the closing price of Twin Disc shares on June 30, 2016.</w:t>
      </w:r>
    </w:p>
    <w:p>
      <w:pPr>
        <w:spacing w:after="0" w:line="3" w:lineRule="exact"/>
        <w:rPr>
          <w:rFonts w:ascii="Arial" w:cs="Arial" w:eastAsia="Arial" w:hAnsi="Arial"/>
          <w:sz w:val="17"/>
          <w:szCs w:val="17"/>
          <w:color w:val="auto"/>
        </w:rPr>
      </w:pPr>
    </w:p>
    <w:p>
      <w:pPr>
        <w:ind w:left="340" w:right="38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is the value of six months of benefits beginning July 1, 2016 under the Corporation’s short-term disability program for salaried employees. Any benefits payable after six months are provided by a fully-insured disability carrier.</w:t>
      </w:r>
    </w:p>
    <w:p>
      <w:pPr>
        <w:ind w:left="340" w:right="20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Knutson was involuntarily terminated for cause on June 30, 2016.</w:t>
      </w:r>
    </w:p>
    <w:p>
      <w:pPr>
        <w:ind w:left="340" w:right="30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2016. These awards did not vest, as the threshold performance target was not achieved.</w:t>
      </w:r>
    </w:p>
    <w:p>
      <w:pPr>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(18,294) and performance stock (16,810) valued at $10.74 (the closing price of Twin Disc shares on June 30, 2016), and performance stock units (3,838) valued at $10.48 (the mean of the high and low selling prices of Twin Disc shares on June 30, 2016).</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Under the Change in Control Severance Agreement as in effect on June 30, 2016, Mr. Knutson is entitled to 2.0 times his base salary plus the greater of</w:t>
      </w:r>
    </w:p>
    <w:p>
      <w:pPr>
        <w:spacing w:after="0" w:line="32" w:lineRule="exact"/>
        <w:rPr>
          <w:rFonts w:ascii="Arial" w:cs="Arial" w:eastAsia="Arial" w:hAnsi="Arial"/>
          <w:sz w:val="16"/>
          <w:szCs w:val="16"/>
          <w:color w:val="auto"/>
        </w:rPr>
      </w:pPr>
    </w:p>
    <w:p>
      <w:pPr>
        <w:ind w:left="340" w:right="20"/>
        <w:spacing w:after="0" w:line="253" w:lineRule="auto"/>
        <w:rPr>
          <w:rFonts w:ascii="Arial" w:cs="Arial" w:eastAsia="Arial" w:hAnsi="Arial"/>
          <w:sz w:val="16"/>
          <w:szCs w:val="16"/>
          <w:color w:val="auto"/>
        </w:rPr>
      </w:pPr>
      <w:r>
        <w:rPr>
          <w:rFonts w:ascii="Arial" w:cs="Arial" w:eastAsia="Arial" w:hAnsi="Arial"/>
          <w:sz w:val="18"/>
          <w:szCs w:val="18"/>
          <w:color w:val="auto"/>
        </w:rPr>
        <w:t>(1)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$888,294 as of June 30, 2016. The figure in the table above also includes benefit continuation for 24 months ($48,575).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Malcolm F. Moore</w:t>
            </w: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65"/>
        </w:trPr>
        <w:tc>
          <w:tcPr>
            <w:tcW w:w="2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Termination Event</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Base Salary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Accelerated</w:t>
            </w:r>
          </w:p>
        </w:tc>
        <w:tc>
          <w:tcPr>
            <w:tcW w:w="1420" w:type="dxa"/>
            <w:vAlign w:val="bottom"/>
          </w:tcPr>
          <w:p>
            <w:pPr>
              <w:ind w:left="140"/>
              <w:spacing w:after="0"/>
              <w:rPr>
                <w:sz w:val="20"/>
                <w:szCs w:val="20"/>
                <w:color w:val="auto"/>
              </w:rPr>
            </w:pPr>
            <w:r>
              <w:rPr>
                <w:rFonts w:ascii="Arial" w:cs="Arial" w:eastAsia="Arial" w:hAnsi="Arial"/>
                <w:sz w:val="18"/>
                <w:szCs w:val="18"/>
                <w:color w:val="auto"/>
              </w:rPr>
              <w:t>Other Benefits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Incentive Plan</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Restricted Stock,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w:t>
            </w: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Performance Stock,</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Performance Stock</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Units, and Stock</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6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2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Not eligible on</w:t>
            </w: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6/30/16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6/30/16</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6//30/16</w:t>
            </w: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$179,852 (2)</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0"/>
              </w:rPr>
              <w:t>$179,852</w:t>
            </w: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$179,852 (2)</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$122,019 (3)</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$301,871</w:t>
            </w: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Voluntary Termination Prior to</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$299,753 (5)</w:t>
            </w: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90"/>
              </w:rPr>
              <w:t>$ 1,094,557 (6)</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8"/>
              </w:rPr>
              <w:t>$1,394,310</w:t>
            </w: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bonus plan for FY2016 was suspended as a part of a cost containment program, therefore no bonuses were payable.</w:t>
      </w:r>
    </w:p>
    <w:p>
      <w:pPr>
        <w:spacing w:after="0" w:line="23"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death or disability, performance awards immediately vest and the awards will be delivered pro-rata, based on the assumption that the maximum performance target was achieved. In addition, restricted shares become non-forfeitable. The amount in the table was determined by calculating the prorated values of the maximum cash payments for 1/3rd of the maximum shares issuable under the performance stock awards for the performance period ending June 30, 2018 (5,582 shares). In addition, Mr. Moore has 11,164 shares of restricted stock that vest on July 31,2018, if he remains employed with the Corporation through that date. The values of performance shares and restricted shares were determined by using $10.74, the closing price of Twin Disc shares on June 30, 2016.</w:t>
      </w:r>
    </w:p>
    <w:p>
      <w:pPr>
        <w:spacing w:after="0" w:line="2"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is the value of six months of benefits beginning July 1, 2016 under the Corporation’s short-term disability program for salaried employees. Any benefits payable after six months are provided by a fully-insured disability carrier.</w:t>
      </w:r>
    </w:p>
    <w:p>
      <w:pPr>
        <w:ind w:left="340" w:right="32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Moore was involuntarily terminated for cause on June 30, 2016.</w:t>
      </w:r>
    </w:p>
    <w:p>
      <w:pPr>
        <w:ind w:left="340" w:right="300" w:hanging="332"/>
        <w:spacing w:after="0" w:line="265"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which consists of restricted shares (11,164) and performance stock (16,746) valued at $10.74 (the closing price of Twin Disc shares on June 30, 2016).).</w:t>
      </w:r>
    </w:p>
    <w:p>
      <w:pPr>
        <w:ind w:left="340" w:right="20" w:hanging="332"/>
        <w:spacing w:after="0" w:line="25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the Change in Control Severance Agreement as in effect on June 30, 2016, Mr. Moore is entitled to 2.0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$1,057,000 as of June 30, 2016. The figure in the table above also includes benefit continuation for 24 months ($37,057).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Dean J. Bratel</w:t>
            </w: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92"/>
        </w:trPr>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Accelerated</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Termination Event</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Base Salary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Restricted Stock,</w:t>
            </w:r>
          </w:p>
        </w:tc>
        <w:tc>
          <w:tcPr>
            <w:tcW w:w="1400" w:type="dxa"/>
            <w:vAlign w:val="bottom"/>
          </w:tcPr>
          <w:p>
            <w:pPr>
              <w:ind w:left="140"/>
              <w:spacing w:after="0"/>
              <w:rPr>
                <w:sz w:val="20"/>
                <w:szCs w:val="20"/>
                <w:color w:val="auto"/>
              </w:rPr>
            </w:pPr>
            <w:r>
              <w:rPr>
                <w:rFonts w:ascii="Arial" w:cs="Arial" w:eastAsia="Arial" w:hAnsi="Arial"/>
                <w:sz w:val="18"/>
                <w:szCs w:val="18"/>
                <w:color w:val="auto"/>
              </w:rPr>
              <w:t>Other Benefits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Incentive Plan</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Performance Stock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and Performance</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Stock Units, and</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Stock Options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6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0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Not eligible on</w:t>
            </w:r>
          </w:p>
        </w:tc>
        <w:tc>
          <w:tcPr>
            <w:tcW w:w="14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6/30/16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6/30/16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6/30/16</w:t>
            </w: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$317,973 (2)</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0"/>
              </w:rPr>
              <w:t>$317,973</w:t>
            </w: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$317,973 (2)</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$163,369 (3)</w:t>
            </w: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$481,342</w:t>
            </w:r>
          </w:p>
        </w:tc>
      </w:tr>
      <w:tr>
        <w:trPr>
          <w:trHeight w:val="230"/>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Voluntary Termination Prior to</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$0 (5)</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(7)</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$419,871 (6)</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2"/>
              </w:rPr>
              <w:t>$630,200 (7)</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8"/>
              </w:rPr>
              <w:t>$1,050,071</w:t>
            </w: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bonus plan for FY 2016 was suspended as part of a cost containment program, therefore no bonuses were payable.</w:t>
      </w:r>
    </w:p>
    <w:p>
      <w:pPr>
        <w:spacing w:after="0" w:line="23"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2016 ($28,621), plus 2/3rds of the maximum cash payment for performance stock units payable for the performance period ending June 30, 2017 ($17,243), plus the value of the prorated maximum number of shares issuable under the performance stock awards (100% of the maximum shares issuable under the performance stock awards for the performance period ending June 30, 2016 (2,732 shares), plus 2/3rds of the maximum shares issuable under the performance stock awards for the performance period ending June 30, 2017 (1,646 shares), plus 1/3rd of the maximum shares issuable under the performance stock awards for the performance period ending June 30, 2018 (3,931 shares). In addition, Mr. Bratel has 5,052 shares of restricted stock that vest on July 25, 2016, 4,113 shares of restricted stock that vest on July 30, 2017, and 7,862 shares of restricted stock that vest on July 31, 2018 if he remains employed with the Corporation through those dates, respectively. The maximum cash payments of the performance stock unit awards were determined by using $10.48, the mean of the high and low selling prices of Twin Disc shares on June 30, 2016, and the values of performance shares and restricted shares were determined by using $10.74, the closing price of Twin Disc shares on June 30, 2016.</w:t>
      </w:r>
    </w:p>
    <w:p>
      <w:pPr>
        <w:spacing w:after="0" w:line="3" w:lineRule="exact"/>
        <w:rPr>
          <w:rFonts w:ascii="Arial" w:cs="Arial" w:eastAsia="Arial" w:hAnsi="Arial"/>
          <w:sz w:val="17"/>
          <w:szCs w:val="17"/>
          <w:color w:val="auto"/>
        </w:rPr>
      </w:pPr>
    </w:p>
    <w:p>
      <w:pPr>
        <w:ind w:left="340" w:right="20" w:hanging="332"/>
        <w:spacing w:after="0" w:line="265"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Of this amount, $129,250 is the value of six months of benefits beginning July 1, 2016 under the Corporation’s short-term disability program for salaried employees. Any benefits payable after six months are provided by a fully-insured disability carrier. The remainder of this amount is the June 30, 2016 value of Mr. Bratel’s benefit under the Supplemental Executive Retirement Plan (“SERP”), which vests upon termination of employment due to disability but is not payable until the date that Mr. Bratel would have attained early or normal retirement age under the SERP.</w:t>
      </w:r>
    </w:p>
    <w:p>
      <w:pPr>
        <w:ind w:left="340" w:right="36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Bratel was involuntarily terminated for cause on June 30, 2016.</w:t>
      </w:r>
    </w:p>
    <w:p>
      <w:pPr>
        <w:ind w:left="340" w:right="30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2015. These awards did not vest, as the performance target was not achieved.</w:t>
      </w:r>
    </w:p>
    <w:p>
      <w:pPr>
        <w:ind w:left="3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(17,027) and performance stock (16,994) valued at $10.74 (the closing price of Twin Disc shares on June 30, 2016), and performance stock units (5,199) valued at $10.48 (the mean of the high and low selling prices of Twin Disc shares on June 30, 2016).</w:t>
      </w:r>
    </w:p>
    <w:p>
      <w:pPr>
        <w:spacing w:after="0" w:line="2" w:lineRule="exact"/>
        <w:rPr>
          <w:rFonts w:ascii="Arial" w:cs="Arial" w:eastAsia="Arial" w:hAnsi="Arial"/>
          <w:sz w:val="18"/>
          <w:szCs w:val="18"/>
          <w:color w:val="auto"/>
        </w:rPr>
      </w:pPr>
    </w:p>
    <w:p>
      <w:pPr>
        <w:ind w:left="340" w:right="20" w:hanging="332"/>
        <w:spacing w:after="0" w:line="25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the Change in Control Severance Agreement as in effect on June 30, 2016, Mr. Bratel is entitled to 1.5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$581,625 as of June 30, 2016. The figure in the table above also includes benefit continuation for 24 months ($48,575).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Denise L. Wilcox</w:t>
            </w: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92"/>
        </w:trPr>
        <w:tc>
          <w:tcPr>
            <w:tcW w:w="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Accelerated</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Termination Event</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Base Salary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Restricted Stock,</w:t>
            </w:r>
          </w:p>
        </w:tc>
        <w:tc>
          <w:tcPr>
            <w:tcW w:w="1400" w:type="dxa"/>
            <w:vAlign w:val="bottom"/>
          </w:tcPr>
          <w:p>
            <w:pPr>
              <w:ind w:left="140"/>
              <w:spacing w:after="0"/>
              <w:rPr>
                <w:sz w:val="20"/>
                <w:szCs w:val="20"/>
                <w:color w:val="auto"/>
              </w:rPr>
            </w:pPr>
            <w:r>
              <w:rPr>
                <w:rFonts w:ascii="Arial" w:cs="Arial" w:eastAsia="Arial" w:hAnsi="Arial"/>
                <w:sz w:val="18"/>
                <w:szCs w:val="18"/>
                <w:color w:val="auto"/>
              </w:rPr>
              <w:t>Other Benefits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Incentive Plan</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Performance Stock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and Performance</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Stock Units, and</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Stock Options</w:t>
            </w: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6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0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Not eligible on</w:t>
            </w:r>
          </w:p>
        </w:tc>
        <w:tc>
          <w:tcPr>
            <w:tcW w:w="14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6/30/16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6/30/16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6/30/16</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6/30/16</w:t>
            </w: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Death</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$207,428 (2)</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0"/>
              </w:rPr>
              <w:t>$207,428</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$207,428 (2)</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$134,709 (3)</w:t>
            </w: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$342,137</w:t>
            </w:r>
          </w:p>
        </w:tc>
      </w:tr>
      <w:tr>
        <w:trPr>
          <w:trHeight w:val="230"/>
        </w:trPr>
        <w:tc>
          <w:tcPr>
            <w:tcW w:w="20" w:type="dxa"/>
            <w:vAlign w:val="bottom"/>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Termination for Cause</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7"/>
              </w:rPr>
              <w:t>$ 0</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Voluntary Termination Prior to</w:t>
            </w: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$0 (5)</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Involuntary Termination or</w:t>
            </w: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 last</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$272,637 (6)</w:t>
            </w: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2"/>
              </w:rPr>
              <w:t>$486,984 (7)</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0"/>
              </w:rPr>
              <w:t>$759,621</w:t>
            </w: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day worked</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bonus plan for FY2016 was suspended as part of a cost containment program, therefore there were no bonuses payable.</w:t>
      </w:r>
    </w:p>
    <w:p>
      <w:pPr>
        <w:spacing w:after="0" w:line="23"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2016 ($18,854), plus 2/3rds of the maximum cash payment for performance stock units payable for the performance period ending June 30, 2017 ($11,032), plus the value of the prorated maximum number of shares issuable under the performance stock awards (100% of the maximum shares issuable under the performance stock awards for the performance period ending June 30, 2016 (1,799 shares), plus 2/3rds of the maximum shares issuable under the performance stock awards for the performance period ending June 30, 2017 (1,054 shares), plus 1/3rd of the maximum shares issuable under the performance stock awards for the performance period ending June 30, 2018 (2,516 shares)). In addition, Ms. Wilcox has 3,497 shares of restricted stock that vest on July 25, 2016, 2,633 shares of restricted stock that vest on July 30, 2017, and 5,032 shares of restricted stock that vest on July 31, 2018 if she remains employed with the Corporation through those dates, respectively. The maximum cash payments of the performance stock unit awards were determined by using $10.48, the mean of the high and low selling prices of Twin Disc shares on June 30, 2016, and the values of performance shares and restricted shares were determined by using $10.74, the closing price of Twin Disc shares on June 30, 2016.</w:t>
      </w:r>
    </w:p>
    <w:p>
      <w:pPr>
        <w:spacing w:after="0" w:line="3" w:lineRule="exact"/>
        <w:rPr>
          <w:rFonts w:ascii="Arial" w:cs="Arial" w:eastAsia="Arial" w:hAnsi="Arial"/>
          <w:sz w:val="17"/>
          <w:szCs w:val="17"/>
          <w:color w:val="auto"/>
        </w:rPr>
      </w:pPr>
    </w:p>
    <w:p>
      <w:pPr>
        <w:ind w:left="340" w:right="60" w:hanging="332"/>
        <w:spacing w:after="0" w:line="265"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Of this amount, $108,100 is the value of six months of benefits beginning July 1, 2016 under the Corporation’s short-term disability program for salaried employees. Any benefits payable after six months are provided by a fully-insured disability carrier. The remainder of this amount is the June 30, 2016 value of Ms. Wilcox’s benefit under the Supplemental Executive Retirement Plan (“SERP”), which vests upon termination of employment due to disability but is not payable until the date that Ms. Wilcox would have attained early or normal retirement age under the SERP.</w:t>
      </w:r>
    </w:p>
    <w:p>
      <w:pPr>
        <w:ind w:left="340" w:right="26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Ms. Wilcox was involuntarily terminated for cause on June 30, 2016.</w:t>
      </w:r>
    </w:p>
    <w:p>
      <w:pPr>
        <w:ind w:left="340" w:right="30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2016. These awards did not vest, as the performance target was not achieved.</w:t>
      </w:r>
    </w:p>
    <w:p>
      <w:pPr>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(11,162) and performance stock (10,927) valued at $10.74 (the closing price of Twin Disc shares on June 30, 2016), and performance stock units (3,378) valued at $10.48 (the mean of the high and low selling prices of Twin Disc shares on June 30, 2016).</w:t>
      </w:r>
    </w:p>
    <w:p>
      <w:pPr>
        <w:spacing w:after="0" w:line="2" w:lineRule="exact"/>
        <w:rPr>
          <w:rFonts w:ascii="Arial" w:cs="Arial" w:eastAsia="Arial" w:hAnsi="Arial"/>
          <w:sz w:val="18"/>
          <w:szCs w:val="18"/>
          <w:color w:val="auto"/>
        </w:rPr>
      </w:pPr>
    </w:p>
    <w:p>
      <w:pPr>
        <w:ind w:left="340" w:right="40" w:hanging="332"/>
        <w:spacing w:after="0" w:line="252"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the Change in Control Severance Agreement as in effect on June 30, 2016, Ms. Wilcox is entitled to 1.5 times the sum of her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$454,018 as of June 30, 2016. The figure in the table above also includes benefit continuation for 24 months ($32,966).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regarding the compensation received by each of our non-employee Directors during FY2016:</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860" w:type="dxa"/>
            <w:vAlign w:val="bottom"/>
            <w:tcBorders>
              <w:top w:val="single" w:sz="8" w:color="auto"/>
              <w:left w:val="single" w:sz="8" w:color="auto"/>
              <w:right w:val="single" w:sz="8" w:color="auto"/>
            </w:tcBorders>
          </w:tcPr>
          <w:p>
            <w:pPr>
              <w:spacing w:after="0"/>
              <w:rPr>
                <w:sz w:val="19"/>
                <w:szCs w:val="19"/>
                <w:color w:val="auto"/>
              </w:rPr>
            </w:pPr>
          </w:p>
        </w:tc>
        <w:tc>
          <w:tcPr>
            <w:tcW w:w="580" w:type="dxa"/>
            <w:vAlign w:val="bottom"/>
            <w:tcBorders>
              <w:top w:val="single" w:sz="8" w:color="auto"/>
              <w:right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Change in</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Pension Value</w:t>
            </w:r>
          </w:p>
        </w:tc>
        <w:tc>
          <w:tcPr>
            <w:tcW w:w="2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and Non-</w:t>
            </w:r>
          </w:p>
        </w:tc>
        <w:tc>
          <w:tcPr>
            <w:tcW w:w="2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qualified</w:t>
            </w:r>
          </w:p>
        </w:tc>
        <w:tc>
          <w:tcPr>
            <w:tcW w:w="2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5"/>
              </w:rPr>
              <w:t>Fees Earned</w:t>
            </w:r>
          </w:p>
        </w:tc>
        <w:tc>
          <w:tcPr>
            <w:tcW w:w="280" w:type="dxa"/>
            <w:vAlign w:val="bottom"/>
          </w:tcPr>
          <w:p>
            <w:pPr>
              <w:spacing w:after="0"/>
              <w:rPr>
                <w:sz w:val="18"/>
                <w:szCs w:val="18"/>
                <w:color w:val="auto"/>
              </w:rPr>
            </w:pPr>
          </w:p>
        </w:tc>
        <w:tc>
          <w:tcPr>
            <w:tcW w:w="10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6"/>
              </w:rPr>
              <w:t>Value of</w:t>
            </w: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Non-Equity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Deferred</w:t>
            </w:r>
          </w:p>
        </w:tc>
        <w:tc>
          <w:tcPr>
            <w:tcW w:w="260" w:type="dxa"/>
            <w:vAlign w:val="bottom"/>
          </w:tcPr>
          <w:p>
            <w:pPr>
              <w:spacing w:after="0"/>
              <w:rPr>
                <w:sz w:val="18"/>
                <w:szCs w:val="18"/>
                <w:color w:val="auto"/>
              </w:rPr>
            </w:pPr>
          </w:p>
        </w:tc>
        <w:tc>
          <w:tcPr>
            <w:tcW w:w="10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7"/>
              </w:rPr>
              <w:t>All Other</w:t>
            </w: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or Paid in</w:t>
            </w:r>
          </w:p>
        </w:tc>
        <w:tc>
          <w:tcPr>
            <w:tcW w:w="12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9"/>
              </w:rPr>
              <w:t>Stock Awards</w:t>
            </w:r>
          </w:p>
        </w:tc>
        <w:tc>
          <w:tcPr>
            <w:tcW w:w="12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Option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Incentive Plan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3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0"/>
        </w:trPr>
        <w:tc>
          <w:tcPr>
            <w:tcW w:w="186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Name</w:t>
            </w:r>
          </w:p>
        </w:tc>
        <w:tc>
          <w:tcPr>
            <w:tcW w:w="5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Year</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85"/>
              </w:rPr>
              <w:t>Cash</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Awards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Earnings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Michael Doar</w:t>
            </w:r>
          </w:p>
        </w:tc>
        <w:tc>
          <w:tcPr>
            <w:tcW w:w="5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65,375</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62,500</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w:t>
            </w:r>
          </w:p>
        </w:tc>
      </w:tr>
      <w:tr>
        <w:trPr>
          <w:trHeight w:val="210"/>
        </w:trPr>
        <w:tc>
          <w:tcPr>
            <w:tcW w:w="1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Janet Giesselman</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63,875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62,500</w:t>
            </w:r>
          </w:p>
        </w:tc>
        <w:tc>
          <w:tcPr>
            <w:tcW w:w="12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126,375</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David Rayburn</w:t>
            </w:r>
          </w:p>
        </w:tc>
        <w:tc>
          <w:tcPr>
            <w:tcW w:w="5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109,375</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62,500</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171,875</w:t>
            </w:r>
          </w:p>
        </w:tc>
      </w:tr>
      <w:tr>
        <w:trPr>
          <w:trHeight w:val="210"/>
        </w:trPr>
        <w:tc>
          <w:tcPr>
            <w:tcW w:w="1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Michael Smiley</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60,875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62,500</w:t>
            </w:r>
          </w:p>
        </w:tc>
        <w:tc>
          <w:tcPr>
            <w:tcW w:w="12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123,375</w:t>
            </w:r>
          </w:p>
        </w:tc>
      </w:tr>
      <w:tr>
        <w:trPr>
          <w:trHeight w:val="210"/>
        </w:trPr>
        <w:tc>
          <w:tcPr>
            <w:tcW w:w="18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Harold Stratton II</w:t>
            </w:r>
          </w:p>
        </w:tc>
        <w:tc>
          <w:tcPr>
            <w:tcW w:w="5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65,375</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62,500</w:t>
            </w: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w:t>
            </w:r>
          </w:p>
        </w:tc>
      </w:tr>
      <w:tr>
        <w:trPr>
          <w:trHeight w:val="206"/>
        </w:trPr>
        <w:tc>
          <w:tcPr>
            <w:tcW w:w="1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David Zimmer</w:t>
            </w:r>
          </w:p>
        </w:tc>
        <w:tc>
          <w:tcPr>
            <w:tcW w:w="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75,875</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62,500</w:t>
            </w:r>
          </w:p>
        </w:tc>
        <w:tc>
          <w:tcPr>
            <w:tcW w:w="12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3,750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-730250</wp:posOffset>
            </wp:positionV>
            <wp:extent cx="72294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-438785</wp:posOffset>
            </wp:positionV>
            <wp:extent cx="72294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-147320</wp:posOffset>
            </wp:positionV>
            <wp:extent cx="722947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17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Value of Stock Awards is computed as of the date of grant in accordance with Financial Accounting Standards Board ASC Topic 718.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Special compensation paid for a Board of Director’s assignment assisting management in evaluating potential acquisition targets.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Plan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Outside Directors of the Corporation (i.e. non-Corporation employees) are eligible to participate in the Twin Disc, Incorporated 2010 Stock Incentive Plan for Non-Employee Directors and are paid an annual retainer fee composed of both cash and restricted shares of Twin Disc stock.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FY2016, the Board reviewed its Director Compensation and maintained its annual retainer at $125,000, effective as of the date of the annual shareholders meeting in October 2015. They determined that the mix for FY2016 would be 50% cash and 50% restricted stock.</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Committee chairs are paid an annual fee in addition to the annual retainer. The chairs of the Finance and Risk Management Committee, the Pension Committee, and the Nominating and Governance Committee each receive an annual fee of $6,000. The chair of the Audit Committee receives a $12,000 annual fee and the chair of the Compensation and Executive Development Committee receives a $9,000 annual fee, due to the larger responsibilities of the positions. The annual Chairman’s fee remains at 40% of the retainer, or $50,000.</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Compensation and Executive Development Committee Report</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Compensation and Executive Development Committee of the Board of Directors has reviewed and discussed the Compensation Discussion and Analysis with management. Based on that review and discussion, the Compensation and Executive Development Committee recommended to the Board of Directors that the Compensation Discussion and Analysis be included in the Corporation’s proxy statement and the Corporation’s annual report on Form 10-K.</w:t>
      </w:r>
    </w:p>
    <w:p>
      <w:pPr>
        <w:spacing w:after="0" w:line="14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Members of the Compensation and Executive Development Committee: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Janet P. Giesselman, Chair</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C. Smiley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Harold M. Stratton II</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R. Zimmer</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2016.</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Auditing Standard No. 16, “ Communications with Audit Committees,” as adopted by the Public Company Accounting Oversight Board, and SEC Regulation S-X, Rule 2-07, “Communication with Audit Committees.”</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14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2016, for filing with the Securities and Exchange Commission.</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David R. Zimmer, Chair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Doar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Janet P. Giesselman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Michael C. Smiley</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July 29, 2016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summarizes certain information regarding the Corporation’s equity-based compensation plans as of the end of the most recently completed fiscal year:</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900" w:type="dxa"/>
            <w:vAlign w:val="bottom"/>
            <w:tcBorders>
              <w:top w:val="single" w:sz="8" w:color="auto"/>
              <w:left w:val="single" w:sz="8" w:color="auto"/>
              <w:right w:val="single" w:sz="8" w:color="auto"/>
            </w:tcBorders>
          </w:tcPr>
          <w:p>
            <w:pPr>
              <w:spacing w:after="0"/>
              <w:rPr>
                <w:sz w:val="19"/>
                <w:szCs w:val="19"/>
                <w:color w:val="auto"/>
              </w:rPr>
            </w:pP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of Securities to be Issued Upon</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Weighted Average Price of</w:t>
            </w:r>
          </w:p>
        </w:tc>
        <w:tc>
          <w:tcPr>
            <w:tcW w:w="2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 of Securities Remaining Available</w:t>
            </w:r>
          </w:p>
        </w:tc>
      </w:tr>
      <w:tr>
        <w:trPr>
          <w:trHeight w:val="216"/>
        </w:trPr>
        <w:tc>
          <w:tcPr>
            <w:tcW w:w="2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Plan Category</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Exercise of Outstanding Options,</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Outstanding Options, Warrants and</w:t>
            </w:r>
          </w:p>
        </w:tc>
        <w:tc>
          <w:tcPr>
            <w:tcW w:w="2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Future Issuance Under Equity</w:t>
            </w:r>
          </w:p>
        </w:tc>
      </w:tr>
      <w:tr>
        <w:trPr>
          <w:trHeight w:val="230"/>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Warrants and Rights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Rights</w:t>
            </w:r>
          </w:p>
        </w:tc>
        <w:tc>
          <w:tcPr>
            <w:tcW w:w="2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Compensation Plans</w:t>
            </w:r>
          </w:p>
        </w:tc>
      </w:tr>
      <w:tr>
        <w:trPr>
          <w:trHeight w:val="195"/>
        </w:trPr>
        <w:tc>
          <w:tcPr>
            <w:tcW w:w="2900" w:type="dxa"/>
            <w:vAlign w:val="bottom"/>
            <w:tcBorders>
              <w:left w:val="single" w:sz="8" w:color="auto"/>
              <w:right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Equity Compensation Plans</w:t>
            </w:r>
          </w:p>
        </w:tc>
        <w:tc>
          <w:tcPr>
            <w:tcW w:w="2840" w:type="dxa"/>
            <w:vAlign w:val="bottom"/>
            <w:tcBorders>
              <w:right w:val="single" w:sz="8" w:color="auto"/>
            </w:tcBorders>
            <w:shd w:val="clear" w:color="auto" w:fill="CCEEFF"/>
          </w:tcPr>
          <w:p>
            <w:pPr>
              <w:spacing w:after="0"/>
              <w:rPr>
                <w:sz w:val="16"/>
                <w:szCs w:val="16"/>
                <w:color w:val="auto"/>
              </w:rPr>
            </w:pPr>
          </w:p>
        </w:tc>
        <w:tc>
          <w:tcPr>
            <w:tcW w:w="2840" w:type="dxa"/>
            <w:vAlign w:val="bottom"/>
            <w:tcBorders>
              <w:right w:val="single" w:sz="8" w:color="auto"/>
            </w:tcBorders>
            <w:shd w:val="clear" w:color="auto" w:fill="CCEEFF"/>
          </w:tcPr>
          <w:p>
            <w:pPr>
              <w:spacing w:after="0"/>
              <w:rPr>
                <w:sz w:val="16"/>
                <w:szCs w:val="16"/>
                <w:color w:val="auto"/>
              </w:rPr>
            </w:pPr>
          </w:p>
        </w:tc>
        <w:tc>
          <w:tcPr>
            <w:tcW w:w="2840" w:type="dxa"/>
            <w:vAlign w:val="bottom"/>
            <w:tcBorders>
              <w:right w:val="single" w:sz="8" w:color="auto"/>
            </w:tcBorders>
            <w:shd w:val="clear" w:color="auto" w:fill="CCEEFF"/>
          </w:tcPr>
          <w:p>
            <w:pPr>
              <w:spacing w:after="0"/>
              <w:rPr>
                <w:sz w:val="16"/>
                <w:szCs w:val="16"/>
                <w:color w:val="auto"/>
              </w:rPr>
            </w:pPr>
          </w:p>
        </w:tc>
      </w:tr>
      <w:tr>
        <w:trPr>
          <w:trHeight w:val="230"/>
        </w:trPr>
        <w:tc>
          <w:tcPr>
            <w:tcW w:w="29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Approved by Shareholders</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121,600 (1)</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$16.80 (2)</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477,710 (3)</w:t>
            </w:r>
          </w:p>
        </w:tc>
      </w:tr>
      <w:tr>
        <w:trPr>
          <w:trHeight w:val="195"/>
        </w:trPr>
        <w:tc>
          <w:tcPr>
            <w:tcW w:w="29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Equity Compensation Plans Not</w:t>
            </w:r>
          </w:p>
        </w:tc>
        <w:tc>
          <w:tcPr>
            <w:tcW w:w="284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r>
      <w:tr>
        <w:trPr>
          <w:trHeight w:val="230"/>
        </w:trPr>
        <w:tc>
          <w:tcPr>
            <w:tcW w:w="2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Approved By Shareholders</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08"/>
        </w:trPr>
        <w:tc>
          <w:tcPr>
            <w:tcW w:w="29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121,600 (1)</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$16.80 (2)</w:t>
            </w:r>
          </w:p>
        </w:tc>
        <w:tc>
          <w:tcPr>
            <w:tcW w:w="2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477,710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-430530</wp:posOffset>
            </wp:positionV>
            <wp:extent cx="7229475"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283210"/>
                    </a:xfrm>
                    <a:prstGeom prst="rect">
                      <a:avLst/>
                    </a:prstGeom>
                    <a:noFill/>
                  </pic:spPr>
                </pic:pic>
              </a:graphicData>
            </a:graphic>
          </wp:anchor>
        </w:drawing>
      </w:r>
    </w:p>
    <w:p>
      <w:pPr>
        <w:spacing w:after="0" w:line="178" w:lineRule="exact"/>
        <w:rPr>
          <w:sz w:val="20"/>
          <w:szCs w:val="20"/>
          <w:color w:val="auto"/>
        </w:rPr>
      </w:pPr>
    </w:p>
    <w:p>
      <w:pPr>
        <w:ind w:left="340" w:right="80" w:hanging="332"/>
        <w:spacing w:after="0" w:line="25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16,800 non-qualified stock options awarded under the Twin Disc, Incorporated 2004 Stock Incentive Plan for Non-Employee Directors. Also includes 90,699 shares of performance stock that may be issued as of June 30, 2018 under the Twin Disc, Incorporated 2010 Stock Incentive Plan, assuming the maximum performance level will be achieved. As of June 30, 2016, the Corporation believes that it is unlikely that the threshold performance goals will be achieved. Also includes 14,101 shares of performance stock that may be issued as of June 30, 2017 under the Twin Disc, Incorporated 2010 Stock Incentive Plan, assuming the maximum performance goals are achieved. As of June 30, 2016, the Corporation believes that it is unlikely that the threshold performance goals will be achieved.</w:t>
      </w:r>
    </w:p>
    <w:p>
      <w:pPr>
        <w:spacing w:after="0" w:line="1" w:lineRule="exact"/>
        <w:rPr>
          <w:rFonts w:ascii="Arial" w:cs="Arial" w:eastAsia="Arial" w:hAnsi="Arial"/>
          <w:sz w:val="18"/>
          <w:szCs w:val="18"/>
          <w:color w:val="auto"/>
        </w:rPr>
      </w:pPr>
    </w:p>
    <w:p>
      <w:pPr>
        <w:ind w:left="340" w:right="480" w:hanging="332"/>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Because performance stock awards do not have an exercise price, the weighted-average exercise price does not take performance stock awards into account.</w:t>
      </w:r>
    </w:p>
    <w:p>
      <w:pPr>
        <w:ind w:left="340" w:right="160" w:hanging="332"/>
        <w:spacing w:after="0" w:line="25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333,054 shares of the Corporation’s common stock issuable under the Amended and Restated Twin Disc, Incorporated 2010 Stock Incentive Plan, and 144,656 shares issuable under the Twin Disc, Incorporated 2010 Stock Incentive Plan for Non-Employee Directors. Assumes that outstanding performance stock awards will be issued at maximum, which may not reflect the most probable outcome. As of June 30, 2016, the Corporation believes that it is unlikely that the threshold performance goals will be achieved.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Section 16 of the Securities Exchange Act of 1934 requires the Corporation’s Directors, executive officers and certain persons who beneficially own more than 10% of a registered class of the Corporation’s equity securities to file reports of ownership and changes in ownership of Twin Disc stock. Based solely on a review of the copies of such forms furnished to the Corporation and representations from executive officers and Directors, the Corporation believes that during the period from July 1, 2015 to June 30, 2016, all Section 16(a) filing requirements applicable to its executive officers, Directors and greater than 10% beneficial owners were properly filed with the Securities and Exchange Commission with the exception of Ms. Giesselman’s July 8, 2015 Form 4 filing (which should have been filed on July 2, 2015) and Mr. Batten’s March 2, 2016 Form 4 filing (which should have been filed on December 16, 2015).</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Corporation will bear the cost of the solicitation of proxies. The firm of Georgeson Inc., New York, NY has been retained to assist in solicitation of proxies for the Annual Meeting at a fee not to exceed $9,500 plus expenses.</w:t>
      </w:r>
    </w:p>
    <w:p>
      <w:pPr>
        <w:spacing w:after="0" w:line="17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Annual Meeting. Alternatively, shareholders may transmit voting instructions via the Internet by accessing </w:t>
      </w:r>
      <w:r>
        <w:rPr>
          <w:rFonts w:ascii="Arial" w:cs="Arial" w:eastAsia="Arial" w:hAnsi="Arial"/>
          <w:sz w:val="17"/>
          <w:szCs w:val="17"/>
          <w:u w:val="single" w:color="auto"/>
          <w:color w:val="auto"/>
        </w:rPr>
        <w:t>www.investorvote.com/twin</w:t>
      </w:r>
      <w:r>
        <w:rPr>
          <w:rFonts w:ascii="Arial" w:cs="Arial" w:eastAsia="Arial" w:hAnsi="Arial"/>
          <w:sz w:val="17"/>
          <w:szCs w:val="17"/>
          <w:color w:val="auto"/>
        </w:rPr>
        <w:t xml:space="preserve"> or by telephone at 1-800-652-8683.</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22"/>
          <w:szCs w:val="22"/>
          <w:color w:val="auto"/>
        </w:rPr>
        <w:t>APPENDIX A</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COMPENSATION SURVEYS: PARTICIPATING COMPANIES UTILIZED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CDB General Industry Executive</w:t>
            </w:r>
          </w:p>
        </w:tc>
        <w:tc>
          <w:tcPr>
            <w:tcW w:w="4280" w:type="dxa"/>
            <w:vAlign w:val="bottom"/>
          </w:tcPr>
          <w:p>
            <w:pPr>
              <w:ind w:left="620"/>
              <w:spacing w:after="0"/>
              <w:rPr>
                <w:sz w:val="20"/>
                <w:szCs w:val="20"/>
                <w:color w:val="auto"/>
              </w:rPr>
            </w:pPr>
            <w:r>
              <w:rPr>
                <w:rFonts w:ascii="Arial" w:cs="Arial" w:eastAsia="Arial" w:hAnsi="Arial"/>
                <w:sz w:val="18"/>
                <w:szCs w:val="18"/>
                <w:b w:val="1"/>
                <w:bCs w:val="1"/>
                <w:color w:val="auto"/>
              </w:rPr>
              <w:t>Durable Goods Companies</w:t>
            </w:r>
          </w:p>
        </w:tc>
        <w:tc>
          <w:tcPr>
            <w:tcW w:w="4000" w:type="dxa"/>
            <w:vAlign w:val="bottom"/>
          </w:tcPr>
          <w:p>
            <w:pPr>
              <w:spacing w:after="0"/>
              <w:rPr>
                <w:sz w:val="18"/>
                <w:szCs w:val="18"/>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8"/>
                <w:szCs w:val="18"/>
                <w:b w:val="1"/>
                <w:bCs w:val="1"/>
                <w:color w:val="auto"/>
              </w:rPr>
              <w:t>Companies Revenues &lt; $1B</w:t>
            </w:r>
          </w:p>
        </w:tc>
        <w:tc>
          <w:tcPr>
            <w:tcW w:w="4280" w:type="dxa"/>
            <w:vAlign w:val="bottom"/>
          </w:tcPr>
          <w:p>
            <w:pPr>
              <w:ind w:left="620"/>
              <w:spacing w:after="0"/>
              <w:rPr>
                <w:sz w:val="20"/>
                <w:szCs w:val="20"/>
                <w:color w:val="auto"/>
              </w:rPr>
            </w:pPr>
            <w:r>
              <w:rPr>
                <w:rFonts w:ascii="Arial" w:cs="Arial" w:eastAsia="Arial" w:hAnsi="Arial"/>
                <w:sz w:val="18"/>
                <w:szCs w:val="18"/>
                <w:b w:val="1"/>
                <w:bCs w:val="1"/>
                <w:color w:val="auto"/>
              </w:rPr>
              <w:t>Revenues &lt; $450M</w:t>
            </w:r>
          </w:p>
        </w:tc>
        <w:tc>
          <w:tcPr>
            <w:tcW w:w="4000" w:type="dxa"/>
            <w:vAlign w:val="bottom"/>
          </w:tcPr>
          <w:p>
            <w:pPr>
              <w:ind w:left="160"/>
              <w:spacing w:after="0"/>
              <w:rPr>
                <w:sz w:val="20"/>
                <w:szCs w:val="20"/>
                <w:color w:val="auto"/>
              </w:rPr>
            </w:pPr>
            <w:r>
              <w:rPr>
                <w:rFonts w:ascii="Arial" w:cs="Arial" w:eastAsia="Arial" w:hAnsi="Arial"/>
                <w:sz w:val="18"/>
                <w:szCs w:val="18"/>
                <w:color w:val="auto"/>
              </w:rPr>
              <w:t>Southco, Inc.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Acxiom</w:t>
            </w:r>
          </w:p>
        </w:tc>
        <w:tc>
          <w:tcPr>
            <w:tcW w:w="4280" w:type="dxa"/>
            <w:vAlign w:val="bottom"/>
          </w:tcPr>
          <w:p>
            <w:pPr>
              <w:ind w:left="620"/>
              <w:spacing w:after="0"/>
              <w:rPr>
                <w:sz w:val="20"/>
                <w:szCs w:val="20"/>
                <w:color w:val="auto"/>
              </w:rPr>
            </w:pPr>
            <w:r>
              <w:rPr>
                <w:rFonts w:ascii="Arial" w:cs="Arial" w:eastAsia="Arial" w:hAnsi="Arial"/>
                <w:sz w:val="18"/>
                <w:szCs w:val="18"/>
                <w:color w:val="auto"/>
              </w:rPr>
              <w:t>Acumed</w:t>
            </w:r>
          </w:p>
        </w:tc>
        <w:tc>
          <w:tcPr>
            <w:tcW w:w="4000" w:type="dxa"/>
            <w:vAlign w:val="bottom"/>
          </w:tcPr>
          <w:p>
            <w:pPr>
              <w:ind w:left="160"/>
              <w:spacing w:after="0"/>
              <w:rPr>
                <w:sz w:val="20"/>
                <w:szCs w:val="20"/>
                <w:color w:val="auto"/>
              </w:rPr>
            </w:pPr>
            <w:r>
              <w:rPr>
                <w:rFonts w:ascii="Arial" w:cs="Arial" w:eastAsia="Arial" w:hAnsi="Arial"/>
                <w:sz w:val="18"/>
                <w:szCs w:val="18"/>
                <w:color w:val="auto"/>
              </w:rPr>
              <w:t>The Bergquist Company</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Aerojet</w:t>
            </w:r>
          </w:p>
        </w:tc>
        <w:tc>
          <w:tcPr>
            <w:tcW w:w="4280" w:type="dxa"/>
            <w:vAlign w:val="bottom"/>
          </w:tcPr>
          <w:p>
            <w:pPr>
              <w:ind w:left="620"/>
              <w:spacing w:after="0"/>
              <w:rPr>
                <w:sz w:val="20"/>
                <w:szCs w:val="20"/>
                <w:color w:val="auto"/>
              </w:rPr>
            </w:pPr>
            <w:r>
              <w:rPr>
                <w:rFonts w:ascii="Arial" w:cs="Arial" w:eastAsia="Arial" w:hAnsi="Arial"/>
                <w:sz w:val="18"/>
                <w:szCs w:val="18"/>
                <w:color w:val="auto"/>
              </w:rPr>
              <w:t>Alfa Laval Inc.</w:t>
            </w:r>
          </w:p>
        </w:tc>
        <w:tc>
          <w:tcPr>
            <w:tcW w:w="4000" w:type="dxa"/>
            <w:vAlign w:val="bottom"/>
          </w:tcPr>
          <w:p>
            <w:pPr>
              <w:ind w:left="160"/>
              <w:spacing w:after="0"/>
              <w:rPr>
                <w:sz w:val="20"/>
                <w:szCs w:val="20"/>
                <w:color w:val="auto"/>
              </w:rPr>
            </w:pPr>
            <w:r>
              <w:rPr>
                <w:rFonts w:ascii="Arial" w:cs="Arial" w:eastAsia="Arial" w:hAnsi="Arial"/>
                <w:sz w:val="18"/>
                <w:szCs w:val="18"/>
                <w:color w:val="auto"/>
              </w:rPr>
              <w:t>United Conveyor Corporation</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Appleton Papers</w:t>
            </w:r>
          </w:p>
        </w:tc>
        <w:tc>
          <w:tcPr>
            <w:tcW w:w="4280" w:type="dxa"/>
            <w:vAlign w:val="bottom"/>
          </w:tcPr>
          <w:p>
            <w:pPr>
              <w:ind w:left="620"/>
              <w:spacing w:after="0"/>
              <w:rPr>
                <w:sz w:val="20"/>
                <w:szCs w:val="20"/>
                <w:color w:val="auto"/>
              </w:rPr>
            </w:pPr>
            <w:r>
              <w:rPr>
                <w:rFonts w:ascii="Arial" w:cs="Arial" w:eastAsia="Arial" w:hAnsi="Arial"/>
                <w:sz w:val="18"/>
                <w:szCs w:val="18"/>
                <w:color w:val="auto"/>
              </w:rPr>
              <w:t>Ames True Temper</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Arctic Cat</w:t>
            </w:r>
          </w:p>
        </w:tc>
        <w:tc>
          <w:tcPr>
            <w:tcW w:w="4280" w:type="dxa"/>
            <w:vAlign w:val="bottom"/>
          </w:tcPr>
          <w:p>
            <w:pPr>
              <w:ind w:left="620"/>
              <w:spacing w:after="0"/>
              <w:rPr>
                <w:sz w:val="20"/>
                <w:szCs w:val="20"/>
                <w:color w:val="auto"/>
              </w:rPr>
            </w:pPr>
            <w:r>
              <w:rPr>
                <w:rFonts w:ascii="Arial" w:cs="Arial" w:eastAsia="Arial" w:hAnsi="Arial"/>
                <w:sz w:val="18"/>
                <w:szCs w:val="18"/>
                <w:color w:val="auto"/>
              </w:rPr>
              <w:t>ASCO VALVE</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Aricent Group</w:t>
            </w:r>
          </w:p>
        </w:tc>
        <w:tc>
          <w:tcPr>
            <w:tcW w:w="4280" w:type="dxa"/>
            <w:vAlign w:val="bottom"/>
          </w:tcPr>
          <w:p>
            <w:pPr>
              <w:ind w:left="620"/>
              <w:spacing w:after="0"/>
              <w:rPr>
                <w:sz w:val="20"/>
                <w:szCs w:val="20"/>
                <w:color w:val="auto"/>
              </w:rPr>
            </w:pPr>
            <w:r>
              <w:rPr>
                <w:rFonts w:ascii="Arial" w:cs="Arial" w:eastAsia="Arial" w:hAnsi="Arial"/>
                <w:sz w:val="18"/>
                <w:szCs w:val="18"/>
                <w:color w:val="auto"/>
              </w:rPr>
              <w:t>Bemis Mfg. Co.</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4280" w:type="dxa"/>
            <w:vAlign w:val="bottom"/>
          </w:tcPr>
          <w:p>
            <w:pPr>
              <w:ind w:left="620"/>
              <w:spacing w:after="0"/>
              <w:rPr>
                <w:sz w:val="20"/>
                <w:szCs w:val="20"/>
                <w:color w:val="auto"/>
              </w:rPr>
            </w:pPr>
            <w:r>
              <w:rPr>
                <w:rFonts w:ascii="Arial" w:cs="Arial" w:eastAsia="Arial" w:hAnsi="Arial"/>
                <w:sz w:val="18"/>
                <w:szCs w:val="18"/>
                <w:color w:val="auto"/>
                <w:w w:val="96"/>
              </w:rPr>
              <w:t>BIC Advertising and Promotional Products (BIC</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Bush Brothers</w:t>
            </w:r>
          </w:p>
        </w:tc>
        <w:tc>
          <w:tcPr>
            <w:tcW w:w="4280" w:type="dxa"/>
            <w:vAlign w:val="bottom"/>
          </w:tcPr>
          <w:p>
            <w:pPr>
              <w:ind w:left="620"/>
              <w:spacing w:after="0"/>
              <w:rPr>
                <w:sz w:val="20"/>
                <w:szCs w:val="20"/>
                <w:color w:val="auto"/>
              </w:rPr>
            </w:pPr>
            <w:r>
              <w:rPr>
                <w:rFonts w:ascii="Arial" w:cs="Arial" w:eastAsia="Arial" w:hAnsi="Arial"/>
                <w:sz w:val="18"/>
                <w:szCs w:val="18"/>
                <w:color w:val="auto"/>
              </w:rPr>
              <w:t>APP)</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E.W. Scripps</w:t>
            </w:r>
          </w:p>
        </w:tc>
        <w:tc>
          <w:tcPr>
            <w:tcW w:w="4280" w:type="dxa"/>
            <w:vAlign w:val="bottom"/>
          </w:tcPr>
          <w:p>
            <w:pPr>
              <w:ind w:left="620"/>
              <w:spacing w:after="0"/>
              <w:rPr>
                <w:sz w:val="20"/>
                <w:szCs w:val="20"/>
                <w:color w:val="auto"/>
              </w:rPr>
            </w:pPr>
            <w:r>
              <w:rPr>
                <w:rFonts w:ascii="Arial" w:cs="Arial" w:eastAsia="Arial" w:hAnsi="Arial"/>
                <w:sz w:val="18"/>
                <w:szCs w:val="18"/>
                <w:color w:val="auto"/>
              </w:rPr>
              <w:t>Bosch Rexroth</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EnPro Industries</w:t>
            </w:r>
          </w:p>
        </w:tc>
        <w:tc>
          <w:tcPr>
            <w:tcW w:w="4280" w:type="dxa"/>
            <w:vAlign w:val="bottom"/>
          </w:tcPr>
          <w:p>
            <w:pPr>
              <w:ind w:left="620"/>
              <w:spacing w:after="0"/>
              <w:rPr>
                <w:sz w:val="20"/>
                <w:szCs w:val="20"/>
                <w:color w:val="auto"/>
              </w:rPr>
            </w:pPr>
            <w:r>
              <w:rPr>
                <w:rFonts w:ascii="Arial" w:cs="Arial" w:eastAsia="Arial" w:hAnsi="Arial"/>
                <w:sz w:val="18"/>
                <w:szCs w:val="18"/>
                <w:color w:val="auto"/>
              </w:rPr>
              <w:t>Bradley Corporation</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ESRI</w:t>
            </w:r>
          </w:p>
        </w:tc>
        <w:tc>
          <w:tcPr>
            <w:tcW w:w="4280" w:type="dxa"/>
            <w:vAlign w:val="bottom"/>
          </w:tcPr>
          <w:p>
            <w:pPr>
              <w:ind w:left="620"/>
              <w:spacing w:after="0"/>
              <w:rPr>
                <w:sz w:val="20"/>
                <w:szCs w:val="20"/>
                <w:color w:val="auto"/>
              </w:rPr>
            </w:pPr>
            <w:r>
              <w:rPr>
                <w:rFonts w:ascii="Arial" w:cs="Arial" w:eastAsia="Arial" w:hAnsi="Arial"/>
                <w:sz w:val="18"/>
                <w:szCs w:val="18"/>
                <w:color w:val="auto"/>
              </w:rPr>
              <w:t>Bulk Handling Systems</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Euro-Pro</w:t>
            </w:r>
          </w:p>
        </w:tc>
        <w:tc>
          <w:tcPr>
            <w:tcW w:w="4280" w:type="dxa"/>
            <w:vAlign w:val="bottom"/>
          </w:tcPr>
          <w:p>
            <w:pPr>
              <w:ind w:left="620"/>
              <w:spacing w:after="0"/>
              <w:rPr>
                <w:sz w:val="20"/>
                <w:szCs w:val="20"/>
                <w:color w:val="auto"/>
              </w:rPr>
            </w:pPr>
            <w:r>
              <w:rPr>
                <w:rFonts w:ascii="Arial" w:cs="Arial" w:eastAsia="Arial" w:hAnsi="Arial"/>
                <w:sz w:val="18"/>
                <w:szCs w:val="18"/>
                <w:color w:val="auto"/>
              </w:rPr>
              <w:t>CAMCRAFT</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Fidessa Group</w:t>
            </w:r>
          </w:p>
        </w:tc>
        <w:tc>
          <w:tcPr>
            <w:tcW w:w="4280" w:type="dxa"/>
            <w:vAlign w:val="bottom"/>
          </w:tcPr>
          <w:p>
            <w:pPr>
              <w:ind w:left="620"/>
              <w:spacing w:after="0"/>
              <w:rPr>
                <w:sz w:val="20"/>
                <w:szCs w:val="20"/>
                <w:color w:val="auto"/>
              </w:rPr>
            </w:pPr>
            <w:r>
              <w:rPr>
                <w:rFonts w:ascii="Arial" w:cs="Arial" w:eastAsia="Arial" w:hAnsi="Arial"/>
                <w:sz w:val="18"/>
                <w:szCs w:val="18"/>
                <w:color w:val="auto"/>
              </w:rPr>
              <w:t>Engineered Plastics Company</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GenCorp</w:t>
            </w:r>
          </w:p>
        </w:tc>
        <w:tc>
          <w:tcPr>
            <w:tcW w:w="4280" w:type="dxa"/>
            <w:vAlign w:val="bottom"/>
          </w:tcPr>
          <w:p>
            <w:pPr>
              <w:ind w:left="620"/>
              <w:spacing w:after="0"/>
              <w:rPr>
                <w:sz w:val="20"/>
                <w:szCs w:val="20"/>
                <w:color w:val="auto"/>
              </w:rPr>
            </w:pPr>
            <w:r>
              <w:rPr>
                <w:rFonts w:ascii="Arial" w:cs="Arial" w:eastAsia="Arial" w:hAnsi="Arial"/>
                <w:sz w:val="18"/>
                <w:szCs w:val="18"/>
                <w:color w:val="auto"/>
              </w:rPr>
              <w:t>Etnyre International, Ltd.</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Globecomm Systems</w:t>
            </w:r>
          </w:p>
        </w:tc>
        <w:tc>
          <w:tcPr>
            <w:tcW w:w="4280" w:type="dxa"/>
            <w:vAlign w:val="bottom"/>
          </w:tcPr>
          <w:p>
            <w:pPr>
              <w:ind w:left="620"/>
              <w:spacing w:after="0"/>
              <w:rPr>
                <w:sz w:val="20"/>
                <w:szCs w:val="20"/>
                <w:color w:val="auto"/>
              </w:rPr>
            </w:pPr>
            <w:r>
              <w:rPr>
                <w:rFonts w:ascii="Arial" w:cs="Arial" w:eastAsia="Arial" w:hAnsi="Arial"/>
                <w:sz w:val="18"/>
                <w:szCs w:val="18"/>
                <w:color w:val="auto"/>
              </w:rPr>
              <w:t>Fleetwood Group, Inc.</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Graco Neustar</w:t>
            </w:r>
          </w:p>
        </w:tc>
        <w:tc>
          <w:tcPr>
            <w:tcW w:w="4280" w:type="dxa"/>
            <w:vAlign w:val="bottom"/>
          </w:tcPr>
          <w:p>
            <w:pPr>
              <w:ind w:left="620"/>
              <w:spacing w:after="0"/>
              <w:rPr>
                <w:sz w:val="20"/>
                <w:szCs w:val="20"/>
                <w:color w:val="auto"/>
              </w:rPr>
            </w:pPr>
            <w:r>
              <w:rPr>
                <w:rFonts w:ascii="Arial" w:cs="Arial" w:eastAsia="Arial" w:hAnsi="Arial"/>
                <w:sz w:val="18"/>
                <w:szCs w:val="18"/>
                <w:color w:val="auto"/>
              </w:rPr>
              <w:t>Flexible Steel Lacing Company</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Hanger Orthopedic Group</w:t>
            </w:r>
          </w:p>
        </w:tc>
        <w:tc>
          <w:tcPr>
            <w:tcW w:w="4280" w:type="dxa"/>
            <w:vAlign w:val="bottom"/>
          </w:tcPr>
          <w:p>
            <w:pPr>
              <w:ind w:left="620"/>
              <w:spacing w:after="0"/>
              <w:rPr>
                <w:sz w:val="20"/>
                <w:szCs w:val="20"/>
                <w:color w:val="auto"/>
              </w:rPr>
            </w:pPr>
            <w:r>
              <w:rPr>
                <w:rFonts w:ascii="Arial" w:cs="Arial" w:eastAsia="Arial" w:hAnsi="Arial"/>
                <w:sz w:val="18"/>
                <w:szCs w:val="18"/>
                <w:color w:val="auto"/>
              </w:rPr>
              <w:t>Georg Fischer Signet LLC</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HNTB Regency Centers</w:t>
            </w:r>
          </w:p>
        </w:tc>
        <w:tc>
          <w:tcPr>
            <w:tcW w:w="4280" w:type="dxa"/>
            <w:vAlign w:val="bottom"/>
          </w:tcPr>
          <w:p>
            <w:pPr>
              <w:ind w:left="620"/>
              <w:spacing w:after="0"/>
              <w:rPr>
                <w:sz w:val="20"/>
                <w:szCs w:val="20"/>
                <w:color w:val="auto"/>
              </w:rPr>
            </w:pPr>
            <w:r>
              <w:rPr>
                <w:rFonts w:ascii="Arial" w:cs="Arial" w:eastAsia="Arial" w:hAnsi="Arial"/>
                <w:sz w:val="18"/>
                <w:szCs w:val="18"/>
                <w:color w:val="auto"/>
              </w:rPr>
              <w:t>HU-FRIEDY MFG. CO.,</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Hovnanian Enterprises</w:t>
            </w:r>
          </w:p>
        </w:tc>
        <w:tc>
          <w:tcPr>
            <w:tcW w:w="4280" w:type="dxa"/>
            <w:vAlign w:val="bottom"/>
          </w:tcPr>
          <w:p>
            <w:pPr>
              <w:ind w:left="620"/>
              <w:spacing w:after="0"/>
              <w:rPr>
                <w:sz w:val="20"/>
                <w:szCs w:val="20"/>
                <w:color w:val="auto"/>
              </w:rPr>
            </w:pPr>
            <w:r>
              <w:rPr>
                <w:rFonts w:ascii="Arial" w:cs="Arial" w:eastAsia="Arial" w:hAnsi="Arial"/>
                <w:sz w:val="18"/>
                <w:szCs w:val="18"/>
                <w:color w:val="auto"/>
              </w:rPr>
              <w:t>Hunter Industries</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Hutchinson Technology</w:t>
            </w:r>
          </w:p>
        </w:tc>
        <w:tc>
          <w:tcPr>
            <w:tcW w:w="4280" w:type="dxa"/>
            <w:vAlign w:val="bottom"/>
          </w:tcPr>
          <w:p>
            <w:pPr>
              <w:ind w:left="620"/>
              <w:spacing w:after="0"/>
              <w:rPr>
                <w:sz w:val="20"/>
                <w:szCs w:val="20"/>
                <w:color w:val="auto"/>
              </w:rPr>
            </w:pPr>
            <w:r>
              <w:rPr>
                <w:rFonts w:ascii="Arial" w:cs="Arial" w:eastAsia="Arial" w:hAnsi="Arial"/>
                <w:sz w:val="18"/>
                <w:szCs w:val="18"/>
                <w:color w:val="auto"/>
              </w:rPr>
              <w:t>John Crane</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ION Geophysical</w:t>
            </w:r>
          </w:p>
        </w:tc>
        <w:tc>
          <w:tcPr>
            <w:tcW w:w="4280" w:type="dxa"/>
            <w:vAlign w:val="bottom"/>
          </w:tcPr>
          <w:p>
            <w:pPr>
              <w:ind w:left="620"/>
              <w:spacing w:after="0"/>
              <w:rPr>
                <w:sz w:val="20"/>
                <w:szCs w:val="20"/>
                <w:color w:val="auto"/>
              </w:rPr>
            </w:pPr>
            <w:r>
              <w:rPr>
                <w:rFonts w:ascii="Arial" w:cs="Arial" w:eastAsia="Arial" w:hAnsi="Arial"/>
                <w:sz w:val="18"/>
                <w:szCs w:val="18"/>
                <w:color w:val="auto"/>
              </w:rPr>
              <w:t>Johnson Outdoors</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Kimco Realty Space</w:t>
            </w:r>
          </w:p>
        </w:tc>
        <w:tc>
          <w:tcPr>
            <w:tcW w:w="4280" w:type="dxa"/>
            <w:vAlign w:val="bottom"/>
          </w:tcPr>
          <w:p>
            <w:pPr>
              <w:ind w:left="620"/>
              <w:spacing w:after="0"/>
              <w:rPr>
                <w:sz w:val="20"/>
                <w:szCs w:val="20"/>
                <w:color w:val="auto"/>
              </w:rPr>
            </w:pPr>
            <w:r>
              <w:rPr>
                <w:rFonts w:ascii="Arial" w:cs="Arial" w:eastAsia="Arial" w:hAnsi="Arial"/>
                <w:sz w:val="18"/>
                <w:szCs w:val="18"/>
                <w:color w:val="auto"/>
              </w:rPr>
              <w:t>Kewaunee Scientific Corporation</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LifeCell Sundt Construction</w:t>
            </w:r>
          </w:p>
        </w:tc>
        <w:tc>
          <w:tcPr>
            <w:tcW w:w="4280" w:type="dxa"/>
            <w:vAlign w:val="bottom"/>
          </w:tcPr>
          <w:p>
            <w:pPr>
              <w:ind w:left="620"/>
              <w:spacing w:after="0"/>
              <w:rPr>
                <w:sz w:val="20"/>
                <w:szCs w:val="20"/>
                <w:color w:val="auto"/>
              </w:rPr>
            </w:pPr>
            <w:r>
              <w:rPr>
                <w:rFonts w:ascii="Arial" w:cs="Arial" w:eastAsia="Arial" w:hAnsi="Arial"/>
                <w:sz w:val="18"/>
                <w:szCs w:val="18"/>
                <w:color w:val="auto"/>
              </w:rPr>
              <w:t>Klein Tools, Inc.</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Makino</w:t>
            </w:r>
          </w:p>
        </w:tc>
        <w:tc>
          <w:tcPr>
            <w:tcW w:w="4280" w:type="dxa"/>
            <w:vAlign w:val="bottom"/>
          </w:tcPr>
          <w:p>
            <w:pPr>
              <w:ind w:left="620"/>
              <w:spacing w:after="0"/>
              <w:rPr>
                <w:sz w:val="20"/>
                <w:szCs w:val="20"/>
                <w:color w:val="auto"/>
              </w:rPr>
            </w:pPr>
            <w:r>
              <w:rPr>
                <w:rFonts w:ascii="Arial" w:cs="Arial" w:eastAsia="Arial" w:hAnsi="Arial"/>
                <w:sz w:val="18"/>
                <w:szCs w:val="18"/>
                <w:color w:val="auto"/>
              </w:rPr>
              <w:t>Lake Region Medical</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Operating Matthews International</w:t>
            </w:r>
          </w:p>
        </w:tc>
        <w:tc>
          <w:tcPr>
            <w:tcW w:w="4280" w:type="dxa"/>
            <w:vAlign w:val="bottom"/>
          </w:tcPr>
          <w:p>
            <w:pPr>
              <w:ind w:left="620"/>
              <w:spacing w:after="0"/>
              <w:rPr>
                <w:sz w:val="20"/>
                <w:szCs w:val="20"/>
                <w:color w:val="auto"/>
              </w:rPr>
            </w:pPr>
            <w:r>
              <w:rPr>
                <w:rFonts w:ascii="Arial" w:cs="Arial" w:eastAsia="Arial" w:hAnsi="Arial"/>
                <w:sz w:val="18"/>
                <w:szCs w:val="18"/>
                <w:color w:val="auto"/>
              </w:rPr>
              <w:t>Lane Enterprises, Inc.</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Medicines Company</w:t>
            </w:r>
          </w:p>
        </w:tc>
        <w:tc>
          <w:tcPr>
            <w:tcW w:w="4280" w:type="dxa"/>
            <w:vAlign w:val="bottom"/>
          </w:tcPr>
          <w:p>
            <w:pPr>
              <w:ind w:left="620"/>
              <w:spacing w:after="0"/>
              <w:rPr>
                <w:sz w:val="20"/>
                <w:szCs w:val="20"/>
                <w:color w:val="auto"/>
              </w:rPr>
            </w:pPr>
            <w:r>
              <w:rPr>
                <w:rFonts w:ascii="Arial" w:cs="Arial" w:eastAsia="Arial" w:hAnsi="Arial"/>
                <w:sz w:val="18"/>
                <w:szCs w:val="18"/>
                <w:color w:val="auto"/>
              </w:rPr>
              <w:t>Lantech</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Milacron</w:t>
            </w:r>
          </w:p>
        </w:tc>
        <w:tc>
          <w:tcPr>
            <w:tcW w:w="4280" w:type="dxa"/>
            <w:vAlign w:val="bottom"/>
          </w:tcPr>
          <w:p>
            <w:pPr>
              <w:ind w:left="620"/>
              <w:spacing w:after="0"/>
              <w:rPr>
                <w:sz w:val="20"/>
                <w:szCs w:val="20"/>
                <w:color w:val="auto"/>
              </w:rPr>
            </w:pPr>
            <w:r>
              <w:rPr>
                <w:rFonts w:ascii="Arial" w:cs="Arial" w:eastAsia="Arial" w:hAnsi="Arial"/>
                <w:sz w:val="18"/>
                <w:szCs w:val="18"/>
                <w:color w:val="auto"/>
              </w:rPr>
              <w:t>Logic PD</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Navigant Consulting</w:t>
            </w:r>
          </w:p>
        </w:tc>
        <w:tc>
          <w:tcPr>
            <w:tcW w:w="4280" w:type="dxa"/>
            <w:vAlign w:val="bottom"/>
          </w:tcPr>
          <w:p>
            <w:pPr>
              <w:ind w:left="620"/>
              <w:spacing w:after="0"/>
              <w:rPr>
                <w:sz w:val="20"/>
                <w:szCs w:val="20"/>
                <w:color w:val="auto"/>
              </w:rPr>
            </w:pPr>
            <w:r>
              <w:rPr>
                <w:rFonts w:ascii="Arial" w:cs="Arial" w:eastAsia="Arial" w:hAnsi="Arial"/>
                <w:sz w:val="18"/>
                <w:szCs w:val="18"/>
                <w:color w:val="auto"/>
              </w:rPr>
              <w:t>Lutron Electronics Co., Inc.</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Polymer Group</w:t>
            </w:r>
          </w:p>
        </w:tc>
        <w:tc>
          <w:tcPr>
            <w:tcW w:w="4280" w:type="dxa"/>
            <w:vAlign w:val="bottom"/>
          </w:tcPr>
          <w:p>
            <w:pPr>
              <w:ind w:left="620"/>
              <w:spacing w:after="0"/>
              <w:rPr>
                <w:sz w:val="20"/>
                <w:szCs w:val="20"/>
                <w:color w:val="auto"/>
              </w:rPr>
            </w:pPr>
            <w:r>
              <w:rPr>
                <w:rFonts w:ascii="Arial" w:cs="Arial" w:eastAsia="Arial" w:hAnsi="Arial"/>
                <w:sz w:val="18"/>
                <w:szCs w:val="18"/>
                <w:color w:val="auto"/>
              </w:rPr>
              <w:t>Malco Products, Inc.</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Ricardo</w:t>
            </w:r>
          </w:p>
        </w:tc>
        <w:tc>
          <w:tcPr>
            <w:tcW w:w="4280" w:type="dxa"/>
            <w:vAlign w:val="bottom"/>
          </w:tcPr>
          <w:p>
            <w:pPr>
              <w:ind w:left="620"/>
              <w:spacing w:after="0"/>
              <w:rPr>
                <w:sz w:val="20"/>
                <w:szCs w:val="20"/>
                <w:color w:val="auto"/>
              </w:rPr>
            </w:pPr>
            <w:r>
              <w:rPr>
                <w:rFonts w:ascii="Arial" w:cs="Arial" w:eastAsia="Arial" w:hAnsi="Arial"/>
                <w:sz w:val="18"/>
                <w:szCs w:val="18"/>
                <w:color w:val="auto"/>
              </w:rPr>
              <w:t>Merit Medical Systems</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Scientific Research</w:t>
            </w:r>
          </w:p>
        </w:tc>
        <w:tc>
          <w:tcPr>
            <w:tcW w:w="4280" w:type="dxa"/>
            <w:vAlign w:val="bottom"/>
          </w:tcPr>
          <w:p>
            <w:pPr>
              <w:ind w:left="620"/>
              <w:spacing w:after="0"/>
              <w:rPr>
                <w:sz w:val="20"/>
                <w:szCs w:val="20"/>
                <w:color w:val="auto"/>
              </w:rPr>
            </w:pPr>
            <w:r>
              <w:rPr>
                <w:rFonts w:ascii="Arial" w:cs="Arial" w:eastAsia="Arial" w:hAnsi="Arial"/>
                <w:sz w:val="18"/>
                <w:szCs w:val="18"/>
                <w:color w:val="auto"/>
              </w:rPr>
              <w:t>Project Management Institute</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ShawCor</w:t>
            </w:r>
          </w:p>
        </w:tc>
        <w:tc>
          <w:tcPr>
            <w:tcW w:w="4280" w:type="dxa"/>
            <w:vAlign w:val="bottom"/>
          </w:tcPr>
          <w:p>
            <w:pPr>
              <w:ind w:left="620"/>
              <w:spacing w:after="0"/>
              <w:rPr>
                <w:sz w:val="20"/>
                <w:szCs w:val="20"/>
                <w:color w:val="auto"/>
              </w:rPr>
            </w:pPr>
            <w:r>
              <w:rPr>
                <w:rFonts w:ascii="Arial" w:cs="Arial" w:eastAsia="Arial" w:hAnsi="Arial"/>
                <w:sz w:val="18"/>
                <w:szCs w:val="18"/>
                <w:color w:val="auto"/>
              </w:rPr>
              <w:t>Rea Magnet Wire Company, Inc.</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Systems Loral</w:t>
            </w:r>
          </w:p>
        </w:tc>
        <w:tc>
          <w:tcPr>
            <w:tcW w:w="4280" w:type="dxa"/>
            <w:vAlign w:val="bottom"/>
          </w:tcPr>
          <w:p>
            <w:pPr>
              <w:ind w:left="620"/>
              <w:spacing w:after="0"/>
              <w:rPr>
                <w:sz w:val="20"/>
                <w:szCs w:val="20"/>
                <w:color w:val="auto"/>
              </w:rPr>
            </w:pPr>
            <w:r>
              <w:rPr>
                <w:rFonts w:ascii="Arial" w:cs="Arial" w:eastAsia="Arial" w:hAnsi="Arial"/>
                <w:sz w:val="18"/>
                <w:szCs w:val="18"/>
                <w:color w:val="auto"/>
              </w:rPr>
              <w:t>Rite-Hite Holding Corporation</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Taubman Centers</w:t>
            </w:r>
          </w:p>
        </w:tc>
        <w:tc>
          <w:tcPr>
            <w:tcW w:w="4280" w:type="dxa"/>
            <w:vAlign w:val="bottom"/>
          </w:tcPr>
          <w:p>
            <w:pPr>
              <w:ind w:left="620"/>
              <w:spacing w:after="0"/>
              <w:rPr>
                <w:sz w:val="20"/>
                <w:szCs w:val="20"/>
                <w:color w:val="auto"/>
              </w:rPr>
            </w:pPr>
            <w:r>
              <w:rPr>
                <w:rFonts w:ascii="Arial" w:cs="Arial" w:eastAsia="Arial" w:hAnsi="Arial"/>
                <w:sz w:val="18"/>
                <w:szCs w:val="18"/>
                <w:color w:val="auto"/>
              </w:rPr>
              <w:t>Scientific Research Corporation</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Viad</w:t>
            </w:r>
          </w:p>
        </w:tc>
        <w:tc>
          <w:tcPr>
            <w:tcW w:w="4280" w:type="dxa"/>
            <w:vAlign w:val="bottom"/>
          </w:tcPr>
          <w:p>
            <w:pPr>
              <w:ind w:left="620"/>
              <w:spacing w:after="0"/>
              <w:rPr>
                <w:sz w:val="20"/>
                <w:szCs w:val="20"/>
                <w:color w:val="auto"/>
              </w:rPr>
            </w:pPr>
            <w:r>
              <w:rPr>
                <w:rFonts w:ascii="Arial" w:cs="Arial" w:eastAsia="Arial" w:hAnsi="Arial"/>
                <w:sz w:val="18"/>
                <w:szCs w:val="18"/>
                <w:color w:val="auto"/>
              </w:rPr>
              <w:t>Seaman Corporation</w:t>
            </w:r>
          </w:p>
        </w:tc>
        <w:tc>
          <w:tcPr>
            <w:tcW w:w="40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VistaPrint</w:t>
            </w:r>
          </w:p>
        </w:tc>
        <w:tc>
          <w:tcPr>
            <w:tcW w:w="4280" w:type="dxa"/>
            <w:vAlign w:val="bottom"/>
          </w:tcPr>
          <w:p>
            <w:pPr>
              <w:ind w:left="620"/>
              <w:spacing w:after="0"/>
              <w:rPr>
                <w:sz w:val="20"/>
                <w:szCs w:val="20"/>
                <w:color w:val="auto"/>
              </w:rPr>
            </w:pPr>
            <w:r>
              <w:rPr>
                <w:rFonts w:ascii="Arial" w:cs="Arial" w:eastAsia="Arial" w:hAnsi="Arial"/>
                <w:sz w:val="18"/>
                <w:szCs w:val="18"/>
                <w:color w:val="auto"/>
              </w:rPr>
              <w:t>SGT, Inc</w:t>
            </w:r>
          </w:p>
        </w:tc>
        <w:tc>
          <w:tcPr>
            <w:tcW w:w="4000" w:type="dxa"/>
            <w:vAlign w:val="bottom"/>
          </w:tcPr>
          <w:p>
            <w:pPr>
              <w:spacing w:after="0"/>
              <w:rPr>
                <w:sz w:val="18"/>
                <w:szCs w:val="18"/>
                <w:color w:val="auto"/>
              </w:rPr>
            </w:pPr>
          </w:p>
        </w:tc>
      </w:tr>
      <w:tr>
        <w:trPr>
          <w:trHeight w:val="212"/>
        </w:trPr>
        <w:tc>
          <w:tcPr>
            <w:tcW w:w="3180" w:type="dxa"/>
            <w:vAlign w:val="bottom"/>
          </w:tcPr>
          <w:p>
            <w:pPr>
              <w:spacing w:after="0"/>
              <w:rPr>
                <w:sz w:val="20"/>
                <w:szCs w:val="20"/>
                <w:color w:val="auto"/>
              </w:rPr>
            </w:pPr>
            <w:r>
              <w:rPr>
                <w:rFonts w:ascii="Arial" w:cs="Arial" w:eastAsia="Arial" w:hAnsi="Arial"/>
                <w:sz w:val="18"/>
                <w:szCs w:val="18"/>
                <w:color w:val="auto"/>
              </w:rPr>
              <w:t>Zebra Technologies</w:t>
            </w:r>
          </w:p>
        </w:tc>
        <w:tc>
          <w:tcPr>
            <w:tcW w:w="42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CSR Top Management</w:t>
            </w:r>
          </w:p>
        </w:tc>
        <w:tc>
          <w:tcPr>
            <w:tcW w:w="428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807"/>
        </w:trPr>
        <w:tc>
          <w:tcPr>
            <w:tcW w:w="31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61"/>
        </w:trPr>
        <w:tc>
          <w:tcPr>
            <w:tcW w:w="3180" w:type="dxa"/>
            <w:vAlign w:val="bottom"/>
            <w:shd w:val="clear" w:color="auto" w:fill="808080"/>
          </w:tcPr>
          <w:p>
            <w:pPr>
              <w:spacing w:after="0"/>
              <w:rPr>
                <w:sz w:val="5"/>
                <w:szCs w:val="5"/>
                <w:color w:val="auto"/>
              </w:rPr>
            </w:pPr>
          </w:p>
        </w:tc>
        <w:tc>
          <w:tcPr>
            <w:tcW w:w="428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4" w:right="199" w:bottom="1440"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380365</wp:posOffset>
            </wp:positionV>
            <wp:extent cx="7267575" cy="8860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8860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380365</wp:posOffset>
            </wp:positionV>
            <wp:extent cx="7267575" cy="88607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8860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380365</wp:posOffset>
            </wp:positionV>
            <wp:extent cx="7267575" cy="88607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8860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380365</wp:posOffset>
            </wp:positionV>
            <wp:extent cx="6003290" cy="7769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003290" cy="77698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2)"/>
      <w:numFmt w:val="decimal"/>
      <w:start w:val="1"/>
    </w:lvl>
  </w:abstractNum>
  <w:abstractNum w:abstractNumId="2">
    <w:nsid w:val="62BBD95A"/>
    <w:multiLevelType w:val="hybridMultilevel"/>
    <w:lvl w:ilvl="0">
      <w:lvlJc w:val="left"/>
      <w:lvlText w:val="%1)"/>
      <w:numFmt w:val="decimal"/>
      <w:start w:val="4"/>
    </w:lvl>
  </w:abstractNum>
  <w:abstractNum w:abstractNumId="3">
    <w:nsid w:val="436C6125"/>
    <w:multiLevelType w:val="hybridMultilevel"/>
    <w:lvl w:ilvl="0">
      <w:lvlJc w:val="left"/>
      <w:lvlText w:val="["/>
      <w:numFmt w:val="bullet"/>
      <w:start w:val="1"/>
    </w:lvl>
    <w:lvl w:ilvl="1">
      <w:lvlJc w:val="left"/>
      <w:lvlText w:val="%2)"/>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lowerLetter"/>
      <w:start w:val="1"/>
    </w:lvl>
    <w:lvl w:ilvl="1">
      <w:lvlJc w:val="left"/>
      <w:lvlText w:val="%2."/>
      <w:numFmt w:val="lowerRoman"/>
      <w:start w:val="1"/>
    </w:lvl>
  </w:abstractNum>
  <w:abstractNum w:abstractNumId="11">
    <w:nsid w:val="8EDBDAB"/>
    <w:multiLevelType w:val="hybridMultilevel"/>
    <w:lvl w:ilvl="0">
      <w:lvlJc w:val="left"/>
      <w:lvlText w:val="%1."/>
      <w:numFmt w:val="lowerRoman"/>
      <w:start w:val="4"/>
    </w:lvl>
  </w:abstractNum>
  <w:abstractNum w:abstractNumId="12">
    <w:nsid w:val="79838CB2"/>
    <w:multiLevelType w:val="hybridMultilevel"/>
    <w:lvl w:ilvl="0">
      <w:lvlJc w:val="left"/>
      <w:lvlText w:val="%1."/>
      <w:numFmt w:val="lowerLetter"/>
      <w:start w:val="3"/>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3"/>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2019-12-05T10:47:19Z</dcterms:created>
  <dcterms:modified xsi:type="dcterms:W3CDTF">2019-12-05T10:47:19Z</dcterms:modified>
</cp:coreProperties>
</file>