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Proxy Statement Pursuant to Secion 14(a) of the Securities Exchange Act of 1934</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the Registrant [ x ]</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a Party Other than the Registrant [ ]</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 Preliminary Proxy Statement</w:t>
      </w:r>
    </w:p>
    <w:p>
      <w:pPr>
        <w:spacing w:after="0" w:line="182" w:lineRule="exact"/>
        <w:rPr>
          <w:sz w:val="24"/>
          <w:szCs w:val="24"/>
          <w:color w:val="auto"/>
        </w:rPr>
      </w:pPr>
    </w:p>
    <w:p>
      <w:pPr>
        <w:ind w:left="120" w:hanging="117"/>
        <w:spacing w:after="0"/>
        <w:tabs>
          <w:tab w:leader="none" w:pos="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Confidential, for Use of the Commission Only (as permitted by Rule 14a-6(e)(2)) [ </w:t>
      </w:r>
      <w:r>
        <w:rPr>
          <w:rFonts w:ascii="Webdings" w:cs="Webdings" w:eastAsia="Webdings" w:hAnsi="Webdings"/>
          <w:sz w:val="14"/>
          <w:szCs w:val="14"/>
          <w:b w:val="1"/>
          <w:bCs w:val="1"/>
          <w:color w:val="auto"/>
        </w:rPr>
        <w:t></w:t>
      </w:r>
      <w:r>
        <w:rPr>
          <w:rFonts w:ascii="Times New Roman" w:cs="Times New Roman" w:eastAsia="Times New Roman" w:hAnsi="Times New Roman"/>
          <w:sz w:val="14"/>
          <w:szCs w:val="14"/>
          <w:color w:val="auto"/>
        </w:rPr>
        <w:t>ã ] Definitive Proxy Statement</w:t>
      </w:r>
    </w:p>
    <w:p>
      <w:pPr>
        <w:spacing w:after="0" w:line="181"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 Definitive Additional Materials</w:t>
      </w:r>
    </w:p>
    <w:p>
      <w:pPr>
        <w:spacing w:after="0" w:line="171" w:lineRule="exact"/>
        <w:rPr>
          <w:rFonts w:ascii="Times New Roman" w:cs="Times New Roman" w:eastAsia="Times New Roman" w:hAnsi="Times New Roman"/>
          <w:sz w:val="14"/>
          <w:szCs w:val="14"/>
          <w:color w:val="auto"/>
        </w:rPr>
      </w:pPr>
    </w:p>
    <w:p>
      <w:pPr>
        <w:ind w:left="120" w:hanging="117"/>
        <w:spacing w:after="0"/>
        <w:tabs>
          <w:tab w:leader="none" w:pos="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Soliciting Material Pursuant to Section 240.14a -2.</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Twin Disc Incorporated</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7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 ] No fee required.</w:t>
      </w:r>
    </w:p>
    <w:p>
      <w:pPr>
        <w:spacing w:after="0" w:line="163" w:lineRule="exact"/>
        <w:rPr>
          <w:sz w:val="24"/>
          <w:szCs w:val="24"/>
          <w:color w:val="auto"/>
        </w:rPr>
      </w:pPr>
    </w:p>
    <w:p>
      <w:pPr>
        <w:ind w:left="120" w:hanging="117"/>
        <w:spacing w:after="0"/>
        <w:tabs>
          <w:tab w:leader="none" w:pos="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Fee computed on table below per Exchange Act Rules 14a-6(i)(4) and 0-11.</w:t>
      </w:r>
    </w:p>
    <w:p>
      <w:pPr>
        <w:spacing w:after="0" w:line="13" w:lineRule="exact"/>
        <w:rPr>
          <w:rFonts w:ascii="Times New Roman" w:cs="Times New Roman" w:eastAsia="Times New Roman" w:hAnsi="Times New Roman"/>
          <w:sz w:val="14"/>
          <w:szCs w:val="14"/>
          <w:color w:val="auto"/>
        </w:rPr>
      </w:pPr>
    </w:p>
    <w:p>
      <w:pPr>
        <w:ind w:left="480" w:hanging="139"/>
        <w:spacing w:after="0"/>
        <w:tabs>
          <w:tab w:leader="none" w:pos="48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each class of securities to which transaction applies:</w:t>
      </w:r>
    </w:p>
    <w:p>
      <w:pPr>
        <w:spacing w:after="0" w:line="5"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w:t>
      </w:r>
    </w:p>
    <w:p>
      <w:pPr>
        <w:spacing w:after="0" w:line="5" w:lineRule="exact"/>
        <w:rPr>
          <w:rFonts w:ascii="Times New Roman" w:cs="Times New Roman" w:eastAsia="Times New Roman" w:hAnsi="Times New Roman"/>
          <w:sz w:val="14"/>
          <w:szCs w:val="14"/>
          <w:color w:val="auto"/>
        </w:rPr>
      </w:pPr>
    </w:p>
    <w:p>
      <w:pPr>
        <w:ind w:left="480" w:hanging="139"/>
        <w:spacing w:after="0"/>
        <w:tabs>
          <w:tab w:leader="none" w:pos="48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5"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w:t>
      </w:r>
    </w:p>
    <w:p>
      <w:pPr>
        <w:spacing w:after="0" w:line="5" w:lineRule="exact"/>
        <w:rPr>
          <w:rFonts w:ascii="Times New Roman" w:cs="Times New Roman" w:eastAsia="Times New Roman" w:hAnsi="Times New Roman"/>
          <w:sz w:val="14"/>
          <w:szCs w:val="14"/>
          <w:color w:val="auto"/>
        </w:rPr>
      </w:pPr>
    </w:p>
    <w:p>
      <w:pPr>
        <w:ind w:left="340" w:right="5460" w:firstLine="1"/>
        <w:spacing w:after="0" w:line="247" w:lineRule="auto"/>
        <w:tabs>
          <w:tab w:leader="none" w:pos="486"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 price or other underlying value of transactions computed pursuant to Exchange Act Rule 0-11 (Set forth the amount on which the filing fee is calculated and state how it was determined):</w:t>
      </w:r>
    </w:p>
    <w:p>
      <w:pPr>
        <w:spacing w:after="0" w:line="1"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w:t>
      </w:r>
    </w:p>
    <w:p>
      <w:pPr>
        <w:spacing w:after="0" w:line="5" w:lineRule="exact"/>
        <w:rPr>
          <w:rFonts w:ascii="Times New Roman" w:cs="Times New Roman" w:eastAsia="Times New Roman" w:hAnsi="Times New Roman"/>
          <w:sz w:val="14"/>
          <w:szCs w:val="14"/>
          <w:color w:val="auto"/>
        </w:rPr>
      </w:pPr>
    </w:p>
    <w:p>
      <w:pPr>
        <w:ind w:left="480" w:hanging="139"/>
        <w:spacing w:after="0"/>
        <w:tabs>
          <w:tab w:leader="none" w:pos="48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transactions:</w:t>
      </w:r>
    </w:p>
    <w:p>
      <w:pPr>
        <w:spacing w:after="0" w:line="5"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w:t>
      </w:r>
    </w:p>
    <w:p>
      <w:pPr>
        <w:spacing w:after="0" w:line="5" w:lineRule="exact"/>
        <w:rPr>
          <w:rFonts w:ascii="Times New Roman" w:cs="Times New Roman" w:eastAsia="Times New Roman" w:hAnsi="Times New Roman"/>
          <w:sz w:val="14"/>
          <w:szCs w:val="14"/>
          <w:color w:val="auto"/>
        </w:rPr>
      </w:pPr>
    </w:p>
    <w:p>
      <w:pPr>
        <w:ind w:left="480" w:hanging="139"/>
        <w:spacing w:after="0"/>
        <w:tabs>
          <w:tab w:leader="none" w:pos="48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fee paid:</w:t>
      </w:r>
    </w:p>
    <w:p>
      <w:pPr>
        <w:spacing w:after="0" w:line="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 Fee paid previously with preliminary materials.</w:t>
      </w:r>
    </w:p>
    <w:p>
      <w:pPr>
        <w:spacing w:after="0" w:line="192" w:lineRule="exact"/>
        <w:rPr>
          <w:sz w:val="24"/>
          <w:szCs w:val="24"/>
          <w:color w:val="auto"/>
        </w:rPr>
      </w:pPr>
    </w:p>
    <w:p>
      <w:pPr>
        <w:ind w:right="5300" w:firstLine="3"/>
        <w:spacing w:after="0" w:line="251" w:lineRule="auto"/>
        <w:tabs>
          <w:tab w:leader="none" w:pos="11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Times New Roman" w:cs="Times New Roman" w:eastAsia="Times New Roman" w:hAnsi="Times New Roman"/>
          <w:sz w:val="14"/>
          <w:szCs w:val="14"/>
          <w:color w:val="auto"/>
        </w:rPr>
      </w:pPr>
    </w:p>
    <w:p>
      <w:pPr>
        <w:ind w:left="480" w:hanging="139"/>
        <w:spacing w:after="0"/>
        <w:tabs>
          <w:tab w:leader="none" w:pos="48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w:t>
      </w:r>
    </w:p>
    <w:p>
      <w:pPr>
        <w:spacing w:after="0" w:line="5" w:lineRule="exact"/>
        <w:rPr>
          <w:sz w:val="24"/>
          <w:szCs w:val="24"/>
          <w:color w:val="auto"/>
        </w:rPr>
      </w:pPr>
    </w:p>
    <w:p>
      <w:pPr>
        <w:ind w:left="480" w:hanging="139"/>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5"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_________________________________________________________________</w:t>
      </w:r>
    </w:p>
    <w:p>
      <w:pPr>
        <w:spacing w:after="0" w:line="5" w:lineRule="exact"/>
        <w:rPr>
          <w:rFonts w:ascii="Times New Roman" w:cs="Times New Roman" w:eastAsia="Times New Roman" w:hAnsi="Times New Roman"/>
          <w:sz w:val="14"/>
          <w:szCs w:val="14"/>
          <w:color w:val="auto"/>
        </w:rPr>
      </w:pPr>
    </w:p>
    <w:p>
      <w:pPr>
        <w:ind w:left="480" w:hanging="139"/>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Party:</w:t>
      </w:r>
    </w:p>
    <w:p>
      <w:pPr>
        <w:spacing w:after="0" w:line="5"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_________________________________________________________________</w:t>
      </w:r>
    </w:p>
    <w:p>
      <w:pPr>
        <w:spacing w:after="0" w:line="5" w:lineRule="exact"/>
        <w:rPr>
          <w:rFonts w:ascii="Times New Roman" w:cs="Times New Roman" w:eastAsia="Times New Roman" w:hAnsi="Times New Roman"/>
          <w:sz w:val="14"/>
          <w:szCs w:val="14"/>
          <w:color w:val="auto"/>
        </w:rPr>
      </w:pPr>
    </w:p>
    <w:p>
      <w:pPr>
        <w:ind w:left="480" w:hanging="139"/>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Filed:</w:t>
      </w:r>
    </w:p>
    <w:p>
      <w:pPr>
        <w:spacing w:after="0" w:line="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_________________________________________________________________</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TWIN DISC, INCORPORATED</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1328 Racine Street, Racine, Wisconsin 53403</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ANNUAL MEETING OF SHAREHOLDERS OCTOBER 19, 2007</w:t>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NOTICE IS HEREBY GIVEN TO THE SHAREHOLDERS OF TWIN DISC, INCORPORATED</w:t>
      </w:r>
    </w:p>
    <w:p>
      <w:pPr>
        <w:spacing w:after="0" w:line="176" w:lineRule="exact"/>
        <w:rPr>
          <w:sz w:val="24"/>
          <w:szCs w:val="24"/>
          <w:color w:val="auto"/>
        </w:rPr>
      </w:pPr>
    </w:p>
    <w:p>
      <w:pPr>
        <w:ind w:right="340"/>
        <w:spacing w:after="0" w:line="267" w:lineRule="auto"/>
        <w:rPr>
          <w:sz w:val="20"/>
          <w:szCs w:val="20"/>
          <w:color w:val="auto"/>
        </w:rPr>
      </w:pPr>
      <w:r>
        <w:rPr>
          <w:rFonts w:ascii="Times New Roman" w:cs="Times New Roman" w:eastAsia="Times New Roman" w:hAnsi="Times New Roman"/>
          <w:sz w:val="14"/>
          <w:szCs w:val="14"/>
          <w:color w:val="auto"/>
        </w:rPr>
        <w:t>The Annual Meeting of Shareholders of Twin Disc, Incorporated, a Wisconsin corporation, will be held at 2 P.M. (Central Daylight Time) on Friday, October 19, 2007, at the Corporate Offices, 1328 Racine Street, Racine, Wisconsin for the following purposes:</w:t>
      </w:r>
    </w:p>
    <w:p>
      <w:pPr>
        <w:spacing w:after="0" w:line="151" w:lineRule="exact"/>
        <w:rPr>
          <w:sz w:val="24"/>
          <w:szCs w:val="24"/>
          <w:color w:val="auto"/>
        </w:rPr>
      </w:pPr>
    </w:p>
    <w:p>
      <w:pPr>
        <w:ind w:left="480" w:hanging="308"/>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three Directors to serve until the Annual Meeting in 2010.</w:t>
      </w:r>
    </w:p>
    <w:p>
      <w:pPr>
        <w:spacing w:after="0" w:line="213" w:lineRule="exact"/>
        <w:rPr>
          <w:rFonts w:ascii="Times New Roman" w:cs="Times New Roman" w:eastAsia="Times New Roman" w:hAnsi="Times New Roman"/>
          <w:sz w:val="14"/>
          <w:szCs w:val="14"/>
          <w:color w:val="auto"/>
        </w:rPr>
      </w:pPr>
    </w:p>
    <w:p>
      <w:pPr>
        <w:ind w:left="480" w:hanging="308"/>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transact any other business that may properly come before the meeting.</w:t>
      </w:r>
    </w:p>
    <w:p>
      <w:pPr>
        <w:spacing w:after="0" w:line="3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Only holders of record of shares of common stock of the Corporation at the close of business on August 31, 2007, shall be entitled to vote at the meeting.</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 proxy appointment and proxy statement are enclosed herewith. The proxy appointment shows the form in which your shares are registered. Your signature should be in the same form.</w:t>
      </w:r>
    </w:p>
    <w:p>
      <w:pPr>
        <w:spacing w:after="0" w:line="17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Christopher J. Eperjesy</w:t>
      </w:r>
    </w:p>
    <w:p>
      <w:pPr>
        <w:spacing w:after="0" w:line="1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Secretary</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September 21, 2007</w:t>
      </w:r>
    </w:p>
    <w:p>
      <w:pPr>
        <w:spacing w:after="0" w:line="168" w:lineRule="exact"/>
        <w:rPr>
          <w:sz w:val="24"/>
          <w:szCs w:val="24"/>
          <w:color w:val="auto"/>
        </w:rPr>
      </w:pPr>
    </w:p>
    <w:p>
      <w:pPr>
        <w:ind w:right="300"/>
        <w:spacing w:after="0" w:line="306" w:lineRule="auto"/>
        <w:rPr>
          <w:sz w:val="20"/>
          <w:szCs w:val="20"/>
          <w:color w:val="auto"/>
        </w:rPr>
      </w:pPr>
      <w:r>
        <w:rPr>
          <w:rFonts w:ascii="Times New Roman" w:cs="Times New Roman" w:eastAsia="Times New Roman" w:hAnsi="Times New Roman"/>
          <w:sz w:val="12"/>
          <w:szCs w:val="12"/>
          <w:b w:val="1"/>
          <w:bCs w:val="1"/>
          <w:color w:val="auto"/>
        </w:rPr>
        <w:t>IF YOU ARE UNABLE TO ATTEND THE MEETING IN PERSON, PLEASE SIGN AND RETURN YOUR PROXY APPOINTMENT IN THE ENCLOSED ENVELOPE OR VOTE VIA THE INTERNET OR BY TELEPHONE BEFORE THE APPLICABLE DEADLINE STATED IN THE PROXY STATEMENT. IF YOUR PROXY APPOINTMENT IS NOT RECEIVED BY THE SECRETARY, OR IF YOU DO NOT VOTE VIA INTERNET OR TELEPHONE, BEFORE THE APPLICABLE DEADLINE, YOUR PROXY APPOINTMENT WILL BE RULED INVALID. SHOULD YOU FIND IT CONVENIENT TO ATTEND THE MEETING PERSONALLY, AND DESIRE TO VOTE IN PERSON, YOU MAY REQUEST BEFORE ANY VOTE THAT YOUR PROXY APPOINTMENT BE RETURNED TO YOU, OR THAT YOUR ELECTRONIC VOTE BE WITHDRAWN, IN ORDER THAT YOU MAY VOTE IN PERSON.</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YOUR VOTE IS IMPORTANT!</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PLEASE SIGN, DATE AND RETURN</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ENCLOSED PROXY APPOINTMENT</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IMMEDIATELY.</w:t>
      </w:r>
    </w:p>
    <w:p>
      <w:pPr>
        <w:sectPr>
          <w:pgSz w:w="11900" w:h="16838" w:orient="portrait"/>
          <w:cols w:equalWidth="0" w:num="1">
            <w:col w:w="11460"/>
          </w:cols>
          <w:pgMar w:left="220" w:top="187" w:right="219" w:bottom="0" w:gutter="0" w:footer="0" w:header="0"/>
        </w:sectPr>
      </w:pP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7297420"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ectPr>
          <w:pgSz w:w="11900" w:h="16838" w:orient="portrait"/>
          <w:cols w:equalWidth="0" w:num="1">
            <w:col w:w="11460"/>
          </w:cols>
          <w:pgMar w:left="220" w:top="187" w:right="21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2007 Proxy Statement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TWIN DISC, INCORPORATED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21, 2007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DATE, TIME AND PLACE OF MEETING</w:t>
      </w:r>
    </w:p>
    <w:p>
      <w:pPr>
        <w:spacing w:after="0" w:line="17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4"/>
          <w:szCs w:val="14"/>
          <w:color w:val="auto"/>
        </w:rPr>
        <w:t>This proxy statement is furnished in connection with the solicitation by the Board of Directors of the Corporation of proxies for use at the Annual Meeting of Shareholders to be held at 2 P.M. (Central Daylight Time), at the Corporate Offices, 1328 Racine Street, Racine, Wisconsin on Friday, October 19, 2007, or any adjournment thereof. Holders of common stock of record at the close of business on the last day of August 2007, are entitled to vote at the meeting and each shareholder shall have one vote for each share of common stock registered in the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or electronic proxy vote, will constitute a quorum at the meeting. The Corporation intends to mail this statement to shareholders on or about September 21, 2007.</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PROXY APPOINTMENT AND REVOCATION</w:t>
      </w:r>
    </w:p>
    <w:p>
      <w:pPr>
        <w:spacing w:after="0" w:line="17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4"/>
          <w:szCs w:val="14"/>
          <w:color w:val="auto"/>
        </w:rPr>
        <w:t>Shareholders may vote by delivery, either in person, by mail or by messenger, of the enclosed proxy appointment form. Appointment forms must be received by the Secretary not less than 48 hours prior to the date of the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 xml:space="preserve">Shareholders may also vote via the Internet by accessing </w:t>
      </w:r>
      <w:r>
        <w:rPr>
          <w:rFonts w:ascii="Times New Roman" w:cs="Times New Roman" w:eastAsia="Times New Roman" w:hAnsi="Times New Roman"/>
          <w:sz w:val="14"/>
          <w:szCs w:val="14"/>
          <w:u w:val="single" w:color="auto"/>
          <w:color w:val="auto"/>
        </w:rPr>
        <w:t>www.proxyvoting.com/twin</w:t>
      </w:r>
      <w:r>
        <w:rPr>
          <w:rFonts w:ascii="Times New Roman" w:cs="Times New Roman" w:eastAsia="Times New Roman" w:hAnsi="Times New Roman"/>
          <w:sz w:val="14"/>
          <w:szCs w:val="14"/>
          <w:color w:val="auto"/>
        </w:rPr>
        <w:t xml:space="preserve"> or by telephone at 1-866-540-5760.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the day before the annual meeting. Shareholders that vote via the Internet should understand that there might be costs associated with electronic access that they must bear, such as usage charges from Internet access providers and telephone companies.</w:t>
      </w:r>
    </w:p>
    <w:p>
      <w:pPr>
        <w:spacing w:after="0" w:line="1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 person giving the proxy may revoke it before it is exercised, either in person, by mail or by messenger, by submitting a later dated proxy appointment form to the Secretary at least 48 hours prior to the date of the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meeting, by voting at the meeting in person, or by delivering a signed written statement revoking the proxy to the Secretary prior to the date of the meeting. ANY ATTEMPTED REVOCATIONS NOT MEETING THE ABOVE REQUIREMENTS WILL BE RULED INVALID.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RECORD DATE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record date with respect to this solicitation is August 31, 2007. On August 31, 2007, there were outstanding 5,896,457 shares of common stock of the Corporation entitled to vote at the Annual Meeting.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also are 200,000 shares of no-par preferred stock authorized, of which 50,000 shares have been designated Series A Junior Preferred Stock, but none are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 PROPOSALS FOR 2008</w:t>
      </w:r>
    </w:p>
    <w:p>
      <w:pPr>
        <w:spacing w:after="0" w:line="176" w:lineRule="exact"/>
        <w:rPr>
          <w:sz w:val="20"/>
          <w:szCs w:val="20"/>
          <w:color w:val="auto"/>
        </w:rPr>
      </w:pPr>
    </w:p>
    <w:p>
      <w:pPr>
        <w:ind w:right="80"/>
        <w:spacing w:after="0" w:line="352" w:lineRule="auto"/>
        <w:rPr>
          <w:sz w:val="20"/>
          <w:szCs w:val="20"/>
          <w:color w:val="auto"/>
        </w:rPr>
      </w:pPr>
      <w:r>
        <w:rPr>
          <w:rFonts w:ascii="Times New Roman" w:cs="Times New Roman" w:eastAsia="Times New Roman" w:hAnsi="Times New Roman"/>
          <w:sz w:val="12"/>
          <w:szCs w:val="12"/>
          <w:color w:val="auto"/>
        </w:rPr>
        <w:t>If a shareholder wishes to present a proposal for consideration for inclusion in the Notice of the Meeting and Proxy Statement for the 2008 Annual Meeting, the proposal must be received at the Corporation’s principal executive offices no later than May 24, 2008. Shareholder proposals received later than July 23, 2008 will be considered untimely, and will not be considered at the Corporation’s 2008 Annual Meeting.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PERSONS MAKING THE SOLICITATION</w:t>
      </w:r>
    </w:p>
    <w:p>
      <w:pPr>
        <w:spacing w:after="0" w:line="176"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4"/>
          <w:szCs w:val="14"/>
          <w:color w:val="auto"/>
        </w:rPr>
        <w:t>The proxy is being solicited by the Corporation’s Board of Directors and will be voted in favor of the Directors’ recommendations on each and all matters properly brought before the meeting, unless the undersigned shareholder specifically instructs the holder or holders of the proxy to the contrary.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VOTES REQUIRED FOR APPROVAL OR ELECTION AND HOW VOTES WILL BE COUNTED</w:t>
      </w:r>
    </w:p>
    <w:p>
      <w:pPr>
        <w:spacing w:after="0" w:line="176"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4"/>
          <w:szCs w:val="14"/>
          <w:color w:val="auto"/>
        </w:rPr>
        <w:t>With respect to the election of directors, votes may be cast in favor or withheld. Votes that are withheld will be excluded entirely from the vote and will have no effect. The affirmative vote of a majority of the votes cast at the annual meeting (assuming a quorum is present) shall be required for the election of directors.</w:t>
      </w:r>
    </w:p>
    <w:p>
      <w:pPr>
        <w:spacing w:after="0" w:line="14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4"/>
          <w:szCs w:val="14"/>
          <w:color w:val="auto"/>
        </w:rPr>
        <w:t>Abstentions may be specified on all proposals submitted to shareholders, other than for the election of directors. Abstentions will be counted for purposes of determining the presence or absence of a quorum for the transaction of business at the meeting, but shall not be counted as voted shares for purposes of the meeting.</w:t>
      </w:r>
    </w:p>
    <w:p>
      <w:pPr>
        <w:spacing w:after="0" w:line="14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4"/>
          <w:szCs w:val="14"/>
          <w:color w:val="auto"/>
        </w:rPr>
        <w:t>In certain instances, brokers who hold shares in street name for customers may have authority to vote on certain items when they have not received instructions from the beneficial owners of the shares. With respect to routine matters, including the election of directors, brokers may vote their shares without specific instructions from the beneficial owners. However, under the rules of the NASDAQ Stock Market, brokers who hold shares in street name are not permitted to vote on certain non-routine matters, including the adoption or amendment of stock-based compensation plans, without specific instructions from the beneficial owners of the shares. A “broker non-vote” occurs on an item submitted for shareholder approval when the broker does not have the authority to vote on the item in the absence of instructions from the beneficial owner. Such “broker non-votes” will be counted for purposes of determining the presence or absence of a quorum.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SHAREHOLDERS, DIRECTORS AND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SHAREHOLDERS</w:t>
      </w:r>
    </w:p>
    <w:p>
      <w:pPr>
        <w:spacing w:after="0" w:line="17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4"/>
          <w:szCs w:val="14"/>
          <w:color w:val="auto"/>
        </w:rPr>
        <w:t>Based upon the records of the Corporation, filings with the Securities and Exchange Commission as of August 31, 2007 and additional information obtained by the Company, the following table sets forth the persons or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group of persons having beneficial ownership (as defined by the Securities and Exchange Commission) of more than 5% of the issued and outstanding common stock of the Corporation.</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7"/>
        </w:trPr>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Beneficial</w:t>
            </w:r>
          </w:p>
        </w:tc>
        <w:tc>
          <w:tcPr>
            <w:tcW w:w="1320" w:type="dxa"/>
            <w:vAlign w:val="bottom"/>
            <w:gridSpan w:val="3"/>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40" w:type="dxa"/>
            <w:vAlign w:val="bottom"/>
            <w:gridSpan w:val="3"/>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4"/>
              </w:rPr>
              <w:t>Percent of</w:t>
            </w:r>
          </w:p>
        </w:tc>
      </w:tr>
      <w:tr>
        <w:trPr>
          <w:trHeight w:val="168"/>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46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6"/>
              </w:rPr>
              <w:t>Ownership</w:t>
            </w:r>
          </w:p>
        </w:tc>
        <w:tc>
          <w:tcPr>
            <w:tcW w:w="50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840" w:type="dxa"/>
            <w:vAlign w:val="bottom"/>
            <w:gridSpan w:val="3"/>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3"/>
              </w:rPr>
              <w:t>Class</w:t>
            </w:r>
          </w:p>
        </w:tc>
      </w:tr>
      <w:tr>
        <w:trPr>
          <w:trHeight w:val="20"/>
        </w:trPr>
        <w:tc>
          <w:tcPr>
            <w:tcW w:w="3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4"/>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E. Batten</w:t>
            </w: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5"/>
              </w:rPr>
              <w:t>3419 Michigan Blvd.</w:t>
            </w: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5"/>
              </w:rPr>
              <w:t>Power to vote</w:t>
            </w:r>
          </w:p>
        </w:tc>
        <w:tc>
          <w:tcPr>
            <w:tcW w:w="1320" w:type="dxa"/>
            <w:vAlign w:val="bottom"/>
            <w:gridSpan w:val="3"/>
          </w:tcPr>
          <w:p>
            <w:pPr>
              <w:jc w:val="center"/>
              <w:ind w:left="32"/>
              <w:spacing w:after="0"/>
              <w:rPr>
                <w:sz w:val="20"/>
                <w:szCs w:val="20"/>
                <w:color w:val="auto"/>
              </w:rPr>
            </w:pPr>
            <w:r>
              <w:rPr>
                <w:rFonts w:ascii="Times New Roman" w:cs="Times New Roman" w:eastAsia="Times New Roman" w:hAnsi="Times New Roman"/>
                <w:sz w:val="14"/>
                <w:szCs w:val="14"/>
                <w:color w:val="auto"/>
                <w:w w:val="96"/>
              </w:rPr>
              <w:t>1,072,746(1)</w:t>
            </w:r>
          </w:p>
        </w:tc>
        <w:tc>
          <w:tcPr>
            <w:tcW w:w="840" w:type="dxa"/>
            <w:vAlign w:val="bottom"/>
            <w:gridSpan w:val="3"/>
          </w:tcPr>
          <w:p>
            <w:pPr>
              <w:jc w:val="center"/>
              <w:ind w:left="192"/>
              <w:spacing w:after="0"/>
              <w:rPr>
                <w:sz w:val="20"/>
                <w:szCs w:val="20"/>
                <w:color w:val="auto"/>
              </w:rPr>
            </w:pPr>
            <w:r>
              <w:rPr>
                <w:rFonts w:ascii="Times New Roman" w:cs="Times New Roman" w:eastAsia="Times New Roman" w:hAnsi="Times New Roman"/>
                <w:sz w:val="14"/>
                <w:szCs w:val="14"/>
                <w:color w:val="auto"/>
                <w:w w:val="93"/>
              </w:rPr>
              <w:t>18.8%</w:t>
            </w:r>
          </w:p>
        </w:tc>
      </w:tr>
      <w:tr>
        <w:trPr>
          <w:trHeight w:val="197"/>
        </w:trPr>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7"/>
              </w:rPr>
              <w:t>Racine, WI</w:t>
            </w:r>
          </w:p>
        </w:tc>
        <w:tc>
          <w:tcPr>
            <w:tcW w:w="460" w:type="dxa"/>
            <w:vAlign w:val="bottom"/>
          </w:tcPr>
          <w:p>
            <w:pPr>
              <w:spacing w:after="0"/>
              <w:rPr>
                <w:sz w:val="17"/>
                <w:szCs w:val="17"/>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7"/>
              </w:rPr>
              <w:t>Beneficial</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214,987(2)</w:t>
            </w:r>
          </w:p>
        </w:tc>
        <w:tc>
          <w:tcPr>
            <w:tcW w:w="700" w:type="dxa"/>
            <w:vAlign w:val="bottom"/>
            <w:gridSpan w:val="2"/>
          </w:tcPr>
          <w:p>
            <w:pPr>
              <w:jc w:val="center"/>
              <w:ind w:left="312"/>
              <w:spacing w:after="0"/>
              <w:rPr>
                <w:sz w:val="20"/>
                <w:szCs w:val="20"/>
                <w:color w:val="auto"/>
              </w:rPr>
            </w:pPr>
            <w:r>
              <w:rPr>
                <w:rFonts w:ascii="Times New Roman" w:cs="Times New Roman" w:eastAsia="Times New Roman" w:hAnsi="Times New Roman"/>
                <w:sz w:val="14"/>
                <w:szCs w:val="14"/>
                <w:color w:val="auto"/>
                <w:w w:val="95"/>
              </w:rPr>
              <w:t>3.8%</w:t>
            </w:r>
          </w:p>
        </w:tc>
        <w:tc>
          <w:tcPr>
            <w:tcW w:w="140" w:type="dxa"/>
            <w:vAlign w:val="bottom"/>
          </w:tcPr>
          <w:p>
            <w:pPr>
              <w:spacing w:after="0"/>
              <w:rPr>
                <w:sz w:val="17"/>
                <w:szCs w:val="17"/>
                <w:color w:val="auto"/>
              </w:rPr>
            </w:pPr>
          </w:p>
        </w:tc>
      </w:tr>
      <w:tr>
        <w:trPr>
          <w:trHeight w:val="395"/>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Clarus Capital Group</w:t>
            </w: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6"/>
              </w:rPr>
              <w:t>237 Park Avenue</w:t>
            </w: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7"/>
              </w:rPr>
              <w:t>Power to vote &amp;</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298,106</w:t>
            </w:r>
          </w:p>
        </w:tc>
        <w:tc>
          <w:tcPr>
            <w:tcW w:w="700" w:type="dxa"/>
            <w:vAlign w:val="bottom"/>
            <w:gridSpan w:val="2"/>
          </w:tcPr>
          <w:p>
            <w:pPr>
              <w:jc w:val="center"/>
              <w:ind w:left="312"/>
              <w:spacing w:after="0"/>
              <w:rPr>
                <w:sz w:val="20"/>
                <w:szCs w:val="20"/>
                <w:color w:val="auto"/>
              </w:rPr>
            </w:pPr>
            <w:r>
              <w:rPr>
                <w:rFonts w:ascii="Times New Roman" w:cs="Times New Roman" w:eastAsia="Times New Roman" w:hAnsi="Times New Roman"/>
                <w:sz w:val="14"/>
                <w:szCs w:val="14"/>
                <w:color w:val="auto"/>
                <w:w w:val="95"/>
              </w:rPr>
              <w:t>5.2%</w:t>
            </w:r>
          </w:p>
        </w:tc>
        <w:tc>
          <w:tcPr>
            <w:tcW w:w="140" w:type="dxa"/>
            <w:vAlign w:val="bottom"/>
          </w:tcPr>
          <w:p>
            <w:pPr>
              <w:spacing w:after="0"/>
              <w:rPr>
                <w:sz w:val="24"/>
                <w:szCs w:val="24"/>
                <w:color w:val="auto"/>
              </w:rPr>
            </w:pPr>
          </w:p>
        </w:tc>
      </w:tr>
      <w:tr>
        <w:trPr>
          <w:trHeight w:val="197"/>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Management LP</w:t>
            </w: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5"/>
              </w:rPr>
              <w:t>New York, NY</w:t>
            </w: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5"/>
              </w:rPr>
              <w:t>dispose of stock</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0" w:lineRule="exact"/>
        <w:rPr>
          <w:sz w:val="20"/>
          <w:szCs w:val="20"/>
          <w:color w:val="auto"/>
        </w:rPr>
      </w:pPr>
    </w:p>
    <w:p>
      <w:pPr>
        <w:ind w:left="380" w:hanging="377"/>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as trustee under various trusts.</w:t>
      </w:r>
    </w:p>
    <w:p>
      <w:pPr>
        <w:spacing w:after="0" w:line="223" w:lineRule="exact"/>
        <w:rPr>
          <w:rFonts w:ascii="Times New Roman" w:cs="Times New Roman" w:eastAsia="Times New Roman" w:hAnsi="Times New Roman"/>
          <w:sz w:val="14"/>
          <w:szCs w:val="14"/>
          <w:color w:val="auto"/>
        </w:rPr>
      </w:pPr>
    </w:p>
    <w:p>
      <w:pPr>
        <w:ind w:left="380" w:hanging="377"/>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5,200 shares owned by the wife of Michael E. Batten and 45,000 subject to currently exercisable stock options.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p>
      <w:pPr>
        <w:spacing w:after="0" w:line="17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Based upon the records of the Corporation, filings with the Securities and Exchange Commission as of August 31, 2007 and additional information obtained by the Company,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ectPr>
          <w:pgSz w:w="11900" w:h="16838" w:orient="portrait"/>
          <w:cols w:equalWidth="0" w:num="1">
            <w:col w:w="11460"/>
          </w:cols>
          <w:pgMar w:left="220" w:top="126" w:right="219" w:bottom="0" w:gutter="0" w:footer="0" w:header="0"/>
        </w:sectPr>
      </w:pPr>
    </w:p>
    <w:bookmarkStart w:id="2" w:name="page3"/>
    <w:bookmarkEnd w:id="2"/>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80" w:type="dxa"/>
            <w:vAlign w:val="bottom"/>
            <w:gridSpan w:val="3"/>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6"/>
              </w:rPr>
              <w:t>Amount and Nature</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8"/>
        </w:trPr>
        <w:tc>
          <w:tcPr>
            <w:tcW w:w="40" w:type="dxa"/>
            <w:vAlign w:val="bottom"/>
          </w:tcPr>
          <w:p>
            <w:pPr>
              <w:spacing w:after="0"/>
              <w:rPr>
                <w:sz w:val="15"/>
                <w:szCs w:val="15"/>
                <w:color w:val="auto"/>
              </w:rPr>
            </w:pPr>
          </w:p>
        </w:tc>
        <w:tc>
          <w:tcPr>
            <w:tcW w:w="17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Name of</w:t>
            </w:r>
          </w:p>
        </w:tc>
        <w:tc>
          <w:tcPr>
            <w:tcW w:w="6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Beneficial</w:t>
            </w:r>
          </w:p>
        </w:tc>
        <w:tc>
          <w:tcPr>
            <w:tcW w:w="460" w:type="dxa"/>
            <w:vAlign w:val="bottom"/>
          </w:tcPr>
          <w:p>
            <w:pPr>
              <w:spacing w:after="0"/>
              <w:rPr>
                <w:sz w:val="15"/>
                <w:szCs w:val="15"/>
                <w:color w:val="auto"/>
              </w:rPr>
            </w:pPr>
          </w:p>
        </w:tc>
        <w:tc>
          <w:tcPr>
            <w:tcW w:w="900" w:type="dxa"/>
            <w:vAlign w:val="bottom"/>
            <w:gridSpan w:val="3"/>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8"/>
              </w:rPr>
              <w:t>Percent of</w:t>
            </w:r>
          </w:p>
        </w:tc>
      </w:tr>
      <w:tr>
        <w:trPr>
          <w:trHeight w:val="168"/>
        </w:trPr>
        <w:tc>
          <w:tcPr>
            <w:tcW w:w="4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Beneficial Owner</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Ownership (1)</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40" w:type="dxa"/>
            <w:vAlign w:val="bottom"/>
          </w:tcPr>
          <w:p>
            <w:pPr>
              <w:spacing w:after="0"/>
              <w:rPr>
                <w:sz w:val="14"/>
                <w:szCs w:val="14"/>
                <w:color w:val="auto"/>
              </w:rPr>
            </w:pPr>
          </w:p>
        </w:tc>
      </w:tr>
      <w:tr>
        <w:trPr>
          <w:trHeight w:val="207"/>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Michael E. Batten</w:t>
            </w:r>
          </w:p>
        </w:tc>
        <w:tc>
          <w:tcPr>
            <w:tcW w:w="152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1,287,733</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73"/>
              </w:rPr>
              <w:t>(2)</w:t>
            </w:r>
          </w:p>
        </w:tc>
        <w:tc>
          <w:tcPr>
            <w:tcW w:w="900" w:type="dxa"/>
            <w:vAlign w:val="bottom"/>
            <w:gridSpan w:val="3"/>
          </w:tcPr>
          <w:p>
            <w:pPr>
              <w:jc w:val="center"/>
              <w:ind w:left="232"/>
              <w:spacing w:after="0"/>
              <w:rPr>
                <w:sz w:val="20"/>
                <w:szCs w:val="20"/>
                <w:color w:val="auto"/>
              </w:rPr>
            </w:pPr>
            <w:r>
              <w:rPr>
                <w:rFonts w:ascii="Times New Roman" w:cs="Times New Roman" w:eastAsia="Times New Roman" w:hAnsi="Times New Roman"/>
                <w:sz w:val="14"/>
                <w:szCs w:val="14"/>
                <w:color w:val="auto"/>
                <w:w w:val="99"/>
              </w:rPr>
              <w:t>22.6%</w:t>
            </w:r>
          </w:p>
        </w:tc>
      </w:tr>
      <w:tr>
        <w:trPr>
          <w:trHeight w:val="197"/>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Christopher J. Eperjesy</w:t>
            </w:r>
          </w:p>
        </w:tc>
        <w:tc>
          <w:tcPr>
            <w:tcW w:w="152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16,374</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73"/>
              </w:rPr>
              <w:t>(4)</w:t>
            </w:r>
          </w:p>
        </w:tc>
        <w:tc>
          <w:tcPr>
            <w:tcW w:w="76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r>
      <w:tr>
        <w:trPr>
          <w:trHeight w:val="197"/>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James E. Feiertag</w:t>
            </w:r>
          </w:p>
        </w:tc>
        <w:tc>
          <w:tcPr>
            <w:tcW w:w="152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7,423</w:t>
            </w:r>
          </w:p>
        </w:tc>
        <w:tc>
          <w:tcPr>
            <w:tcW w:w="460" w:type="dxa"/>
            <w:vAlign w:val="bottom"/>
          </w:tcPr>
          <w:p>
            <w:pPr>
              <w:spacing w:after="0"/>
              <w:rPr>
                <w:sz w:val="17"/>
                <w:szCs w:val="17"/>
                <w:color w:val="auto"/>
              </w:rPr>
            </w:pPr>
          </w:p>
        </w:tc>
        <w:tc>
          <w:tcPr>
            <w:tcW w:w="76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r>
      <w:tr>
        <w:trPr>
          <w:trHeight w:val="197"/>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John H. Batten</w:t>
            </w:r>
          </w:p>
        </w:tc>
        <w:tc>
          <w:tcPr>
            <w:tcW w:w="152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2,311</w:t>
            </w:r>
          </w:p>
        </w:tc>
        <w:tc>
          <w:tcPr>
            <w:tcW w:w="460" w:type="dxa"/>
            <w:vAlign w:val="bottom"/>
          </w:tcPr>
          <w:p>
            <w:pPr>
              <w:spacing w:after="0"/>
              <w:rPr>
                <w:sz w:val="17"/>
                <w:szCs w:val="17"/>
                <w:color w:val="auto"/>
              </w:rPr>
            </w:pPr>
          </w:p>
        </w:tc>
        <w:tc>
          <w:tcPr>
            <w:tcW w:w="76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r>
      <w:tr>
        <w:trPr>
          <w:trHeight w:val="197"/>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John A. Mellowes</w:t>
            </w:r>
          </w:p>
        </w:tc>
        <w:tc>
          <w:tcPr>
            <w:tcW w:w="152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13,600</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73"/>
              </w:rPr>
              <w:t>(3)</w:t>
            </w:r>
          </w:p>
        </w:tc>
        <w:tc>
          <w:tcPr>
            <w:tcW w:w="76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r>
      <w:tr>
        <w:trPr>
          <w:trHeight w:val="197"/>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David B. Rayburn</w:t>
            </w:r>
          </w:p>
        </w:tc>
        <w:tc>
          <w:tcPr>
            <w:tcW w:w="152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10,800</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73"/>
              </w:rPr>
              <w:t>(3)</w:t>
            </w:r>
          </w:p>
        </w:tc>
        <w:tc>
          <w:tcPr>
            <w:tcW w:w="76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r>
      <w:tr>
        <w:trPr>
          <w:trHeight w:val="197"/>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David L. Swift</w:t>
            </w:r>
          </w:p>
        </w:tc>
        <w:tc>
          <w:tcPr>
            <w:tcW w:w="152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15,600</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73"/>
              </w:rPr>
              <w:t>(3)</w:t>
            </w:r>
          </w:p>
        </w:tc>
        <w:tc>
          <w:tcPr>
            <w:tcW w:w="76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r>
      <w:tr>
        <w:trPr>
          <w:trHeight w:val="197"/>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Malcolm F. Moore</w:t>
            </w:r>
          </w:p>
        </w:tc>
        <w:tc>
          <w:tcPr>
            <w:tcW w:w="152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1,200</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73"/>
              </w:rPr>
              <w:t>(3)</w:t>
            </w:r>
          </w:p>
        </w:tc>
        <w:tc>
          <w:tcPr>
            <w:tcW w:w="76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r>
      <w:tr>
        <w:trPr>
          <w:trHeight w:val="197"/>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David R. Zimmer</w:t>
            </w:r>
          </w:p>
        </w:tc>
        <w:tc>
          <w:tcPr>
            <w:tcW w:w="152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12,500</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73"/>
              </w:rPr>
              <w:t>(3)</w:t>
            </w:r>
          </w:p>
        </w:tc>
        <w:tc>
          <w:tcPr>
            <w:tcW w:w="76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r>
    </w:tbl>
    <w:p>
      <w:pPr>
        <w:spacing w:after="0" w:line="3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Harold M. Stratton II</w:t>
            </w: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3,600</w:t>
            </w: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(3)</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r>
      <w:tr>
        <w:trPr>
          <w:trHeight w:val="530"/>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All Directors and</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0"/>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Executive Officers</w:t>
            </w:r>
          </w:p>
        </w:tc>
        <w:tc>
          <w:tcPr>
            <w:tcW w:w="1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91"/>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as a group (13persons)</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1,381,352</w:t>
            </w: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(3)</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Denotes ownership of less than one percent of shares outstanding.</w:t>
      </w:r>
    </w:p>
    <w:p>
      <w:pPr>
        <w:spacing w:after="0" w:line="172" w:lineRule="exact"/>
        <w:rPr>
          <w:sz w:val="20"/>
          <w:szCs w:val="20"/>
          <w:color w:val="auto"/>
        </w:rPr>
      </w:pPr>
    </w:p>
    <w:p>
      <w:pPr>
        <w:ind w:right="220" w:firstLine="3"/>
        <w:spacing w:after="0" w:line="267" w:lineRule="auto"/>
        <w:tabs>
          <w:tab w:leader="none" w:pos="19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140"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5,200 shares held by Mr. Batten’s wife, 1,072,746 shares held by him as trustee under various family trusts, and 45,000 shares subject to presently exercisable stock options.</w:t>
      </w:r>
    </w:p>
    <w:p>
      <w:pPr>
        <w:spacing w:after="0" w:line="171" w:lineRule="exact"/>
        <w:rPr>
          <w:rFonts w:ascii="Times New Roman" w:cs="Times New Roman" w:eastAsia="Times New Roman" w:hAnsi="Times New Roman"/>
          <w:sz w:val="14"/>
          <w:szCs w:val="14"/>
          <w:color w:val="auto"/>
        </w:rPr>
      </w:pPr>
    </w:p>
    <w:p>
      <w:pPr>
        <w:ind w:firstLine="3"/>
        <w:spacing w:after="0" w:line="267" w:lineRule="auto"/>
        <w:tabs>
          <w:tab w:leader="none" w:pos="19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subject to currently exercisable stock options included in the above are as follows: Mr. Rayburn 9,000, Mr. Swift 13,000, Mr. Zimmer 7,800, Mr. Mellowes 11,800, Mr. Moore 600, Mr. Stratton 1,800 and all Directors and executive officers as a group 89,000.</w:t>
      </w:r>
    </w:p>
    <w:p>
      <w:pPr>
        <w:spacing w:after="0" w:line="140"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restricted stock grants of 3,000 shares that vest in fiscal 2009.</w:t>
      </w:r>
    </w:p>
    <w:p>
      <w:pPr>
        <w:spacing w:after="0" w:line="1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ELECTION OF DIRECTORS</w:t>
      </w:r>
    </w:p>
    <w:p>
      <w:pPr>
        <w:spacing w:after="0" w:line="17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4"/>
          <w:szCs w:val="14"/>
          <w:color w:val="auto"/>
        </w:rPr>
        <w:t>Three directors are to be elected for a term to expire at the annual meeting following the fiscal year ended June 30, 2010. Shares of common stock represented by properly executed proxy appointments in the accompanying form will be voted for the nominees listed for the term indicated unless authority to do so is withheld.</w:t>
      </w:r>
    </w:p>
    <w:p>
      <w:pPr>
        <w:spacing w:after="0" w:line="14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The nominees for the Board of Directors and the Directors whose terms will continue and the class to which he has been or is to be elected are as set forth below. Each nominee and each Director was elected to his present term of office by a vote of shareholders at a meeting for which proxies were solicited. John H. Batten is the son of Michael E. Batten.</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color w:val="auto"/>
                <w:w w:val="96"/>
              </w:rPr>
              <w:t>Served as</w:t>
            </w:r>
          </w:p>
        </w:tc>
      </w:tr>
      <w:tr>
        <w:trPr>
          <w:trHeight w:val="197"/>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Principal Occupation</w:t>
            </w:r>
          </w:p>
        </w:tc>
        <w:tc>
          <w:tcPr>
            <w:tcW w:w="920" w:type="dxa"/>
            <w:vAlign w:val="bottom"/>
            <w:gridSpan w:val="3"/>
          </w:tcPr>
          <w:p>
            <w:pPr>
              <w:jc w:val="center"/>
              <w:ind w:left="112"/>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97"/>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 of Director</w:t>
            </w:r>
          </w:p>
        </w:tc>
        <w:tc>
          <w:tcPr>
            <w:tcW w:w="760" w:type="dxa"/>
            <w:vAlign w:val="bottom"/>
          </w:tcPr>
          <w:p>
            <w:pPr>
              <w:spacing w:after="0"/>
              <w:rPr>
                <w:sz w:val="17"/>
                <w:szCs w:val="17"/>
                <w:color w:val="auto"/>
              </w:rPr>
            </w:pPr>
          </w:p>
        </w:tc>
        <w:tc>
          <w:tcPr>
            <w:tcW w:w="19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w w:val="98"/>
              </w:rPr>
              <w:t>and other Public</w:t>
            </w:r>
          </w:p>
        </w:tc>
        <w:tc>
          <w:tcPr>
            <w:tcW w:w="920" w:type="dxa"/>
            <w:vAlign w:val="bottom"/>
            <w:gridSpan w:val="3"/>
          </w:tcPr>
          <w:p>
            <w:pPr>
              <w:jc w:val="center"/>
              <w:ind w:left="112"/>
              <w:spacing w:after="0"/>
              <w:rPr>
                <w:sz w:val="20"/>
                <w:szCs w:val="20"/>
                <w:color w:val="auto"/>
              </w:rPr>
            </w:pPr>
            <w:r>
              <w:rPr>
                <w:rFonts w:ascii="Times New Roman" w:cs="Times New Roman" w:eastAsia="Times New Roman" w:hAnsi="Times New Roman"/>
                <w:sz w:val="14"/>
                <w:szCs w:val="14"/>
                <w:color w:val="auto"/>
                <w:w w:val="97"/>
              </w:rPr>
              <w:t>Continuously</w:t>
            </w:r>
          </w:p>
        </w:tc>
      </w:t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w w:val="94"/>
              </w:rPr>
              <w:t>and Current Age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Company Directorships</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6"/>
              </w:rPr>
              <w:t>Since</w:t>
            </w:r>
          </w:p>
        </w:tc>
      </w:tr>
      <w:tr>
        <w:trPr>
          <w:trHeight w:val="20"/>
        </w:trPr>
        <w:tc>
          <w:tcPr>
            <w:tcW w:w="9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04"/>
        </w:trPr>
        <w:tc>
          <w:tcPr>
            <w:tcW w:w="3820" w:type="dxa"/>
            <w:vAlign w:val="bottom"/>
            <w:gridSpan w:val="5"/>
          </w:tcPr>
          <w:p>
            <w:pPr>
              <w:spacing w:after="0"/>
              <w:rPr>
                <w:sz w:val="20"/>
                <w:szCs w:val="20"/>
                <w:color w:val="auto"/>
              </w:rPr>
            </w:pPr>
            <w:r>
              <w:rPr>
                <w:rFonts w:ascii="Times New Roman" w:cs="Times New Roman" w:eastAsia="Times New Roman" w:hAnsi="Times New Roman"/>
                <w:sz w:val="14"/>
                <w:szCs w:val="14"/>
                <w:color w:val="auto"/>
                <w:w w:val="96"/>
              </w:rPr>
              <w:t>NOMINEES FOR DIRECTORS FOR TERMS TO EXPIRE IN 2010:</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5"/>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H. Batten</w:t>
            </w:r>
          </w:p>
        </w:tc>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Executive Vice President since</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w w:val="96"/>
              </w:rPr>
              <w:t>December 2002</w:t>
            </w:r>
          </w:p>
        </w:tc>
      </w:tr>
      <w:tr>
        <w:trPr>
          <w:trHeight w:val="19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Age 42</w:t>
            </w:r>
          </w:p>
        </w:tc>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October 2004; formerly Vice</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7"/>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President and General Manager</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7"/>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Marine &amp; Propulsion since</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7"/>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October 2001</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95"/>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A. Mellowes</w:t>
            </w:r>
          </w:p>
        </w:tc>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Chairman and</w:t>
            </w:r>
          </w:p>
        </w:tc>
        <w:tc>
          <w:tcPr>
            <w:tcW w:w="920" w:type="dxa"/>
            <w:vAlign w:val="bottom"/>
            <w:gridSpan w:val="3"/>
          </w:tcPr>
          <w:p>
            <w:pPr>
              <w:jc w:val="center"/>
              <w:ind w:left="112"/>
              <w:spacing w:after="0"/>
              <w:rPr>
                <w:sz w:val="20"/>
                <w:szCs w:val="20"/>
                <w:color w:val="auto"/>
              </w:rPr>
            </w:pPr>
            <w:r>
              <w:rPr>
                <w:rFonts w:ascii="Times New Roman" w:cs="Times New Roman" w:eastAsia="Times New Roman" w:hAnsi="Times New Roman"/>
                <w:sz w:val="14"/>
                <w:szCs w:val="14"/>
                <w:color w:val="auto"/>
                <w:w w:val="96"/>
              </w:rPr>
              <w:t>October 1998</w:t>
            </w:r>
          </w:p>
        </w:tc>
      </w:tr>
      <w:tr>
        <w:trPr>
          <w:trHeight w:val="197"/>
        </w:trPr>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Age 69</w:t>
            </w:r>
          </w:p>
        </w:tc>
        <w:tc>
          <w:tcPr>
            <w:tcW w:w="27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Chief Executive Officer,</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3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2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Charter Manufacturing Co.,</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Mequon, Wisconsin</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privately held producer of bar,</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rod wire and wire parts)</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Also Director,</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Marshall &amp; Ilsley Corporation</w:t>
      </w:r>
    </w:p>
    <w:p>
      <w:pPr>
        <w:sectPr>
          <w:pgSz w:w="11900" w:h="16861" w:orient="portrait"/>
          <w:cols w:equalWidth="0" w:num="1">
            <w:col w:w="11320"/>
          </w:cols>
          <w:pgMar w:left="220" w:top="147" w:right="359" w:bottom="0" w:gutter="0" w:footer="0" w:header="0"/>
        </w:sect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Harold M. Stratton II.</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Chairman, President and Chief Executive Officer,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July 2004</w:t>
      </w:r>
    </w:p>
    <w:p>
      <w:pPr>
        <w:spacing w:after="0" w:line="59" w:lineRule="exact"/>
        <w:rPr>
          <w:sz w:val="20"/>
          <w:szCs w:val="20"/>
          <w:color w:val="auto"/>
        </w:rPr>
      </w:pPr>
    </w:p>
    <w:p>
      <w:pPr>
        <w:sectPr>
          <w:pgSz w:w="11900" w:h="16861" w:orient="portrait"/>
          <w:cols w:equalWidth="0" w:num="3">
            <w:col w:w="1200" w:space="160"/>
            <w:col w:w="2700" w:space="400"/>
            <w:col w:w="6860"/>
          </w:cols>
          <w:pgMar w:left="220" w:top="147" w:right="359" w:bottom="0" w:gutter="0" w:footer="0" w:header="0"/>
          <w:type w:val="continuous"/>
        </w:sectPr>
      </w:pPr>
    </w:p>
    <w:p>
      <w:pPr>
        <w:ind w:left="140"/>
        <w:spacing w:after="0"/>
        <w:rPr>
          <w:sz w:val="20"/>
          <w:szCs w:val="20"/>
          <w:color w:val="auto"/>
        </w:rPr>
      </w:pPr>
      <w:r>
        <w:rPr>
          <w:rFonts w:ascii="Times New Roman" w:cs="Times New Roman" w:eastAsia="Times New Roman" w:hAnsi="Times New Roman"/>
          <w:sz w:val="12"/>
          <w:szCs w:val="12"/>
          <w:color w:val="auto"/>
        </w:rPr>
        <w:t>Age 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Strattec Security Corporation,</w:t>
      </w:r>
    </w:p>
    <w:p>
      <w:pPr>
        <w:spacing w:after="0" w:line="59" w:lineRule="exact"/>
        <w:rPr>
          <w:sz w:val="20"/>
          <w:szCs w:val="20"/>
          <w:color w:val="auto"/>
        </w:rPr>
      </w:pPr>
    </w:p>
    <w:p>
      <w:pPr>
        <w:sectPr>
          <w:pgSz w:w="11900" w:h="16861" w:orient="portrait"/>
          <w:cols w:equalWidth="0" w:num="2">
            <w:col w:w="640" w:space="720"/>
            <w:col w:w="9960"/>
          </w:cols>
          <w:pgMar w:left="220" w:top="147" w:right="359" w:bottom="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Milwaukee, Wisconsin</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(A leading manufacturer of mechanical</w:t>
      </w:r>
    </w:p>
    <w:p>
      <w:pPr>
        <w:spacing w:after="0" w:line="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locks, electromechanical locks</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and related security/access control</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products for global automotive</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manufacturers)</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Also Director,</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Smith Investment Company</w:t>
      </w:r>
    </w:p>
    <w:p>
      <w:pPr>
        <w:sectPr>
          <w:pgSz w:w="11900" w:h="16861" w:orient="portrait"/>
          <w:cols w:equalWidth="0" w:num="1">
            <w:col w:w="11320"/>
          </w:cols>
          <w:pgMar w:left="220" w:top="147" w:right="359" w:bottom="0" w:gutter="0" w:footer="0" w:header="0"/>
          <w:type w:val="continuous"/>
        </w:sect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DIRECTORS WHOSE TERMS EXPIRE IN 2008:</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Michael E. Batten</w:t>
            </w:r>
          </w:p>
        </w:tc>
        <w:tc>
          <w:tcPr>
            <w:tcW w:w="3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c>
          <w:tcPr>
            <w:tcW w:w="76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4"/>
              </w:rPr>
              <w:t>May 1974</w:t>
            </w:r>
          </w:p>
        </w:tc>
      </w:tr>
      <w:tr>
        <w:trPr>
          <w:trHeight w:val="197"/>
        </w:trPr>
        <w:tc>
          <w:tcPr>
            <w:tcW w:w="1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Age 67</w:t>
            </w:r>
          </w:p>
        </w:tc>
        <w:tc>
          <w:tcPr>
            <w:tcW w:w="3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Twin Disc, Incorporated</w:t>
            </w:r>
          </w:p>
        </w:tc>
        <w:tc>
          <w:tcPr>
            <w:tcW w:w="760" w:type="dxa"/>
            <w:vAlign w:val="bottom"/>
          </w:tcPr>
          <w:p>
            <w:pPr>
              <w:spacing w:after="0"/>
              <w:rPr>
                <w:sz w:val="17"/>
                <w:szCs w:val="17"/>
                <w:color w:val="auto"/>
              </w:rPr>
            </w:pPr>
          </w:p>
        </w:tc>
      </w:tr>
      <w:tr>
        <w:trPr>
          <w:trHeight w:val="197"/>
        </w:trPr>
        <w:tc>
          <w:tcPr>
            <w:tcW w:w="1160" w:type="dxa"/>
            <w:vAlign w:val="bottom"/>
          </w:tcPr>
          <w:p>
            <w:pPr>
              <w:spacing w:after="0"/>
              <w:rPr>
                <w:sz w:val="17"/>
                <w:szCs w:val="17"/>
                <w:color w:val="auto"/>
              </w:rPr>
            </w:pPr>
          </w:p>
        </w:tc>
        <w:tc>
          <w:tcPr>
            <w:tcW w:w="3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Also Director,</w:t>
            </w:r>
          </w:p>
        </w:tc>
        <w:tc>
          <w:tcPr>
            <w:tcW w:w="760" w:type="dxa"/>
            <w:vAlign w:val="bottom"/>
          </w:tcPr>
          <w:p>
            <w:pPr>
              <w:spacing w:after="0"/>
              <w:rPr>
                <w:sz w:val="17"/>
                <w:szCs w:val="17"/>
                <w:color w:val="auto"/>
              </w:rPr>
            </w:pPr>
          </w:p>
        </w:tc>
      </w:tr>
    </w:tbl>
    <w:p>
      <w:pPr>
        <w:sectPr>
          <w:pgSz w:w="11900" w:h="16861" w:orient="portrait"/>
          <w:cols w:equalWidth="0" w:num="1">
            <w:col w:w="11320"/>
          </w:cols>
          <w:pgMar w:left="220" w:top="147" w:right="359" w:bottom="0" w:gutter="0" w:footer="0" w:header="0"/>
          <w:type w:val="continuous"/>
        </w:sectPr>
      </w:pPr>
    </w:p>
    <w:bookmarkStart w:id="3" w:name="page4"/>
    <w:bookmarkEnd w:id="3"/>
    <w:p>
      <w:pPr>
        <w:spacing w:after="0" w:line="1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color w:val="auto"/>
        </w:rPr>
        <w:t>Briggs &amp; Stratton Corporation</w:t>
      </w:r>
    </w:p>
    <w:p>
      <w:pPr>
        <w:sectPr>
          <w:pgSz w:w="11900" w:h="16946" w:orient="portrait"/>
          <w:cols w:equalWidth="0" w:num="1">
            <w:col w:w="11440"/>
          </w:cols>
          <w:pgMar w:left="220" w:top="151" w:right="239" w:bottom="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David L. Swift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Former Chairman, President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July 1995</w:t>
      </w:r>
    </w:p>
    <w:p>
      <w:pPr>
        <w:spacing w:after="0" w:line="59" w:lineRule="exact"/>
        <w:rPr>
          <w:sz w:val="20"/>
          <w:szCs w:val="20"/>
          <w:color w:val="auto"/>
        </w:rPr>
      </w:pPr>
    </w:p>
    <w:p>
      <w:pPr>
        <w:sectPr>
          <w:pgSz w:w="11900" w:h="16946" w:orient="portrait"/>
          <w:cols w:equalWidth="0" w:num="3">
            <w:col w:w="820" w:space="540"/>
            <w:col w:w="2380" w:space="720"/>
            <w:col w:w="6980"/>
          </w:cols>
          <w:pgMar w:left="220" w:top="151" w:right="239" w:bottom="0" w:gutter="0" w:footer="0" w:header="0"/>
          <w:type w:val="continuous"/>
        </w:sectPr>
      </w:pPr>
    </w:p>
    <w:p>
      <w:pPr>
        <w:ind w:left="140"/>
        <w:spacing w:after="0"/>
        <w:rPr>
          <w:sz w:val="20"/>
          <w:szCs w:val="20"/>
          <w:color w:val="auto"/>
        </w:rPr>
      </w:pPr>
      <w:r>
        <w:rPr>
          <w:rFonts w:ascii="Times New Roman" w:cs="Times New Roman" w:eastAsia="Times New Roman" w:hAnsi="Times New Roman"/>
          <w:sz w:val="12"/>
          <w:szCs w:val="12"/>
          <w:color w:val="auto"/>
        </w:rPr>
        <w:t>Age 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59" w:lineRule="exact"/>
        <w:rPr>
          <w:sz w:val="20"/>
          <w:szCs w:val="20"/>
          <w:color w:val="auto"/>
        </w:rPr>
      </w:pPr>
    </w:p>
    <w:p>
      <w:pPr>
        <w:sectPr>
          <w:pgSz w:w="11900" w:h="16946" w:orient="portrait"/>
          <w:cols w:equalWidth="0" w:num="2">
            <w:col w:w="640" w:space="720"/>
            <w:col w:w="10080"/>
          </w:cols>
          <w:pgMar w:left="220" w:top="151" w:right="239" w:bottom="0" w:gutter="0" w:footer="0" w:header="0"/>
          <w:type w:val="continuous"/>
        </w:sectPr>
      </w:pPr>
    </w:p>
    <w:p>
      <w:pPr>
        <w:ind w:left="1500"/>
        <w:spacing w:after="0"/>
        <w:rPr>
          <w:sz w:val="20"/>
          <w:szCs w:val="20"/>
          <w:color w:val="auto"/>
        </w:rPr>
      </w:pPr>
      <w:r>
        <w:rPr>
          <w:rFonts w:ascii="Times New Roman" w:cs="Times New Roman" w:eastAsia="Times New Roman" w:hAnsi="Times New Roman"/>
          <w:sz w:val="12"/>
          <w:szCs w:val="12"/>
          <w:color w:val="auto"/>
        </w:rPr>
        <w:t>Acme-Cleveland Corporation,</w:t>
      </w:r>
    </w:p>
    <w:p>
      <w:pPr>
        <w:spacing w:after="0" w:line="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Pepper Pike, Ohio</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manufacturer of diversified</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industrial products)</w:t>
      </w:r>
    </w:p>
    <w:p>
      <w:pPr>
        <w:sectPr>
          <w:pgSz w:w="11900" w:h="16946" w:orient="portrait"/>
          <w:cols w:equalWidth="0" w:num="1">
            <w:col w:w="11440"/>
          </w:cols>
          <w:pgMar w:left="220" w:top="151" w:right="239" w:bottom="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David R. Zimmer.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Managing Partner, Stonebridge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July 1995</w:t>
      </w:r>
    </w:p>
    <w:p>
      <w:pPr>
        <w:spacing w:after="0" w:line="59" w:lineRule="exact"/>
        <w:rPr>
          <w:sz w:val="20"/>
          <w:szCs w:val="20"/>
          <w:color w:val="auto"/>
        </w:rPr>
      </w:pPr>
    </w:p>
    <w:p>
      <w:pPr>
        <w:sectPr>
          <w:pgSz w:w="11900" w:h="16946" w:orient="portrait"/>
          <w:cols w:equalWidth="0" w:num="3">
            <w:col w:w="1000" w:space="360"/>
            <w:col w:w="2380" w:space="720"/>
            <w:col w:w="6980"/>
          </w:cols>
          <w:pgMar w:left="220" w:top="151" w:right="239" w:bottom="0" w:gutter="0" w:footer="0" w:header="0"/>
          <w:type w:val="continuous"/>
        </w:sectPr>
      </w:pPr>
    </w:p>
    <w:p>
      <w:pPr>
        <w:ind w:left="140"/>
        <w:spacing w:after="0"/>
        <w:rPr>
          <w:sz w:val="20"/>
          <w:szCs w:val="20"/>
          <w:color w:val="auto"/>
        </w:rPr>
      </w:pPr>
      <w:r>
        <w:rPr>
          <w:rFonts w:ascii="Times New Roman" w:cs="Times New Roman" w:eastAsia="Times New Roman" w:hAnsi="Times New Roman"/>
          <w:sz w:val="12"/>
          <w:szCs w:val="12"/>
          <w:color w:val="auto"/>
        </w:rPr>
        <w:t>Age 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Equity LLC, Troy,Michigan, since</w:t>
      </w:r>
    </w:p>
    <w:p>
      <w:pPr>
        <w:spacing w:after="0" w:line="59" w:lineRule="exact"/>
        <w:rPr>
          <w:sz w:val="20"/>
          <w:szCs w:val="20"/>
          <w:color w:val="auto"/>
        </w:rPr>
      </w:pPr>
    </w:p>
    <w:p>
      <w:pPr>
        <w:sectPr>
          <w:pgSz w:w="11900" w:h="16946" w:orient="portrait"/>
          <w:cols w:equalWidth="0" w:num="2">
            <w:col w:w="640" w:space="720"/>
            <w:col w:w="10080"/>
          </w:cols>
          <w:pgMar w:left="220" w:top="151" w:right="239" w:bottom="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2005 (A merger, acquisition and</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value consulting firm)</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Formerly Chief Executive Officer,</w:t>
      </w:r>
    </w:p>
    <w:p>
      <w:pPr>
        <w:spacing w:after="0" w:line="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Twitchell Corporation,</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Dothan, AL</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privately held manufacturer</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and marketer of highly engineered,</w:t>
      </w:r>
    </w:p>
    <w:p>
      <w:pPr>
        <w:spacing w:after="0" w:line="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synthetic yarns, fabrics, extrusions,</w:t>
      </w:r>
    </w:p>
    <w:p>
      <w:pPr>
        <w:spacing w:after="0" w:line="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and coatings)</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Also Director,</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Detrex Corporation</w:t>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Strattec Security Corporation</w:t>
      </w:r>
    </w:p>
    <w:p>
      <w:pPr>
        <w:sectPr>
          <w:pgSz w:w="11900" w:h="16946" w:orient="portrait"/>
          <w:cols w:equalWidth="0" w:num="1">
            <w:col w:w="11440"/>
          </w:cols>
          <w:pgMar w:left="220" w:top="151" w:right="239" w:bottom="0" w:gutter="0" w:footer="0" w:header="0"/>
          <w:type w:val="continuous"/>
        </w:sect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729742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DIRECTORS WHOSE TERMS EXPIRE IN 2009:</w:t>
      </w:r>
    </w:p>
    <w:p>
      <w:pPr>
        <w:sectPr>
          <w:pgSz w:w="11900" w:h="16946" w:orient="portrait"/>
          <w:cols w:equalWidth="0" w:num="1">
            <w:col w:w="11440"/>
          </w:cols>
          <w:pgMar w:left="220" w:top="151" w:right="239" w:bottom="0" w:gutter="0" w:footer="0" w:header="0"/>
          <w:type w:val="continuous"/>
        </w:sect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David B. Rayburn</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President and</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July 2000</w:t>
      </w:r>
    </w:p>
    <w:p>
      <w:pPr>
        <w:spacing w:after="0" w:line="91" w:lineRule="exact"/>
        <w:rPr>
          <w:sz w:val="20"/>
          <w:szCs w:val="20"/>
          <w:color w:val="auto"/>
        </w:rPr>
      </w:pPr>
    </w:p>
    <w:p>
      <w:pPr>
        <w:sectPr>
          <w:pgSz w:w="11900" w:h="16946" w:orient="portrait"/>
          <w:cols w:equalWidth="0" w:num="3">
            <w:col w:w="1000" w:space="340"/>
            <w:col w:w="2340" w:space="720"/>
            <w:col w:w="7040"/>
          </w:cols>
          <w:pgMar w:left="220" w:top="151" w:right="239" w:bottom="0" w:gutter="0" w:footer="0" w:header="0"/>
          <w:type w:val="continuous"/>
        </w:sectPr>
      </w:pPr>
    </w:p>
    <w:p>
      <w:pPr>
        <w:ind w:left="140"/>
        <w:spacing w:after="0"/>
        <w:rPr>
          <w:sz w:val="20"/>
          <w:szCs w:val="20"/>
          <w:color w:val="auto"/>
        </w:rPr>
      </w:pPr>
      <w:r>
        <w:rPr>
          <w:rFonts w:ascii="Times New Roman" w:cs="Times New Roman" w:eastAsia="Times New Roman" w:hAnsi="Times New Roman"/>
          <w:sz w:val="12"/>
          <w:szCs w:val="12"/>
          <w:color w:val="auto"/>
        </w:rPr>
        <w:t>Age 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91" w:lineRule="exact"/>
        <w:rPr>
          <w:sz w:val="20"/>
          <w:szCs w:val="20"/>
          <w:color w:val="auto"/>
        </w:rPr>
      </w:pPr>
    </w:p>
    <w:p>
      <w:pPr>
        <w:sectPr>
          <w:pgSz w:w="11900" w:h="16946" w:orient="portrait"/>
          <w:cols w:equalWidth="0" w:num="2">
            <w:col w:w="620" w:space="720"/>
            <w:col w:w="10100"/>
          </w:cols>
          <w:pgMar w:left="220" w:top="151" w:right="239" w:bottom="0" w:gutter="0" w:footer="0" w:header="0"/>
          <w:type w:val="continuous"/>
        </w:sectPr>
      </w:pPr>
    </w:p>
    <w:p>
      <w:pPr>
        <w:ind w:left="1100"/>
        <w:spacing w:after="0"/>
        <w:rPr>
          <w:sz w:val="20"/>
          <w:szCs w:val="20"/>
          <w:color w:val="auto"/>
        </w:rPr>
      </w:pPr>
      <w:r>
        <w:rPr>
          <w:rFonts w:ascii="Times New Roman" w:cs="Times New Roman" w:eastAsia="Times New Roman" w:hAnsi="Times New Roman"/>
          <w:sz w:val="12"/>
          <w:szCs w:val="12"/>
          <w:color w:val="auto"/>
        </w:rPr>
        <w:t>Modine Manufacturing Company,</w:t>
      </w:r>
    </w:p>
    <w:p>
      <w:pPr>
        <w:spacing w:after="0" w:line="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Racine, Wisconsin</w:t>
      </w:r>
    </w:p>
    <w:p>
      <w:pPr>
        <w:spacing w:after="0" w:line="6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 manufacturer of heat</w:t>
      </w:r>
    </w:p>
    <w:p>
      <w:pPr>
        <w:spacing w:after="0" w:line="6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exchange equipment)</w:t>
      </w:r>
    </w:p>
    <w:p>
      <w:pPr>
        <w:sectPr>
          <w:pgSz w:w="11900" w:h="16946" w:orient="portrait"/>
          <w:cols w:equalWidth="0" w:num="1">
            <w:col w:w="11440"/>
          </w:cols>
          <w:pgMar w:left="220" w:top="151" w:right="239" w:bottom="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Malcolm F. Moore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President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October 2006</w:t>
      </w:r>
    </w:p>
    <w:p>
      <w:pPr>
        <w:spacing w:after="0" w:line="91" w:lineRule="exact"/>
        <w:rPr>
          <w:sz w:val="20"/>
          <w:szCs w:val="20"/>
          <w:color w:val="auto"/>
        </w:rPr>
      </w:pPr>
    </w:p>
    <w:p>
      <w:pPr>
        <w:sectPr>
          <w:pgSz w:w="11900" w:h="16946" w:orient="portrait"/>
          <w:cols w:equalWidth="0" w:num="3">
            <w:col w:w="1020" w:space="320"/>
            <w:col w:w="2240" w:space="720"/>
            <w:col w:w="7140"/>
          </w:cols>
          <w:pgMar w:left="220" w:top="151" w:right="239" w:bottom="0" w:gutter="0" w:footer="0" w:header="0"/>
          <w:type w:val="continuous"/>
        </w:sectPr>
      </w:pPr>
    </w:p>
    <w:p>
      <w:pPr>
        <w:ind w:left="220"/>
        <w:spacing w:after="0"/>
        <w:rPr>
          <w:sz w:val="20"/>
          <w:szCs w:val="20"/>
          <w:color w:val="auto"/>
        </w:rPr>
      </w:pPr>
      <w:r>
        <w:rPr>
          <w:rFonts w:ascii="Times New Roman" w:cs="Times New Roman" w:eastAsia="Times New Roman" w:hAnsi="Times New Roman"/>
          <w:sz w:val="12"/>
          <w:szCs w:val="12"/>
          <w:color w:val="auto"/>
        </w:rPr>
        <w:t>Age 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Chief Operating Officer,</w:t>
      </w:r>
    </w:p>
    <w:p>
      <w:pPr>
        <w:spacing w:after="0" w:line="91" w:lineRule="exact"/>
        <w:rPr>
          <w:sz w:val="20"/>
          <w:szCs w:val="20"/>
          <w:color w:val="auto"/>
        </w:rPr>
      </w:pPr>
    </w:p>
    <w:p>
      <w:pPr>
        <w:sectPr>
          <w:pgSz w:w="11900" w:h="16946" w:orient="portrait"/>
          <w:cols w:equalWidth="0" w:num="2">
            <w:col w:w="620" w:space="720"/>
            <w:col w:w="10100"/>
          </w:cols>
          <w:pgMar w:left="220" w:top="151" w:right="239" w:bottom="0" w:gutter="0" w:footer="0" w:header="0"/>
          <w:type w:val="continuous"/>
        </w:sectPr>
      </w:pPr>
    </w:p>
    <w:p>
      <w:pPr>
        <w:ind w:left="1340"/>
        <w:spacing w:after="0"/>
        <w:rPr>
          <w:sz w:val="20"/>
          <w:szCs w:val="20"/>
          <w:color w:val="auto"/>
        </w:rPr>
      </w:pPr>
      <w:r>
        <w:rPr>
          <w:rFonts w:ascii="Times New Roman" w:cs="Times New Roman" w:eastAsia="Times New Roman" w:hAnsi="Times New Roman"/>
          <w:sz w:val="12"/>
          <w:szCs w:val="12"/>
          <w:color w:val="auto"/>
        </w:rPr>
        <w:t>Gehl Company,</w:t>
      </w:r>
    </w:p>
    <w:p>
      <w:pPr>
        <w:sectPr>
          <w:pgSz w:w="11900" w:h="16946" w:orient="portrait"/>
          <w:cols w:equalWidth="0" w:num="1">
            <w:col w:w="11440"/>
          </w:cols>
          <w:pgMar w:left="220" w:top="151" w:right="239" w:bottom="0" w:gutter="0" w:footer="0" w:header="0"/>
          <w:type w:val="continuous"/>
        </w:sectPr>
      </w:pPr>
    </w:p>
    <w:p>
      <w:pPr>
        <w:spacing w:after="0" w:line="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West Bend, Wisconsin</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(A manufacturer and distributor of</w:t>
      </w:r>
    </w:p>
    <w:p>
      <w:pPr>
        <w:spacing w:after="0" w:line="7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compact equipment for construction</w:t>
      </w:r>
    </w:p>
    <w:p>
      <w:pPr>
        <w:spacing w:after="0" w:line="7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and agricultural markets)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Company's business is conducted under the direction of the Board of Directors, pursuant to the laws of the State of Wisconsin and our Restated By-laws. Members of the Board of Directors are kept informed of the Company's business through discussions with the Chairman, President and Chief Executive Officer, and with key members of management, by reviewing materials provided to them and by participating in meetings of the Board of Directors and its committees.</w:t>
      </w:r>
    </w:p>
    <w:p>
      <w:pPr>
        <w:spacing w:after="0" w:line="148"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4"/>
          <w:szCs w:val="14"/>
          <w:color w:val="auto"/>
        </w:rPr>
        <w:t xml:space="preserve">The Company has reviewed its corporate governance policies and practices, particularly in light of the Sarbanes-Oxley Act of 2002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Times New Roman" w:cs="Times New Roman" w:eastAsia="Times New Roman" w:hAnsi="Times New Roman"/>
          <w:sz w:val="14"/>
          <w:szCs w:val="14"/>
          <w:u w:val="single" w:color="auto"/>
          <w:color w:val="0000FF"/>
        </w:rPr>
        <w:t>www.twindisc.com</w:t>
      </w:r>
      <w:r>
        <w:rPr>
          <w:rFonts w:ascii="Times New Roman" w:cs="Times New Roman" w:eastAsia="Times New Roman" w:hAnsi="Times New Roman"/>
          <w:sz w:val="14"/>
          <w:szCs w:val="14"/>
          <w:color w:val="auto"/>
        </w:rPr>
        <w:t xml:space="preserve"> , and/or through appropriate mailings.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Independence</w:t>
      </w:r>
    </w:p>
    <w:p>
      <w:pPr>
        <w:spacing w:after="0" w:line="17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The Company requires, as set forth in its Guidelines for Corporate Governance, that a majority of the Board members be independent outside directors. However, the Company is not opposed to having members of the Company's management, including the CEO, serve as directors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"Independent Director," as used here, means a person other than an officer or employee of the Company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shall assess independence on an ongoing basis, and each director is responsible for bringing to the attention of the Nominating and Governance Committee any changes to his or her status that may affect independence. In addition, the directors shall complete, on at least an annual basis, a questionnaire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prepared by the Company that is designed to elicit information that relates to the independence assessment. A majority of the Company's current directors are Independent Directors.</w:t>
      </w:r>
    </w:p>
    <w:p>
      <w:pPr>
        <w:spacing w:after="0" w:line="172"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4"/>
          <w:szCs w:val="14"/>
          <w:color w:val="auto"/>
        </w:rPr>
        <w:t>The Board has determined that the following directors are independent within the meaning of the SEC regulations, the listing standards of the NASDAQ Stock Market and the Company's Guidelines for Corporate Governance: Messrs. Mellowes, Moore, Rayburn, Stratton, Swift and Zimmer.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Guidelines for Business Conduct and Ethics</w:t>
      </w:r>
    </w:p>
    <w:p>
      <w:pPr>
        <w:spacing w:after="0" w:line="17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4"/>
          <w:szCs w:val="14"/>
          <w:color w:val="auto"/>
        </w:rPr>
        <w:t xml:space="preserve">Our Guidelines for Business Conduct and Ethics (our "Guidelines") summarize the compliance and ethical standards and expectations we have for all our employees, officers and directors with respect to their conduct in furtherance of Company business. It contains procedures for reporting suspected violations of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or in a current report on Form 8-K. In addition, if a waiver from the Guidelines is granted to an executive officer or director, we will disclose the nature of such waiver on our website at </w:t>
      </w:r>
      <w:r>
        <w:rPr>
          <w:rFonts w:ascii="Times New Roman" w:cs="Times New Roman" w:eastAsia="Times New Roman" w:hAnsi="Times New Roman"/>
          <w:sz w:val="14"/>
          <w:szCs w:val="14"/>
          <w:u w:val="single" w:color="auto"/>
          <w:color w:val="0000FF"/>
        </w:rPr>
        <w:t>www.twindisc.com</w:t>
      </w:r>
      <w:r>
        <w:rPr>
          <w:rFonts w:ascii="Times New Roman" w:cs="Times New Roman" w:eastAsia="Times New Roman" w:hAnsi="Times New Roman"/>
          <w:sz w:val="14"/>
          <w:szCs w:val="14"/>
          <w:color w:val="auto"/>
        </w:rPr>
        <w:t xml:space="preserve"> or in a current report on Form 8-K.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Review, Approval or Ratification of Transactions with Related Persons</w:t>
      </w:r>
    </w:p>
    <w:p>
      <w:pPr>
        <w:spacing w:after="0" w:line="176" w:lineRule="exact"/>
        <w:rPr>
          <w:sz w:val="20"/>
          <w:szCs w:val="20"/>
          <w:color w:val="auto"/>
        </w:rPr>
      </w:pPr>
    </w:p>
    <w:p>
      <w:pPr>
        <w:ind w:right="100"/>
        <w:spacing w:after="0" w:line="352" w:lineRule="auto"/>
        <w:rPr>
          <w:sz w:val="20"/>
          <w:szCs w:val="20"/>
          <w:color w:val="auto"/>
        </w:rPr>
      </w:pPr>
      <w:r>
        <w:rPr>
          <w:rFonts w:ascii="Times New Roman" w:cs="Times New Roman" w:eastAsia="Times New Roman" w:hAnsi="Times New Roman"/>
          <w:sz w:val="12"/>
          <w:szCs w:val="12"/>
          <w:color w:val="auto"/>
        </w:rPr>
        <w:t>The Company’s Guidelines for Business Conduct and Ethics (“Guidelines”) apply to all directors, officers, employees and representatives of the Company. The Guidelines require that all such persons refrain from business activities, including personal investments, which conflict with the proper discharge of their responsibilities to the Company or impair their ability to exercise independent judgment with respect to</w:t>
      </w:r>
    </w:p>
    <w:p>
      <w:pPr>
        <w:sectPr>
          <w:pgSz w:w="11900" w:h="16946" w:orient="portrait"/>
          <w:cols w:equalWidth="0" w:num="1">
            <w:col w:w="11440"/>
          </w:cols>
          <w:pgMar w:left="220" w:top="151" w:right="239" w:bottom="0" w:gutter="0" w:footer="0" w:header="0"/>
          <w:type w:val="continuous"/>
        </w:sectPr>
      </w:pPr>
    </w:p>
    <w:bookmarkStart w:id="4" w:name="page5"/>
    <w:bookmarkEnd w:id="4"/>
    <w:p>
      <w:pPr>
        <w:ind w:right="80"/>
        <w:spacing w:after="0" w:line="274" w:lineRule="auto"/>
        <w:rPr>
          <w:sz w:val="20"/>
          <w:szCs w:val="20"/>
          <w:color w:val="auto"/>
        </w:rPr>
      </w:pPr>
      <w:r>
        <w:rPr>
          <w:rFonts w:ascii="Times New Roman" w:cs="Times New Roman" w:eastAsia="Times New Roman" w:hAnsi="Times New Roman"/>
          <w:sz w:val="14"/>
          <w:szCs w:val="14"/>
          <w:color w:val="auto"/>
        </w:rPr>
        <w:t xml:space="preserve">transaction in which they are involved on behalf of the Company. The Guidelines,which include policies on the review and approval of significant transactions between the Company and its officers or employees, and their relatives or businesses, are available on the Company’s website, </w:t>
      </w:r>
      <w:r>
        <w:rPr>
          <w:rFonts w:ascii="Times New Roman" w:cs="Times New Roman" w:eastAsia="Times New Roman" w:hAnsi="Times New Roman"/>
          <w:sz w:val="16"/>
          <w:szCs w:val="16"/>
          <w:u w:val="single" w:color="auto"/>
          <w:color w:val="0000FF"/>
        </w:rPr>
        <w:t>www.twindisc.com</w:t>
      </w:r>
    </w:p>
    <w:p>
      <w:pPr>
        <w:spacing w:after="0" w:line="12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At the end of each fiscal year, each director and officer must respond to a questionnaire that requires him or her to identify any transaction or relationship that occurred during the year or any proposed transaction that involves the Company (or any subsidiary or affiliate of the Company) and that individual, his or her immediate family and any entity with which he, she or such immediate family member is associated. All responses to the questionnaires are reviewed by the Company’s internal auditor and shared with the CEO, as appropriate. Based upon such review, there were no related party transactions with respect to persons who were directors or officers during fiscal 2007 requiring disclosure under the rules of the Securities and Exchange Commission.</w:t>
      </w:r>
    </w:p>
    <w:p>
      <w:pPr>
        <w:spacing w:after="0" w:line="1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DIRECTOR COMMITTEES AND ATTENDANCE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 Meetings And Attendance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Corporation’s Board of Directors met 6 times during the year ended June 30, 2007. There were no absences from these meetings.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Committee Meetings And Attendance</w:t>
      </w:r>
    </w:p>
    <w:p>
      <w:pPr>
        <w:spacing w:after="0" w:line="1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Audit Committee met 8 times during the year. The Compensation Committee met 3 times during the year. The Pension, Finance and Nominating and Governance Committee each met 2 times during the year.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Director attended at least 75% of the meetings requiring his attendance.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Committee Functions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Audit Committee</w:t>
      </w:r>
    </w:p>
    <w:p>
      <w:pPr>
        <w:spacing w:after="0" w:line="174"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4"/>
          <w:szCs w:val="14"/>
          <w:color w:val="auto"/>
        </w:rPr>
        <w:t xml:space="preserve">The Company has a separately-designated Audit Committee established in accordance with Section 3(a)(58)(A) of the Securities Exchange Act of 1934.The charter of the Audit Committee is available on the Company's website, </w:t>
      </w:r>
      <w:r>
        <w:rPr>
          <w:rFonts w:ascii="Times New Roman" w:cs="Times New Roman" w:eastAsia="Times New Roman" w:hAnsi="Times New Roman"/>
          <w:sz w:val="14"/>
          <w:szCs w:val="14"/>
          <w:u w:val="single" w:color="auto"/>
          <w:color w:val="auto"/>
        </w:rPr>
        <w:t>www.twindisc.com</w:t>
      </w:r>
      <w:r>
        <w:rPr>
          <w:rFonts w:ascii="Times New Roman" w:cs="Times New Roman" w:eastAsia="Times New Roman" w:hAnsi="Times New Roman"/>
          <w:sz w:val="14"/>
          <w:szCs w:val="14"/>
          <w:color w:val="auto"/>
        </w:rPr>
        <w:t>. The Board most recently revised its Audit Committee charter on April 16, 2004.</w:t>
      </w:r>
    </w:p>
    <w:p>
      <w:pPr>
        <w:spacing w:after="0" w:line="120"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4"/>
          <w:szCs w:val="14"/>
          <w:color w:val="auto"/>
        </w:rPr>
        <w:t>In October of each year, the Board selects the members of the Audit Committee. All of the members of the Audit Committee are independent within the meaning of the SEC regulations, the listing standards of NASDAQ Stock Market and the Company's Guidelines for Corporate Governance. The Board of Directors has determined that each audit committee member (Mr. Zimmer, Mr. Moore, Mr. Rayburn and Mr. Stratton) qualifies as an “audit committee financial expert” within the meaning of the SEC rules.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set forth in the charter, the Audit Committee's purpose is to assist the Board of Directors in monitoring the:</w:t>
      </w:r>
    </w:p>
    <w:p>
      <w:pPr>
        <w:spacing w:after="0" w:line="203" w:lineRule="exact"/>
        <w:rPr>
          <w:sz w:val="20"/>
          <w:szCs w:val="20"/>
          <w:color w:val="auto"/>
        </w:rPr>
      </w:pPr>
    </w:p>
    <w:p>
      <w:pPr>
        <w:ind w:left="560" w:hanging="125"/>
        <w:spacing w:after="0"/>
        <w:tabs>
          <w:tab w:leader="none" w:pos="56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Integrity of the Company's financial statements;</w:t>
      </w:r>
    </w:p>
    <w:p>
      <w:pPr>
        <w:spacing w:after="0" w:line="36" w:lineRule="exact"/>
        <w:rPr>
          <w:rFonts w:ascii="Times New Roman" w:cs="Times New Roman" w:eastAsia="Times New Roman" w:hAnsi="Times New Roman"/>
          <w:sz w:val="14"/>
          <w:szCs w:val="14"/>
          <w:b w:val="1"/>
          <w:bCs w:val="1"/>
          <w:color w:val="auto"/>
        </w:rPr>
      </w:pPr>
    </w:p>
    <w:p>
      <w:pPr>
        <w:ind w:left="560" w:hanging="112"/>
        <w:spacing w:after="0"/>
        <w:tabs>
          <w:tab w:leader="none" w:pos="560" w:val="left"/>
        </w:tabs>
        <w:numPr>
          <w:ilvl w:val="1"/>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Independent auditor's qualifications and independence;</w:t>
      </w:r>
    </w:p>
    <w:p>
      <w:pPr>
        <w:spacing w:after="0" w:line="36" w:lineRule="exact"/>
        <w:rPr>
          <w:rFonts w:ascii="Times New Roman" w:cs="Times New Roman" w:eastAsia="Times New Roman" w:hAnsi="Times New Roman"/>
          <w:sz w:val="14"/>
          <w:szCs w:val="14"/>
          <w:b w:val="1"/>
          <w:bCs w:val="1"/>
          <w:color w:val="auto"/>
        </w:rPr>
      </w:pPr>
    </w:p>
    <w:p>
      <w:pPr>
        <w:ind w:left="560" w:hanging="129"/>
        <w:spacing w:after="0"/>
        <w:tabs>
          <w:tab w:leader="none" w:pos="56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Performance of the Company's internal audit function and the independent auditors; and</w:t>
      </w:r>
    </w:p>
    <w:p>
      <w:pPr>
        <w:spacing w:after="0" w:line="36" w:lineRule="exact"/>
        <w:rPr>
          <w:rFonts w:ascii="Times New Roman" w:cs="Times New Roman" w:eastAsia="Times New Roman" w:hAnsi="Times New Roman"/>
          <w:sz w:val="14"/>
          <w:szCs w:val="14"/>
          <w:b w:val="1"/>
          <w:bCs w:val="1"/>
          <w:color w:val="auto"/>
        </w:rPr>
      </w:pPr>
    </w:p>
    <w:p>
      <w:pPr>
        <w:ind w:left="560" w:hanging="129"/>
        <w:spacing w:after="0"/>
        <w:tabs>
          <w:tab w:leader="none" w:pos="56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Company's compliance with legal and regulatory requirements.</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carrying out these responsibilities, the Audit Committee, among other things:</w:t>
      </w:r>
    </w:p>
    <w:p>
      <w:pPr>
        <w:spacing w:after="0" w:line="234" w:lineRule="exact"/>
        <w:rPr>
          <w:sz w:val="20"/>
          <w:szCs w:val="20"/>
          <w:color w:val="auto"/>
        </w:rPr>
      </w:pPr>
    </w:p>
    <w:p>
      <w:pPr>
        <w:ind w:left="560" w:hanging="129"/>
        <w:spacing w:after="0"/>
        <w:tabs>
          <w:tab w:leader="none" w:pos="560"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Appoints the independent auditor for the purpose of preparing and issuing an audit report and to perform related work, and discusses with the independent auditor appropriate staffing and compensation;</w:t>
      </w:r>
    </w:p>
    <w:p>
      <w:pPr>
        <w:spacing w:after="0" w:line="59" w:lineRule="exact"/>
        <w:rPr>
          <w:rFonts w:ascii="Times New Roman" w:cs="Times New Roman" w:eastAsia="Times New Roman" w:hAnsi="Times New Roman"/>
          <w:sz w:val="12"/>
          <w:szCs w:val="12"/>
          <w:b w:val="1"/>
          <w:bCs w:val="1"/>
          <w:color w:val="auto"/>
        </w:rPr>
      </w:pPr>
    </w:p>
    <w:p>
      <w:pPr>
        <w:ind w:left="560" w:hanging="129"/>
        <w:spacing w:after="0"/>
        <w:tabs>
          <w:tab w:leader="none" w:pos="56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Retains, to the extent it deems necessary or appropriate, independent legal, accounting or other advisors;</w:t>
      </w:r>
    </w:p>
    <w:p>
      <w:pPr>
        <w:spacing w:after="0" w:line="36" w:lineRule="exact"/>
        <w:rPr>
          <w:rFonts w:ascii="Times New Roman" w:cs="Times New Roman" w:eastAsia="Times New Roman" w:hAnsi="Times New Roman"/>
          <w:sz w:val="14"/>
          <w:szCs w:val="14"/>
          <w:b w:val="1"/>
          <w:bCs w:val="1"/>
          <w:color w:val="auto"/>
        </w:rPr>
      </w:pPr>
    </w:p>
    <w:p>
      <w:pPr>
        <w:ind w:left="600" w:hanging="148"/>
        <w:spacing w:after="0" w:line="291" w:lineRule="auto"/>
        <w:tabs>
          <w:tab w:leader="none" w:pos="569" w:val="left"/>
        </w:tabs>
        <w:numPr>
          <w:ilvl w:val="1"/>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Oversees management's implementation of systems of internal controls, including review of policies relating to legal and regulatory compliance, ethics and conflicts of interests; and reviews the activities and recommendations of the Company's internal auditing program;</w:t>
      </w:r>
    </w:p>
    <w:p>
      <w:pPr>
        <w:spacing w:after="0" w:line="4" w:lineRule="exact"/>
        <w:rPr>
          <w:rFonts w:ascii="Times New Roman" w:cs="Times New Roman" w:eastAsia="Times New Roman" w:hAnsi="Times New Roman"/>
          <w:sz w:val="14"/>
          <w:szCs w:val="14"/>
          <w:b w:val="1"/>
          <w:bCs w:val="1"/>
          <w:color w:val="auto"/>
        </w:rPr>
      </w:pPr>
    </w:p>
    <w:p>
      <w:pPr>
        <w:ind w:left="560" w:hanging="129"/>
        <w:spacing w:after="0"/>
        <w:tabs>
          <w:tab w:leader="none" w:pos="56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Monitors the preparation of quarterly and annual financial reports by the Company's management, including discussions with management and the Company's outside auditors</w:t>
      </w:r>
    </w:p>
    <w:p>
      <w:pPr>
        <w:spacing w:after="0" w:line="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about draft annual financial statements and key accounting and reporting matters;</w:t>
      </w:r>
    </w:p>
    <w:p>
      <w:pPr>
        <w:spacing w:after="0" w:line="34" w:lineRule="exact"/>
        <w:rPr>
          <w:sz w:val="20"/>
          <w:szCs w:val="20"/>
          <w:color w:val="auto"/>
        </w:rPr>
      </w:pPr>
    </w:p>
    <w:p>
      <w:pPr>
        <w:ind w:left="560" w:hanging="129"/>
        <w:spacing w:after="0"/>
        <w:tabs>
          <w:tab w:leader="none" w:pos="56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Determines whether the outside auditors are independent (based in part on the annual letter provided to the Company pursuant to </w:t>
      </w:r>
      <w:r>
        <w:rPr>
          <w:rFonts w:ascii="Times New Roman" w:cs="Times New Roman" w:eastAsia="Times New Roman" w:hAnsi="Times New Roman"/>
          <w:sz w:val="14"/>
          <w:szCs w:val="14"/>
          <w:i w:val="1"/>
          <w:iCs w:val="1"/>
          <w:color w:val="auto"/>
        </w:rPr>
        <w:t>Independence Standards Board Standard No. 1</w:t>
      </w:r>
      <w:r>
        <w:rPr>
          <w:rFonts w:ascii="Times New Roman" w:cs="Times New Roman" w:eastAsia="Times New Roman" w:hAnsi="Times New Roman"/>
          <w:sz w:val="14"/>
          <w:szCs w:val="14"/>
          <w:color w:val="auto"/>
        </w:rPr>
        <w:t>); and</w:t>
      </w:r>
    </w:p>
    <w:p>
      <w:pPr>
        <w:spacing w:after="0" w:line="38" w:lineRule="exact"/>
        <w:rPr>
          <w:rFonts w:ascii="Times New Roman" w:cs="Times New Roman" w:eastAsia="Times New Roman" w:hAnsi="Times New Roman"/>
          <w:sz w:val="14"/>
          <w:szCs w:val="14"/>
          <w:b w:val="1"/>
          <w:bCs w:val="1"/>
          <w:color w:val="auto"/>
        </w:rPr>
      </w:pPr>
    </w:p>
    <w:p>
      <w:pPr>
        <w:ind w:left="560" w:hanging="129"/>
        <w:spacing w:after="0"/>
        <w:tabs>
          <w:tab w:leader="none" w:pos="56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Annually reviews management's programs to monitor compliance with the Company's Guidelines for Business Conduct and Ethics.</w:t>
      </w:r>
    </w:p>
    <w:p>
      <w:pPr>
        <w:spacing w:after="0" w:line="3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Finance Committee</w:t>
      </w:r>
    </w:p>
    <w:p>
      <w:pPr>
        <w:spacing w:after="0" w:line="17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4"/>
          <w:szCs w:val="14"/>
          <w:color w:val="auto"/>
        </w:rPr>
        <w:t>The Finance Committee is appointed by the Board of Directors of the Company to assist the Board in fulfilling its oversight responsibilities for considering management’s proposed financial policies and actions, and making appropriate recommendations to the Board regarding: Debt and capital structure, acquisitions, capital budgets, dividend policy and other financial and risk management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Nominating and Governance Committee</w:t>
      </w:r>
    </w:p>
    <w:p>
      <w:pPr>
        <w:spacing w:after="0" w:line="17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4"/>
          <w:szCs w:val="14"/>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Company; and reviews proposed changes in corporate structure and governance, committee structure and function, and meeting schedules, making recommendations to the Board as appropriate. The charter of the Nominating and Governance Committee is available on the Company's website, </w:t>
      </w:r>
      <w:r>
        <w:rPr>
          <w:rFonts w:ascii="Times New Roman" w:cs="Times New Roman" w:eastAsia="Times New Roman" w:hAnsi="Times New Roman"/>
          <w:sz w:val="14"/>
          <w:szCs w:val="14"/>
          <w:u w:val="single" w:color="auto"/>
          <w:color w:val="auto"/>
        </w:rPr>
        <w:t>www.twindisc.com</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4"/>
          <w:szCs w:val="14"/>
          <w:color w:val="auto"/>
        </w:rPr>
        <w:t>In October of each year, the Board selects members of the Nominating and Governance Committee for the coming year. The independence of the Committee is in compliance with SEC regulations, the listing standards of the NASDAQ Stock Market and the Company's Guidelines for Corporate Governance.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Selection of Nominees for the Board</w:t>
      </w:r>
    </w:p>
    <w:p>
      <w:pPr>
        <w:spacing w:after="0" w:line="17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 xml:space="preserve">The Nominating and Goverance Committee shall identify candidates for director nominees in consultation with the Chairman, President and Chief Executive Officer, through the use of search firms or other advisers or through such other methods as the Committee deems to be helpful to identify candidates, including the processes identified herein. The Committee will also consider director candidates recommended by stockholders. The procedures for recommendation of nominees by stockholders is available on the Company’s web site, </w:t>
      </w:r>
      <w:r>
        <w:rPr>
          <w:rFonts w:ascii="Times New Roman" w:cs="Times New Roman" w:eastAsia="Times New Roman" w:hAnsi="Times New Roman"/>
          <w:sz w:val="14"/>
          <w:szCs w:val="14"/>
          <w:u w:val="single" w:color="auto"/>
          <w:color w:val="auto"/>
        </w:rPr>
        <w:t>www.twindisc.com</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in submitting recommendations to the Committee for director candidates, shall follow the following procedures:</w:t>
      </w:r>
    </w:p>
    <w:p>
      <w:pPr>
        <w:spacing w:after="0" w:line="172" w:lineRule="exact"/>
        <w:rPr>
          <w:sz w:val="20"/>
          <w:szCs w:val="20"/>
          <w:color w:val="auto"/>
        </w:rPr>
      </w:pPr>
    </w:p>
    <w:p>
      <w:pPr>
        <w:ind w:left="320" w:right="500" w:hanging="317"/>
        <w:spacing w:after="0" w:line="205" w:lineRule="auto"/>
        <w:tabs>
          <w:tab w:leader="none" w:pos="32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The Committee must receive any such recommendation for nomination by a date not later than the 80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4"/>
          <w:szCs w:val="14"/>
          <w:color w:val="auto"/>
        </w:rPr>
        <w:t xml:space="preserve"> calendar day before the date the Corporation's proxy statement was released to stockholders in connection with the previous year's annual meeting.</w:t>
      </w:r>
    </w:p>
    <w:p>
      <w:pPr>
        <w:spacing w:after="0" w:line="189" w:lineRule="exact"/>
        <w:rPr>
          <w:rFonts w:ascii="Times New Roman" w:cs="Times New Roman" w:eastAsia="Times New Roman" w:hAnsi="Times New Roman"/>
          <w:sz w:val="27"/>
          <w:szCs w:val="27"/>
          <w:color w:val="auto"/>
          <w:vertAlign w:val="superscript"/>
        </w:rPr>
      </w:pPr>
    </w:p>
    <w:p>
      <w:pPr>
        <w:ind w:left="320" w:hanging="317"/>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recommendation for nomination shall be in writing and shall include the following information:</w:t>
      </w:r>
    </w:p>
    <w:p>
      <w:pPr>
        <w:spacing w:after="0" w:line="213" w:lineRule="exact"/>
        <w:rPr>
          <w:rFonts w:ascii="Times New Roman" w:cs="Times New Roman" w:eastAsia="Times New Roman" w:hAnsi="Times New Roman"/>
          <w:sz w:val="14"/>
          <w:szCs w:val="14"/>
          <w:color w:val="auto"/>
        </w:rPr>
      </w:pPr>
    </w:p>
    <w:p>
      <w:pPr>
        <w:ind w:left="680" w:hanging="365"/>
        <w:spacing w:after="0"/>
        <w:tabs>
          <w:tab w:leader="none" w:pos="6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of the Stockholder, whether an entity or an individual, making the recommendation;</w:t>
      </w:r>
    </w:p>
    <w:p>
      <w:pPr>
        <w:spacing w:after="0" w:line="213" w:lineRule="exact"/>
        <w:rPr>
          <w:rFonts w:ascii="Times New Roman" w:cs="Times New Roman" w:eastAsia="Times New Roman" w:hAnsi="Times New Roman"/>
          <w:sz w:val="14"/>
          <w:szCs w:val="14"/>
          <w:color w:val="auto"/>
        </w:rPr>
      </w:pPr>
    </w:p>
    <w:p>
      <w:pPr>
        <w:ind w:left="680" w:hanging="365"/>
        <w:spacing w:after="0"/>
        <w:tabs>
          <w:tab w:leader="none" w:pos="6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statement disclosing such stockholder’s beneficial ownership of the Corporation's securities;</w:t>
      </w:r>
    </w:p>
    <w:p>
      <w:pPr>
        <w:spacing w:after="0" w:line="213" w:lineRule="exact"/>
        <w:rPr>
          <w:rFonts w:ascii="Times New Roman" w:cs="Times New Roman" w:eastAsia="Times New Roman" w:hAnsi="Times New Roman"/>
          <w:sz w:val="14"/>
          <w:szCs w:val="14"/>
          <w:color w:val="auto"/>
        </w:rPr>
      </w:pPr>
    </w:p>
    <w:p>
      <w:pPr>
        <w:ind w:left="680" w:hanging="365"/>
        <w:spacing w:after="0"/>
        <w:tabs>
          <w:tab w:leader="none" w:pos="6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of the individual recommended for consideration as a director nominee;</w:t>
      </w:r>
    </w:p>
    <w:p>
      <w:pPr>
        <w:spacing w:after="0" w:line="213" w:lineRule="exact"/>
        <w:rPr>
          <w:rFonts w:ascii="Times New Roman" w:cs="Times New Roman" w:eastAsia="Times New Roman" w:hAnsi="Times New Roman"/>
          <w:sz w:val="14"/>
          <w:szCs w:val="14"/>
          <w:color w:val="auto"/>
        </w:rPr>
      </w:pPr>
    </w:p>
    <w:p>
      <w:pPr>
        <w:ind w:left="680" w:hanging="365"/>
        <w:spacing w:after="0"/>
        <w:tabs>
          <w:tab w:leader="none" w:pos="6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statement from the stockholder making the recommendation stating why such recommended candidate would be able to fulfill the duties of a director;</w:t>
      </w:r>
    </w:p>
    <w:p>
      <w:pPr>
        <w:spacing w:after="0" w:line="202" w:lineRule="exact"/>
        <w:rPr>
          <w:rFonts w:ascii="Times New Roman" w:cs="Times New Roman" w:eastAsia="Times New Roman" w:hAnsi="Times New Roman"/>
          <w:sz w:val="14"/>
          <w:szCs w:val="14"/>
          <w:color w:val="auto"/>
        </w:rPr>
      </w:pPr>
    </w:p>
    <w:p>
      <w:pPr>
        <w:ind w:left="680" w:right="140" w:hanging="365"/>
        <w:spacing w:after="0" w:line="267" w:lineRule="auto"/>
        <w:tabs>
          <w:tab w:leader="none" w:pos="6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statement from the stockholder making the recommendation stating how the recommended candidate meets the independence requirements established by the SEC and the NASDAQ Stock Market;</w:t>
      </w:r>
    </w:p>
    <w:p>
      <w:pPr>
        <w:sectPr>
          <w:pgSz w:w="11900" w:h="16838" w:orient="portrait"/>
          <w:cols w:equalWidth="0" w:num="1">
            <w:col w:w="11540"/>
          </w:cols>
          <w:pgMar w:left="220" w:top="130" w:right="139" w:bottom="0" w:gutter="0" w:footer="0" w:header="0"/>
        </w:sectPr>
      </w:pPr>
    </w:p>
    <w:bookmarkStart w:id="5" w:name="page6"/>
    <w:bookmarkEnd w:id="5"/>
    <w:p>
      <w:pPr>
        <w:ind w:left="680" w:hanging="365"/>
        <w:spacing w:after="0"/>
        <w:tabs>
          <w:tab w:leader="none" w:pos="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statement disclosing the recommended candidate's beneficial ownership of the Corporation's securities; and</w:t>
      </w:r>
    </w:p>
    <w:p>
      <w:pPr>
        <w:spacing w:after="0" w:line="202" w:lineRule="exact"/>
        <w:rPr>
          <w:rFonts w:ascii="Times New Roman" w:cs="Times New Roman" w:eastAsia="Times New Roman" w:hAnsi="Times New Roman"/>
          <w:sz w:val="14"/>
          <w:szCs w:val="14"/>
          <w:color w:val="auto"/>
        </w:rPr>
      </w:pPr>
    </w:p>
    <w:p>
      <w:pPr>
        <w:ind w:left="680" w:hanging="365"/>
        <w:spacing w:after="0"/>
        <w:tabs>
          <w:tab w:leader="none" w:pos="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statement disclosing relationships between the recommended candidate and the Corporation which may constitute a conflict of interest.</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 Nominations may be sent to the attention of the Committee via the method listed below: U.S. Mail or Expedited Delivery Service: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Twin Disc, Incorporated</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1328 Racine Street</w:t>
      </w:r>
    </w:p>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Racine, WI 53403</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Attn: Nominating and Governance Committee</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c/o Secretary of Twin Disc, Incorporated</w:t>
      </w:r>
    </w:p>
    <w:p>
      <w:pPr>
        <w:spacing w:after="0" w:line="1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Once candidates have been identified, the Committee shall confirm that the candidates meet all of the minimum qualifications for director nominees set forth below. The Committee may gather information about the candidates through interviews, background checks, or any other means that the Committee deems to be helpful in the evaluation process. The Committee shall then meet as a group to discuss and evaluate the qualities and skills of each candidate, both on an individual basis and taking into account the overall composition and needs of the Board. There shall be no difference in the manner by which the Committee evaluates director nominees, whether nominated by the Board or by a nominating stockholder.</w:t>
      </w:r>
    </w:p>
    <w:p>
      <w:pPr>
        <w:spacing w:after="0" w:line="15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The Corporation evaluates each individual candidate in the context of the overall composition and needs of the Board, with the objective of recommending a group that can best manage the business and affairs of the Corporation and represent Stockholder interests using its diversity of experience. A director must have substantial or significant business or professional experience or an understanding of technology, finance, marketing, financial reporting, international business or other disciplines relevant to the business of the Corporation. A director must be free from any relationship that, in the opinion of the Board, would interfere with the exercise of his or her judgment as a member of the Board or of a Board committee. This shall not preclude an otherwise qualified employee of the Corporation from serving as a director, as long as the majority of directors satisfy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194" w:lineRule="exact"/>
        <w:rPr>
          <w:sz w:val="20"/>
          <w:szCs w:val="20"/>
          <w:color w:val="auto"/>
        </w:rPr>
      </w:pPr>
    </w:p>
    <w:p>
      <w:pPr>
        <w:ind w:right="20" w:firstLine="208"/>
        <w:spacing w:after="0" w:line="254" w:lineRule="auto"/>
        <w:rPr>
          <w:sz w:val="20"/>
          <w:szCs w:val="20"/>
          <w:color w:val="auto"/>
        </w:rPr>
      </w:pPr>
      <w:r>
        <w:rPr>
          <w:rFonts w:ascii="Times New Roman" w:cs="Times New Roman" w:eastAsia="Times New Roman" w:hAnsi="Times New Roman"/>
          <w:sz w:val="14"/>
          <w:szCs w:val="14"/>
          <w:u w:val="single" w:color="auto"/>
          <w:color w:val="auto"/>
        </w:rPr>
        <w:t>Scope of Authority</w:t>
      </w:r>
      <w:r>
        <w:rPr>
          <w:rFonts w:ascii="Times New Roman" w:cs="Times New Roman" w:eastAsia="Times New Roman" w:hAnsi="Times New Roman"/>
          <w:sz w:val="14"/>
          <w:szCs w:val="14"/>
          <w:color w:val="auto"/>
        </w:rPr>
        <w:t xml:space="preserve"> - The primary purpose of the Compensation Committee is: (i) to assist the Board in discharging its responsibilities in respect to the compensation of the Company's executive officers; (ii) to produce an annual report for inclusion in the Company's proxy statement on executive compensation; and (iii) to lead the process of management succession. The Committee approves the design of, assesses the effectiveness of, and administers executive compensation programs in support of compensation policies of the Company. The charter of the Compensation Committee is available on the Company’s website at www.twindisc.com</w:t>
      </w:r>
    </w:p>
    <w:p>
      <w:pPr>
        <w:spacing w:after="0" w:line="171" w:lineRule="exact"/>
        <w:rPr>
          <w:sz w:val="20"/>
          <w:szCs w:val="20"/>
          <w:color w:val="auto"/>
        </w:rPr>
      </w:pPr>
    </w:p>
    <w:p>
      <w:pPr>
        <w:ind w:right="260" w:firstLine="208"/>
        <w:spacing w:after="0" w:line="267" w:lineRule="auto"/>
        <w:rPr>
          <w:sz w:val="20"/>
          <w:szCs w:val="20"/>
          <w:color w:val="auto"/>
        </w:rPr>
      </w:pPr>
      <w:r>
        <w:rPr>
          <w:rFonts w:ascii="Times New Roman" w:cs="Times New Roman" w:eastAsia="Times New Roman" w:hAnsi="Times New Roman"/>
          <w:sz w:val="14"/>
          <w:szCs w:val="14"/>
          <w:u w:val="single" w:color="auto"/>
          <w:color w:val="auto"/>
        </w:rPr>
        <w:t>Composition</w:t>
      </w:r>
      <w:r>
        <w:rPr>
          <w:rFonts w:ascii="Times New Roman" w:cs="Times New Roman" w:eastAsia="Times New Roman" w:hAnsi="Times New Roman"/>
          <w:sz w:val="14"/>
          <w:szCs w:val="14"/>
          <w:color w:val="auto"/>
        </w:rPr>
        <w:t xml:space="preserve"> - The Compensation Committee is composed exclusively of non-employee, independent directors none of whom has a business relationship with the Company, other than in their capacity as directors. The Compensation Committee reports to the entire Board.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57" w:lineRule="exact"/>
        <w:rPr>
          <w:sz w:val="20"/>
          <w:szCs w:val="20"/>
          <w:color w:val="auto"/>
        </w:rPr>
      </w:pPr>
    </w:p>
    <w:p>
      <w:pPr>
        <w:ind w:right="200" w:firstLine="208"/>
        <w:spacing w:after="0" w:line="257" w:lineRule="auto"/>
        <w:rPr>
          <w:sz w:val="20"/>
          <w:szCs w:val="20"/>
          <w:color w:val="auto"/>
        </w:rPr>
      </w:pPr>
      <w:r>
        <w:rPr>
          <w:rFonts w:ascii="Times New Roman" w:cs="Times New Roman" w:eastAsia="Times New Roman" w:hAnsi="Times New Roman"/>
          <w:sz w:val="14"/>
          <w:szCs w:val="14"/>
          <w:u w:val="single" w:color="auto"/>
          <w:color w:val="auto"/>
        </w:rPr>
        <w:t>Role of Consultants</w:t>
      </w:r>
      <w:r>
        <w:rPr>
          <w:rFonts w:ascii="Times New Roman" w:cs="Times New Roman" w:eastAsia="Times New Roman" w:hAnsi="Times New Roman"/>
          <w:sz w:val="14"/>
          <w:szCs w:val="14"/>
          <w:color w:val="auto"/>
        </w:rPr>
        <w:t xml:space="preserve"> - On at least a bi-annual basis, the Compensation Committee engages an independent consultant to review its compensation program for the officers of the Company, in order to ensure market competitiveness. During Fiscal 2007, the Compensation Committee engaged Towers Perrin, a global human resources consulting firm, for this review. Towers Perrin provides the Compensation Committee with information regarding market compensation practices and alternatives to consider when making compensation decisions for the executives.</w:t>
      </w:r>
    </w:p>
    <w:p>
      <w:pPr>
        <w:spacing w:after="0" w:line="169" w:lineRule="exact"/>
        <w:rPr>
          <w:sz w:val="20"/>
          <w:szCs w:val="20"/>
          <w:color w:val="auto"/>
        </w:rPr>
      </w:pPr>
    </w:p>
    <w:p>
      <w:pPr>
        <w:ind w:right="60" w:firstLine="208"/>
        <w:spacing w:after="0" w:line="252" w:lineRule="auto"/>
        <w:rPr>
          <w:sz w:val="20"/>
          <w:szCs w:val="20"/>
          <w:color w:val="auto"/>
        </w:rPr>
      </w:pPr>
      <w:r>
        <w:rPr>
          <w:rFonts w:ascii="Times New Roman" w:cs="Times New Roman" w:eastAsia="Times New Roman" w:hAnsi="Times New Roman"/>
          <w:sz w:val="14"/>
          <w:szCs w:val="14"/>
          <w:u w:val="single" w:color="auto"/>
          <w:color w:val="auto"/>
        </w:rPr>
        <w:t>Role of Executive Officers</w:t>
      </w:r>
      <w:r>
        <w:rPr>
          <w:rFonts w:ascii="Times New Roman" w:cs="Times New Roman" w:eastAsia="Times New Roman" w:hAnsi="Times New Roman"/>
          <w:sz w:val="14"/>
          <w:szCs w:val="14"/>
          <w:color w:val="auto"/>
        </w:rPr>
        <w:t xml:space="preserve"> - The Compensation Committee makes all compensation decisions for the Chairman, President and CEO (Mr. M. Batten) and approves recommendations for compensation actions for all other elected officers of the Company. The Chairman, President and CEO annually reviews the performance of each elected officer with the Compensation Committee. Recommendations based on these reviews, including those pertaining to salary adjustments, bonus payouts and equity compensation, are presented to the Compensation Committee, which may exercise its discretion in modifying any of the recommendations presented. The Compensation Committee also reviews the performance of the Chairman, President and CEO. It alone determines the salary adjustment, bonus payment and equity awards for this individual.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Pension Committee</w:t>
      </w:r>
    </w:p>
    <w:p>
      <w:pPr>
        <w:spacing w:after="0" w:line="174"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4"/>
          <w:szCs w:val="14"/>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Committee Membership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Board’s committees are currently comprised of the following Directors; the Chairman of the Committee is listed first:</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2"/>
              </w:rPr>
              <w:t>Nominating</w:t>
            </w:r>
          </w:p>
        </w:tc>
      </w:tr>
      <w:tr>
        <w:trPr>
          <w:trHeight w:val="197"/>
        </w:trPr>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w:t>
            </w:r>
          </w:p>
        </w:tc>
      </w:tr>
      <w:tr>
        <w:trPr>
          <w:trHeight w:val="168"/>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Audit</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Finance</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Pension</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1"/>
              </w:rPr>
              <w:t>Governance</w:t>
            </w:r>
          </w:p>
        </w:tc>
      </w:tr>
      <w:tr>
        <w:trPr>
          <w:trHeight w:val="20"/>
        </w:trPr>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404"/>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Zimmer</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Mellowes</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Stratton</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Swift</w:t>
            </w: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Rayburn</w:t>
            </w:r>
          </w:p>
        </w:tc>
      </w:tr>
      <w:tr>
        <w:trPr>
          <w:trHeight w:val="197"/>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Moore</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Moore</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Mellowes</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Mellowes</w:t>
            </w: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Stratton</w:t>
            </w:r>
          </w:p>
        </w:tc>
      </w:tr>
      <w:tr>
        <w:trPr>
          <w:trHeight w:val="197"/>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Rayburn</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Swift</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Swift</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Rayburn</w:t>
            </w: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Zimmer</w:t>
            </w:r>
          </w:p>
        </w:tc>
      </w:tr>
      <w:tr>
        <w:trPr>
          <w:trHeight w:val="197"/>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Stratton</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Attendance At Annual Meeting</w:t>
      </w:r>
    </w:p>
    <w:p>
      <w:pPr>
        <w:spacing w:after="0" w:line="176"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4"/>
          <w:szCs w:val="14"/>
          <w:color w:val="auto"/>
        </w:rPr>
        <w:t>The Company does not have a formal policy that its directors attend the Annual Meeting of Shareholders because it expects them to do so and because the Company's directors historically have attended these meetings. All of the members of the Board of Directors attended last year's annual meeting. The Board of Directors conducts its annual meeting directly before the Annual Meeting of Shareholders at the Company's headquarters.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Communication with the Board</w:t>
      </w:r>
    </w:p>
    <w:p>
      <w:pPr>
        <w:spacing w:after="0" w:line="176"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4"/>
          <w:szCs w:val="14"/>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ind w:right="140" w:firstLine="3"/>
        <w:spacing w:after="0" w:line="267" w:lineRule="auto"/>
        <w:tabs>
          <w:tab w:leader="none" w:pos="13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 Communication to Entire Board. For Stockholder Communication directed to the Board as a whole, stockholders may send such communication to the attention of the Chairman of the Board via the method listed below:</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U.S. Mail or Expedited Delivery Service:</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Twin Disc, Incorporated</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1328 Racine Street</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Racine, WI 53403</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Attn: Chairman of the Board of Directors</w:t>
      </w:r>
    </w:p>
    <w:p>
      <w:pPr>
        <w:sectPr>
          <w:pgSz w:w="11900" w:h="16838" w:orient="portrait"/>
          <w:cols w:equalWidth="0" w:num="1">
            <w:col w:w="11440"/>
          </w:cols>
          <w:pgMar w:left="220" w:top="327" w:right="239" w:bottom="0" w:gutter="0" w:footer="0" w:header="0"/>
        </w:sectPr>
      </w:pPr>
    </w:p>
    <w:bookmarkStart w:id="6" w:name="page7"/>
    <w:bookmarkEnd w:id="6"/>
    <w:p>
      <w:pPr>
        <w:ind w:right="720" w:firstLine="3"/>
        <w:spacing w:after="0" w:line="267" w:lineRule="auto"/>
        <w:tabs>
          <w:tab w:leader="none" w:pos="13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 Communication to Individual Director. For Stockholder Communication directed to an individual director in his or her capacity as a member of the Board, stockholders may send such communication to the attention of the individual director via the method listed below:</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U.S. Mail or Expedited Delivery Service:</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Twin Disc, Incorporated</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1328 Racine Street</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Racine, WI 53403</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Attn: [Name of Individual Director]</w:t>
      </w:r>
    </w:p>
    <w:p>
      <w:pPr>
        <w:spacing w:after="0" w:line="16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41"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4"/>
          <w:szCs w:val="14"/>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Stockholder Communication only if such communications are made solely in such employee's or agent's capacity as a stockholder.</w:t>
      </w:r>
    </w:p>
    <w:p>
      <w:pPr>
        <w:spacing w:after="0" w:line="144"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4"/>
          <w:szCs w:val="14"/>
          <w:color w:val="auto"/>
        </w:rPr>
        <w:t>From time to time, the Board may change the process by which stockholders may communicate with the Board or its members. Please refer to the Company's website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www.twindisc.com</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for any changes to this process.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w:t>
      </w:r>
    </w:p>
    <w:p>
      <w:pPr>
        <w:spacing w:after="0" w:line="171" w:lineRule="exact"/>
        <w:rPr>
          <w:sz w:val="20"/>
          <w:szCs w:val="20"/>
          <w:color w:val="auto"/>
        </w:rPr>
      </w:pPr>
    </w:p>
    <w:p>
      <w:pPr>
        <w:ind w:right="340"/>
        <w:spacing w:after="0" w:line="352" w:lineRule="auto"/>
        <w:rPr>
          <w:sz w:val="20"/>
          <w:szCs w:val="20"/>
          <w:color w:val="auto"/>
        </w:rPr>
      </w:pPr>
      <w:r>
        <w:rPr>
          <w:rFonts w:ascii="Times New Roman" w:cs="Times New Roman" w:eastAsia="Times New Roman" w:hAnsi="Times New Roman"/>
          <w:sz w:val="12"/>
          <w:szCs w:val="12"/>
          <w:color w:val="auto"/>
        </w:rPr>
        <w:t>The Compensation Committee (the “Committee”) of the Board has responsibility for establishing, implementing and monitoring the total compensation of the Company’s executive officers. The Committee approves the design of, assesses the effectiveness of, and administers executive compensation programs in support of compensation policies of the Company. The Committee has adopted a charter that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 uses when setting agendas and schedules for their meetings. The charter can be found at </w:t>
      </w:r>
      <w:r>
        <w:rPr>
          <w:rFonts w:ascii="Times New Roman" w:cs="Times New Roman" w:eastAsia="Times New Roman" w:hAnsi="Times New Roman"/>
          <w:sz w:val="16"/>
          <w:szCs w:val="16"/>
          <w:u w:val="single" w:color="auto"/>
          <w:color w:val="0000FF"/>
        </w:rPr>
        <w:t>www.twindisc.com/CompanyGovernance.aspx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Philosophy and Objectives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Twin Disc believes that knowledgeable, motivated and dedicated employees can make the difference in our Company’s ability to execute business strategy and excel in the marketplace. The Committee believes it is in the best interest of the Company and its shareholders to fairly compensate our executive team to encourage high-level performance, resulting in increased Company profitability. Executives are compensated on the value of their contribution to the success of the Company, in addition to their assigned scope of responsibilities.</w:t>
      </w:r>
    </w:p>
    <w:p>
      <w:pPr>
        <w:spacing w:after="0" w:line="14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Compensation includes opportunities for shared risks and rewards, and reflects the results of both individual and Company performance. It is our intention to use a compensation system that will balance both internal and external equity when determining compensation levels. Twin Disc will pay for the value of the job to the Company, considering the knowledge, skills and abilities required for each job and will pay market competitive compensation, in order to attract, retain and motivate top talent.</w:t>
      </w:r>
    </w:p>
    <w:p>
      <w:pPr>
        <w:spacing w:after="0" w:line="14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4"/>
          <w:szCs w:val="14"/>
          <w:color w:val="auto"/>
        </w:rPr>
        <w:t>The key elements of our officer’s total compensation package are base salary, an annual incentive program, a long-term incentive program, and other benefits. The Company’s goal is to offer a competitive total compensation package, targeting total compensation at the 50th percentile for the relevant market.</w:t>
      </w:r>
    </w:p>
    <w:p>
      <w:pPr>
        <w:spacing w:after="0" w:line="141" w:lineRule="exact"/>
        <w:rPr>
          <w:sz w:val="20"/>
          <w:szCs w:val="20"/>
          <w:color w:val="auto"/>
        </w:rPr>
      </w:pPr>
    </w:p>
    <w:p>
      <w:pPr>
        <w:ind w:right="100"/>
        <w:spacing w:after="0" w:line="320" w:lineRule="auto"/>
        <w:rPr>
          <w:sz w:val="20"/>
          <w:szCs w:val="20"/>
          <w:color w:val="auto"/>
        </w:rPr>
      </w:pPr>
      <w:r>
        <w:rPr>
          <w:rFonts w:ascii="Times New Roman" w:cs="Times New Roman" w:eastAsia="Times New Roman" w:hAnsi="Times New Roman"/>
          <w:sz w:val="12"/>
          <w:szCs w:val="12"/>
          <w:color w:val="auto"/>
        </w:rPr>
        <w:t>The Company believes that its executive officers should hold a meaningful stake in Twin Disc in order to align their economic interests with that of the other shareholders. To that end, the Company has adopted stock ownership guidelines. Stock ownership targets are equal to five times annual salary for the CEO, two times annual salary for the CFO and Executive Vice Presidents, and one time annual salary for the remainder of the officer team. Officers have a period of four years to attain their targeted ownership level. Officer ownership levels are reviewed annually for compliance by the Compensation Committee.</w:t>
      </w:r>
    </w:p>
    <w:p>
      <w:pPr>
        <w:spacing w:after="0" w:line="113" w:lineRule="exact"/>
        <w:rPr>
          <w:sz w:val="20"/>
          <w:szCs w:val="20"/>
          <w:color w:val="auto"/>
        </w:rPr>
      </w:pPr>
    </w:p>
    <w:p>
      <w:pPr>
        <w:spacing w:after="0" w:line="320" w:lineRule="auto"/>
        <w:rPr>
          <w:sz w:val="20"/>
          <w:szCs w:val="20"/>
          <w:color w:val="auto"/>
        </w:rPr>
      </w:pPr>
      <w:r>
        <w:rPr>
          <w:rFonts w:ascii="Times New Roman" w:cs="Times New Roman" w:eastAsia="Times New Roman" w:hAnsi="Times New Roman"/>
          <w:sz w:val="12"/>
          <w:szCs w:val="12"/>
          <w:color w:val="auto"/>
        </w:rPr>
        <w:t>Section 162(m) of the Internal Revenue Code generally disallows a tax deduction to public corporations for compensation over $1,000,000 for any fiscal year paid to the corporation’s chief executive officer and four other most highly compensated executive officers in service as of the end of any fiscal year. However, Section 162(m) also provides that qualifying performance-based compensation will not be subject to the deduction limit if certain requirements are met. The Committee generally seeks to structure compensation amounts and plans to meet the deductibility requirements under this provision.</w:t>
      </w:r>
    </w:p>
    <w:p>
      <w:pPr>
        <w:spacing w:after="0" w:line="113" w:lineRule="exact"/>
        <w:rPr>
          <w:sz w:val="20"/>
          <w:szCs w:val="20"/>
          <w:color w:val="auto"/>
        </w:rPr>
      </w:pPr>
    </w:p>
    <w:p>
      <w:pPr>
        <w:ind w:right="40"/>
        <w:spacing w:after="0" w:line="304" w:lineRule="auto"/>
        <w:rPr>
          <w:sz w:val="20"/>
          <w:szCs w:val="20"/>
          <w:color w:val="auto"/>
        </w:rPr>
      </w:pPr>
      <w:r>
        <w:rPr>
          <w:rFonts w:ascii="Times New Roman" w:cs="Times New Roman" w:eastAsia="Times New Roman" w:hAnsi="Times New Roman"/>
          <w:sz w:val="12"/>
          <w:szCs w:val="12"/>
          <w:color w:val="auto"/>
        </w:rPr>
        <w:t>The Committee generally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Company’s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executive officers. Section 280G of the Internal Revenue code and related provisions impose substantial excise taxes on so-called “excess parachute payments” payable to certain executive officers upon a change in control and results in the loss of the compensation deduction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4"/>
          <w:szCs w:val="14"/>
          <w:color w:val="auto"/>
        </w:rPr>
        <w:t>for such payments for the executive’s employer. The Committee has structured the change in control payments under its severance agreements with the executive officers to avoid having benefits exceed the limitations and provisions of Section 280G.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Role of Executive Officers in Compensation Decisions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Committee makes all compensation decisions for the Chairman, President and CEO (Mr. M. Batten) and approves recommendations for compensation actions for all other elected officers of the Company.</w:t>
      </w:r>
    </w:p>
    <w:p>
      <w:pPr>
        <w:spacing w:after="0" w:line="195"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4"/>
          <w:szCs w:val="14"/>
          <w:color w:val="auto"/>
        </w:rPr>
        <w:t>The Chairman, President and CEO annually reviews the performance of each elected officer with the Committee. Recommendations based on these reviews, including those pertaining to salary adjustments, bonus payouts and equity compensation, are presented to the Committee. The Committee may exercise its discretion in modifying any of the recommendations presented.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Committee reviews the performance of the Chairman, President and CEO. It alone determines the salary adjustment, bonus payment and equity awards for this individual.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Setting Executive Compensation</w:t>
      </w:r>
    </w:p>
    <w:p>
      <w:pPr>
        <w:spacing w:after="0" w:line="17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Based on the Company’s compensation objectives, the Committee has structured the executive officers’ total compensation program (base salary, annual incentive, long-term incentive) to motivate executives to achieve the business goals of the Company and to reward them for achieving such goals.</w:t>
      </w:r>
    </w:p>
    <w:p>
      <w:pPr>
        <w:spacing w:after="0" w:line="141"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4"/>
          <w:szCs w:val="14"/>
          <w:color w:val="auto"/>
        </w:rPr>
        <w:t>On at least a bi-annual basis, the Committee engages an independent consultant to review its compensation program for the officers of the Company, in order to ensure market competitiveness. During Fiscal 2007, the Committee engaged Towers Perrin, a global human resources consulting firm, for this review. Towers Perrin provides the Committee with information regarding market compensation practices and alternatives to consider when making compensation decisions for the executives.</w:t>
      </w:r>
    </w:p>
    <w:p>
      <w:pPr>
        <w:spacing w:after="0" w:line="14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the individual’s performance on achieving personal goals in the prior fiscal year, Company performance, and competitive market practices.</w:t>
      </w:r>
    </w:p>
    <w:p>
      <w:pPr>
        <w:spacing w:after="0" w:line="14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auto"/>
        </w:rPr>
        <w:t>The Company looks to benchmark total compensation levels at the market median (50th percentile) for companies of a similar size and industry. Information on the market median compensation level, including the blend of short-term to long-term types of compensation, is provided by outside resources. In FY07, this information was provided by Towers Perrin. Individual variations of compensation from the market median can be due to the experience level of the executive and/or the impact of the executive on the Company’s performance. The goal of the Company’s compensation program is to provide competitive compensation that encourages and rewards individual and team performance for producing both short-term and long-term shareholder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ectPr>
          <w:pgSz w:w="11900" w:h="16838" w:orient="portrait"/>
          <w:cols w:equalWidth="0" w:num="1">
            <w:col w:w="11440"/>
          </w:cols>
          <w:pgMar w:left="220" w:top="130" w:right="239" w:bottom="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provides executive officers with base salary to compensate them for services rendered</w:t>
      </w:r>
    </w:p>
    <w:p>
      <w:pPr>
        <w:sectPr>
          <w:pgSz w:w="11900" w:h="16838" w:orient="portrait"/>
          <w:cols w:equalWidth="0" w:num="1">
            <w:col w:w="11440"/>
          </w:cols>
          <w:pgMar w:left="220" w:top="130" w:right="239" w:bottom="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109855</wp:posOffset>
            </wp:positionV>
            <wp:extent cx="729742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5"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4"/>
          <w:szCs w:val="14"/>
          <w:color w:val="auto"/>
        </w:rPr>
        <w:t>during the fiscal year. Base salaries also allow executives to be rewarded for individual performance based on the Corporation’s evaluation process. Pay for individual performance rewards executives for achieving goals which may not be immediately evident in common financial measurements.</w:t>
      </w:r>
    </w:p>
    <w:p>
      <w:pPr>
        <w:spacing w:after="0" w:line="14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Base salaries are reviewed each year by the Compensation Committee. Salary levels are targeted at the market median (i.e. 50% percentile), as determined by using local, national and industry specific survey data and as determined by external consultants. Targeting salaries at the market median for our industry and location ensures employees are paid a competitive base salary. This aids in the attraction and retention of competent executive talent.</w:t>
      </w:r>
    </w:p>
    <w:p>
      <w:pPr>
        <w:spacing w:after="0" w:line="14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4"/>
          <w:szCs w:val="14"/>
          <w:color w:val="auto"/>
        </w:rPr>
        <w:t>Annual salary increases, as may be appropriate, are determined each year based on individual and Company performance. The Company uses a performance management system to set individual objectives for each executive. In addition this system allows for the annual evaluation of both performance goal achievement and competency development. When evaluating individual performance, the committee considers the executive’s effort in promoting corporate values; achieving both short and longer-term plan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5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Market adjustments to base salary may be indicated when an incumbent is more than 15% below the market median and has been in the job longer than 2-3 years. Market adjustments are generally used to retain valuable employees in a competitive labor market.</w:t>
      </w:r>
    </w:p>
    <w:p>
      <w:pPr>
        <w:spacing w:after="0" w:line="141"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4"/>
          <w:szCs w:val="14"/>
          <w:color w:val="auto"/>
        </w:rPr>
        <w:t>The Committee determines and approves salary increases for the CEO, and approves recommended salary increases for the members of the executive officer team. Generally, executive salaries are increased at rates comparable to the increases provided at other comparable companies and are at or near market levels.</w:t>
      </w:r>
    </w:p>
    <w:p>
      <w:pPr>
        <w:spacing w:after="0" w:line="14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For FY07, the Committee approved the following increases in base salary for the five Named Executive Officers: Mr. M. Batten, 6.5%; Mr. Eperjesy, 6.1%, Mr. Feiertag, 6.1%, Mr. J. Batten 18.4%, and Mr. Fabry, 6.1% . These increases were determined based on the financial performance of the Company and the individual accomplishments of each executive. In addition, Mr. J. Batten received a market adjustment due to the fact that his salary level was significantly below the market median for jobs of similar responsibilities.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 Incentive Compensation</w:t>
      </w:r>
    </w:p>
    <w:p>
      <w:pPr>
        <w:spacing w:after="0" w:line="173"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4"/>
          <w:szCs w:val="14"/>
          <w:color w:val="auto"/>
        </w:rPr>
        <w:t>Executive officers and selected key management participate in an annual incentive plan called the Corporate Incentive Plan (CIP). This plan provides executives with annual cash incentives for achieving corporate, business unit and individual performance goals. Specific annual performance goals are based on Economic Profit measures (earnings in excess of the Company’s cost of capital) and other Company initiatives that are determined annually.</w:t>
      </w:r>
    </w:p>
    <w:p>
      <w:pPr>
        <w:spacing w:after="0" w:line="14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The Compensation Committee reviews the Plan’s design annually and approves any Plan design changes or amendments. It also reviews and approves annual goals, and certifies the achievement of performance targets, based on audited financial statements.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4"/>
          <w:szCs w:val="14"/>
          <w:color w:val="auto"/>
        </w:rPr>
        <w:t>Keeping with the Company’s compensation philosophy, the Plan targets a market median (i.e. 50th percentile) benchmark level for annual cash incentives. This practice encourages the philosophy of rewarding excellent achievement with competitive compensation.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incentive payments are made after the end of each fiscal year, dependent upon Corporate or Subsidiary goal achievement. In no event may the payout under the CIP be more than 200% of the target.</w:t>
      </w:r>
    </w:p>
    <w:p>
      <w:pPr>
        <w:spacing w:after="0" w:line="172"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4"/>
          <w:szCs w:val="14"/>
          <w:color w:val="auto"/>
        </w:rPr>
        <w:t>The Committee reviews and approves the recommendations for target bonus percentages for each officer. The Committee alone determines the bonus percentage amount for the CEO. For FY07, the targeted bonus as a percentage of base salary was 65% for the CEO, 45% for the CFO and Executive Vice Presidents, and 35% for the other Named Executive Officer.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FY07, each Named Executive Officer’s CIP award was based on the following:</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Objective</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Measure</w:t>
            </w: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Weight</w:t>
            </w:r>
          </w:p>
        </w:tc>
      </w:tr>
      <w:tr>
        <w:trPr>
          <w:trHeight w:val="85"/>
        </w:trPr>
        <w:tc>
          <w:tcPr>
            <w:tcW w:w="15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480" w:type="dxa"/>
            <w:vAlign w:val="bottom"/>
            <w:tcBorders>
              <w:bottom w:val="single" w:sz="8" w:color="808080"/>
            </w:tcBorders>
          </w:tcPr>
          <w:p>
            <w:pPr>
              <w:spacing w:after="0"/>
              <w:rPr>
                <w:sz w:val="7"/>
                <w:szCs w:val="7"/>
                <w:color w:val="auto"/>
              </w:rPr>
            </w:pPr>
          </w:p>
        </w:tc>
        <w:tc>
          <w:tcPr>
            <w:tcW w:w="1960" w:type="dxa"/>
            <w:vAlign w:val="bottom"/>
            <w:tcBorders>
              <w:bottom w:val="single" w:sz="8" w:color="808080"/>
            </w:tcBorders>
          </w:tcPr>
          <w:p>
            <w:pPr>
              <w:spacing w:after="0"/>
              <w:rPr>
                <w:sz w:val="7"/>
                <w:szCs w:val="7"/>
                <w:color w:val="auto"/>
              </w:rPr>
            </w:pPr>
          </w:p>
        </w:tc>
      </w:tr>
      <w:tr>
        <w:trPr>
          <w:trHeight w:val="261"/>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Economic Profit</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Achieving positive</w:t>
            </w: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70%</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economic profit (defined as</w:t>
            </w:r>
          </w:p>
        </w:tc>
        <w:tc>
          <w:tcPr>
            <w:tcW w:w="1960" w:type="dxa"/>
            <w:vAlign w:val="bottom"/>
          </w:tcPr>
          <w:p>
            <w:pPr>
              <w:spacing w:after="0"/>
              <w:rPr>
                <w:sz w:val="17"/>
                <w:szCs w:val="17"/>
                <w:color w:val="auto"/>
              </w:rPr>
            </w:pP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earnings in excess of the</w:t>
            </w:r>
          </w:p>
        </w:tc>
        <w:tc>
          <w:tcPr>
            <w:tcW w:w="1960" w:type="dxa"/>
            <w:vAlign w:val="bottom"/>
          </w:tcPr>
          <w:p>
            <w:pPr>
              <w:spacing w:after="0"/>
              <w:rPr>
                <w:sz w:val="17"/>
                <w:szCs w:val="17"/>
                <w:color w:val="auto"/>
              </w:rPr>
            </w:pPr>
          </w:p>
        </w:tc>
      </w:tr>
      <w:tr>
        <w:trPr>
          <w:trHeight w:val="216"/>
        </w:trPr>
        <w:tc>
          <w:tcPr>
            <w:tcW w:w="15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Company’s cost of capital)</w:t>
            </w:r>
          </w:p>
        </w:tc>
        <w:tc>
          <w:tcPr>
            <w:tcW w:w="1960" w:type="dxa"/>
            <w:vAlign w:val="bottom"/>
          </w:tcPr>
          <w:p>
            <w:pPr>
              <w:spacing w:after="0"/>
              <w:rPr>
                <w:sz w:val="18"/>
                <w:szCs w:val="18"/>
                <w:color w:val="auto"/>
              </w:rPr>
            </w:pPr>
          </w:p>
        </w:tc>
      </w:tr>
      <w:tr>
        <w:trPr>
          <w:trHeight w:val="85"/>
        </w:trPr>
        <w:tc>
          <w:tcPr>
            <w:tcW w:w="15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80" w:type="dxa"/>
            <w:vAlign w:val="bottom"/>
            <w:tcBorders>
              <w:bottom w:val="single" w:sz="8" w:color="808080"/>
            </w:tcBorders>
          </w:tcPr>
          <w:p>
            <w:pPr>
              <w:spacing w:after="0"/>
              <w:rPr>
                <w:sz w:val="7"/>
                <w:szCs w:val="7"/>
                <w:color w:val="auto"/>
              </w:rPr>
            </w:pPr>
          </w:p>
        </w:tc>
        <w:tc>
          <w:tcPr>
            <w:tcW w:w="1960" w:type="dxa"/>
            <w:vAlign w:val="bottom"/>
            <w:tcBorders>
              <w:bottom w:val="single" w:sz="8" w:color="808080"/>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60"/>
          </w:cols>
          <w:pgMar w:left="220" w:top="120" w:right="219" w:bottom="0" w:gutter="0" w:footer="0" w:header="0"/>
        </w:sectPr>
      </w:pP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Cost of Quality</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Racine Operations:</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quality less than or</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equal to a defined % of</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Target : 3.5%</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Threshold: 3.67%</w:t>
            </w:r>
          </w:p>
        </w:tc>
      </w:tr>
      <w:tr>
        <w:trPr>
          <w:trHeight w:val="216"/>
        </w:trPr>
        <w:tc>
          <w:tcPr>
            <w:tcW w:w="15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Maximum: 3.00%</w:t>
            </w:r>
          </w:p>
        </w:tc>
      </w:tr>
      <w:tr>
        <w:trPr>
          <w:trHeight w:val="376"/>
        </w:trPr>
        <w:tc>
          <w:tcPr>
            <w:tcW w:w="1560" w:type="dxa"/>
            <w:vAlign w:val="bottom"/>
          </w:tcPr>
          <w:p>
            <w:pPr>
              <w:spacing w:after="0"/>
              <w:rPr>
                <w:sz w:val="24"/>
                <w:szCs w:val="24"/>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Nivelles Operations: Cost</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 quality less than or equal</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 a defined % of sales</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Target: 4.25%</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Threshold: 4.65%</w:t>
            </w:r>
          </w:p>
        </w:tc>
      </w:tr>
      <w:tr>
        <w:trPr>
          <w:trHeight w:val="216"/>
        </w:trPr>
        <w:tc>
          <w:tcPr>
            <w:tcW w:w="15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Maximum: 3.75%</w:t>
            </w:r>
          </w:p>
        </w:tc>
      </w:tr>
      <w:tr>
        <w:trPr>
          <w:trHeight w:val="85"/>
        </w:trPr>
        <w:tc>
          <w:tcPr>
            <w:tcW w:w="15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480" w:type="dxa"/>
            <w:vAlign w:val="bottom"/>
            <w:tcBorders>
              <w:bottom w:val="single" w:sz="8" w:color="808080"/>
            </w:tcBorders>
          </w:tcPr>
          <w:p>
            <w:pPr>
              <w:spacing w:after="0"/>
              <w:rPr>
                <w:sz w:val="7"/>
                <w:szCs w:val="7"/>
                <w:color w:val="auto"/>
              </w:rPr>
            </w:pPr>
          </w:p>
        </w:tc>
      </w:tr>
      <w:tr>
        <w:trPr>
          <w:trHeight w:val="458"/>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Sales Growth</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Achieving corporate sales</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revenues of $289,405,000 at</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target.</w:t>
            </w:r>
          </w:p>
        </w:tc>
      </w:tr>
      <w:tr>
        <w:trPr>
          <w:trHeight w:val="197"/>
        </w:trPr>
        <w:tc>
          <w:tcPr>
            <w:tcW w:w="1560" w:type="dxa"/>
            <w:vAlign w:val="bottom"/>
          </w:tcPr>
          <w:p>
            <w:pPr>
              <w:spacing w:after="0"/>
              <w:rPr>
                <w:sz w:val="17"/>
                <w:szCs w:val="17"/>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Threshold: $275,000,000</w:t>
            </w:r>
          </w:p>
        </w:tc>
      </w:tr>
      <w:tr>
        <w:trPr>
          <w:trHeight w:val="216"/>
        </w:trPr>
        <w:tc>
          <w:tcPr>
            <w:tcW w:w="15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Maximum: $303,875,250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382714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2714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 (measured by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weighting 75% of Racine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results plus 25% of Nivelles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1309370</wp:posOffset>
            </wp:positionV>
            <wp:extent cx="124079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407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w:t>
      </w:r>
    </w:p>
    <w:p>
      <w:pPr>
        <w:spacing w:after="0" w:line="1010" w:lineRule="exact"/>
        <w:rPr>
          <w:sz w:val="20"/>
          <w:szCs w:val="20"/>
          <w:color w:val="auto"/>
        </w:rPr>
      </w:pPr>
    </w:p>
    <w:p>
      <w:pPr>
        <w:sectPr>
          <w:pgSz w:w="11900" w:h="16838" w:orient="portrait"/>
          <w:cols w:equalWidth="0" w:num="2">
            <w:col w:w="4080" w:space="0"/>
            <w:col w:w="7380"/>
          </w:cols>
          <w:pgMar w:left="220" w:top="120" w:right="219" w:bottom="0" w:gutter="0" w:footer="0" w:header="0"/>
          <w:type w:val="continuous"/>
        </w:sect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definitions are used in the calculations of the Corporate Incentive Plan: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57" w:lineRule="exact"/>
        <w:rPr>
          <w:sz w:val="20"/>
          <w:szCs w:val="20"/>
          <w:color w:val="auto"/>
        </w:rPr>
      </w:pPr>
    </w:p>
    <w:p>
      <w:pPr>
        <w:ind w:right="360" w:firstLine="169"/>
        <w:spacing w:after="0" w:line="267" w:lineRule="auto"/>
        <w:rPr>
          <w:sz w:val="20"/>
          <w:szCs w:val="20"/>
          <w:color w:val="auto"/>
        </w:rPr>
      </w:pPr>
      <w:r>
        <w:rPr>
          <w:rFonts w:ascii="Times New Roman" w:cs="Times New Roman" w:eastAsia="Times New Roman" w:hAnsi="Times New Roman"/>
          <w:sz w:val="14"/>
          <w:szCs w:val="14"/>
          <w:u w:val="single" w:color="auto"/>
          <w:color w:val="auto"/>
        </w:rPr>
        <w:t>Economic Profit</w:t>
      </w:r>
      <w:r>
        <w:rPr>
          <w:rFonts w:ascii="Times New Roman" w:cs="Times New Roman" w:eastAsia="Times New Roman" w:hAnsi="Times New Roman"/>
          <w:sz w:val="14"/>
          <w:szCs w:val="14"/>
          <w:color w:val="auto"/>
        </w:rPr>
        <w:t xml:space="preserve"> is defined as the return on investment in excess of the cost of capital. It is calculated by taking Net Operating Profit After Tax (NOPAT) less a Capital Charge (Invested Capital x Cost of Capital).</w:t>
      </w:r>
    </w:p>
    <w:p>
      <w:pPr>
        <w:spacing w:after="0" w:line="1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u w:val="single" w:color="auto"/>
          <w:color w:val="auto"/>
        </w:rPr>
        <w:t>Invested Capital</w:t>
      </w:r>
      <w:r>
        <w:rPr>
          <w:rFonts w:ascii="Times New Roman" w:cs="Times New Roman" w:eastAsia="Times New Roman" w:hAnsi="Times New Roman"/>
          <w:sz w:val="14"/>
          <w:szCs w:val="14"/>
          <w:color w:val="auto"/>
        </w:rPr>
        <w:t xml:space="preserve"> is defined as total assets less non-interest bearing liabilities less accrued retirement benefits.</w:t>
      </w:r>
    </w:p>
    <w:p>
      <w:pPr>
        <w:spacing w:after="0" w:line="192" w:lineRule="exact"/>
        <w:rPr>
          <w:sz w:val="20"/>
          <w:szCs w:val="20"/>
          <w:color w:val="auto"/>
        </w:rPr>
      </w:pPr>
    </w:p>
    <w:p>
      <w:pPr>
        <w:ind w:right="140" w:firstLine="169"/>
        <w:spacing w:after="0" w:line="267" w:lineRule="auto"/>
        <w:rPr>
          <w:sz w:val="20"/>
          <w:szCs w:val="20"/>
          <w:color w:val="auto"/>
        </w:rPr>
      </w:pPr>
      <w:r>
        <w:rPr>
          <w:rFonts w:ascii="Times New Roman" w:cs="Times New Roman" w:eastAsia="Times New Roman" w:hAnsi="Times New Roman"/>
          <w:sz w:val="14"/>
          <w:szCs w:val="14"/>
          <w:u w:val="single" w:color="auto"/>
          <w:color w:val="auto"/>
        </w:rPr>
        <w:t>Cost of Capital</w:t>
      </w:r>
      <w:r>
        <w:rPr>
          <w:rFonts w:ascii="Times New Roman" w:cs="Times New Roman" w:eastAsia="Times New Roman" w:hAnsi="Times New Roman"/>
          <w:sz w:val="14"/>
          <w:szCs w:val="14"/>
          <w:color w:val="auto"/>
        </w:rPr>
        <w:t xml:space="preserve"> is defined as the weighted average expectation of Twin Disc’s sources of capital, debt and equity. For FY2007, the cost of capital has been calculated at 8% (after taxes). For FY2008, the cost of capital has been estimated at 9% (after taxes).</w:t>
      </w:r>
    </w:p>
    <w:p>
      <w:pPr>
        <w:sectPr>
          <w:pgSz w:w="11900" w:h="16838" w:orient="portrait"/>
          <w:cols w:equalWidth="0" w:num="1">
            <w:col w:w="11460"/>
          </w:cols>
          <w:pgMar w:left="220" w:top="120" w:right="219" w:bottom="0" w:gutter="0" w:footer="0" w:header="0"/>
          <w:type w:val="continuous"/>
        </w:sectPr>
      </w:pPr>
    </w:p>
    <w:bookmarkStart w:id="8" w:name="page9"/>
    <w:bookmarkEnd w:id="8"/>
    <w:p>
      <w:pPr>
        <w:ind w:left="180"/>
        <w:spacing w:after="0"/>
        <w:rPr>
          <w:sz w:val="20"/>
          <w:szCs w:val="20"/>
          <w:color w:val="auto"/>
        </w:rPr>
      </w:pPr>
      <w:r>
        <w:rPr>
          <w:rFonts w:ascii="Times New Roman" w:cs="Times New Roman" w:eastAsia="Times New Roman" w:hAnsi="Times New Roman"/>
          <w:sz w:val="14"/>
          <w:szCs w:val="14"/>
          <w:u w:val="single" w:color="auto"/>
          <w:color w:val="auto"/>
        </w:rPr>
        <w:t>Cost of Quality</w:t>
      </w:r>
      <w:r>
        <w:rPr>
          <w:rFonts w:ascii="Times New Roman" w:cs="Times New Roman" w:eastAsia="Times New Roman" w:hAnsi="Times New Roman"/>
          <w:sz w:val="14"/>
          <w:szCs w:val="14"/>
          <w:color w:val="auto"/>
        </w:rPr>
        <w:t xml:space="preserve"> equals the costs of scrap, warranty, inspection, rework and the Quality Department.</w:t>
      </w:r>
    </w:p>
    <w:p>
      <w:pPr>
        <w:spacing w:after="0" w:line="17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An executive’s incentive payment may be increased or decreased by up to 20%, at the discretion of the Chairman, CEO and President and the approval of the Committee, if the executive’s individual performance goals are either exceeded or not achieved. The Committee alone makes decisions regarding the Chairman, CEO and President’s annual incentive award.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Incentive Compensation</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 Twin Disc, Incorporated 2004 Long-Term Incentive Plan provides for the opportunity for officers and key employees of the Company (and its subsidiaries) to acquire Company stock or to receive cash payments based on the value of Company stock via stock options, stock appreciation rights, restricted stock, performance stock awards, performance stock unit awards, performance unit awards or annual incentive awards. In keeping with the Company’s commitment to provide a total compensation package which includes at-risk components of pay, the Committee makes annual decisions regarding the appropriate type of long-term incentives for each executive.</w:t>
      </w:r>
    </w:p>
    <w:p>
      <w:pPr>
        <w:spacing w:after="0" w:line="1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Because of the limited number of outstanding shares and potential for ownership dilution, the long-term incentive program currently emphasizes the use of restricted stock, performance stock awards, performance stock unit awards and performance unit awards, which typically require fewer shares to achieve a competitive, long-term incentive compensation opportunity than would otherwise be required if only stock options were granted.</w:t>
      </w:r>
    </w:p>
    <w:p>
      <w:pPr>
        <w:spacing w:after="0" w:line="148" w:lineRule="exact"/>
        <w:rPr>
          <w:sz w:val="20"/>
          <w:szCs w:val="20"/>
          <w:color w:val="auto"/>
        </w:rPr>
      </w:pPr>
    </w:p>
    <w:p>
      <w:pPr>
        <w:ind w:right="280"/>
        <w:spacing w:after="0" w:line="215" w:lineRule="auto"/>
        <w:rPr>
          <w:sz w:val="20"/>
          <w:szCs w:val="20"/>
          <w:color w:val="auto"/>
        </w:rPr>
      </w:pPr>
      <w:r>
        <w:rPr>
          <w:rFonts w:ascii="Times New Roman" w:cs="Times New Roman" w:eastAsia="Times New Roman" w:hAnsi="Times New Roman"/>
          <w:sz w:val="13"/>
          <w:szCs w:val="13"/>
          <w:color w:val="auto"/>
        </w:rPr>
        <w:t>Long-term incentive award opportunities for executives are targeted at the market median (i.e.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3"/>
          <w:szCs w:val="13"/>
          <w:color w:val="auto"/>
        </w:rPr>
        <w:t xml:space="preserve"> percentile) to ensure competitive pay for achievement of targeted goals. The Committee establishes the performance goals which must be achieved in order for the award to vest. Grants are made at the beginning of each fiscal year, or as determined by the Committee, for the ensuing multi-year cycle period.</w:t>
      </w:r>
    </w:p>
    <w:p>
      <w:pPr>
        <w:spacing w:after="0" w:line="159" w:lineRule="exact"/>
        <w:rPr>
          <w:sz w:val="20"/>
          <w:szCs w:val="20"/>
          <w:color w:val="auto"/>
        </w:rPr>
      </w:pPr>
    </w:p>
    <w:p>
      <w:pPr>
        <w:ind w:right="40"/>
        <w:spacing w:after="0" w:line="352" w:lineRule="auto"/>
        <w:rPr>
          <w:sz w:val="20"/>
          <w:szCs w:val="20"/>
          <w:color w:val="auto"/>
        </w:rPr>
      </w:pPr>
      <w:r>
        <w:rPr>
          <w:rFonts w:ascii="Times New Roman" w:cs="Times New Roman" w:eastAsia="Times New Roman" w:hAnsi="Times New Roman"/>
          <w:sz w:val="12"/>
          <w:szCs w:val="12"/>
          <w:color w:val="auto"/>
        </w:rPr>
        <w:t>The Committee will use external consultants and survey information as a guideline when considering long-term incentive awards for management. They will review competitiveness of the Plan annually, obtaining an independent review at least every other year. In addition, the Committee reviews and approves Plan changes, as necessary and ensures the Plan’s compliance with Shareholder approval requirements.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FY2007, long-term incentive awards were granted in the form of both performance stock and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performance stock units. In order for these shares and units to vest at target levels, the Company must achieve the following performance target:</w:t>
      </w:r>
    </w:p>
    <w:p>
      <w:pPr>
        <w:spacing w:after="0" w:line="172"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4"/>
          <w:szCs w:val="14"/>
          <w:color w:val="auto"/>
        </w:rPr>
        <w:t>The Company’s net operating profit after taxes (“NOPAT”) for the cumulative three fiscal year period ending June 30, 2009, measured as a percentage of the Company’s capital charge for the cumulative three fiscal year period ending June 30, 2009 is equal to100%.</w:t>
      </w:r>
    </w:p>
    <w:p>
      <w:pPr>
        <w:spacing w:after="0" w:line="14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The Company’s capital charge is calculated by multiplying invested capital times the cost of capital. Invested capital is defined as total assets less non-interest bearing liabilities, less accrued retirement benefits. Cost of capital is defined as the weighted average expectation of Twin Disc’s sources of capital, debt and equity. For FY07, the cost of capital has been calculated at 8%, after taxes. For FY2008, the cost of capital has been estimated at 9%, after taxes.</w:t>
      </w:r>
    </w:p>
    <w:p>
      <w:pPr>
        <w:spacing w:after="0" w:line="14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If the Company achieves the target performance objective, the Employee will receive the target number of shares or units. If the Company achieves a threshold Performance Objective (i.e. Cumulative NOPAT as a percentage of cumulative capital charge = 80%), the executive will earn 80% of the targeted number of shares. The maximum number of shares or units an executive can earn will be 120% of the target. No shares or units will vest if performance is less than the threshold.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Benefits</w:t>
      </w:r>
    </w:p>
    <w:p>
      <w:pPr>
        <w:spacing w:after="0" w:line="173"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4"/>
          <w:szCs w:val="14"/>
          <w:color w:val="auto"/>
        </w:rPr>
        <w:t>In addition to cash compensation and cash/stock incentive programs, the Company believes it is necessary to also recognize the efforts of its officer group and senior management in the area of benefits and perquisites. The Compensation Committee annually reviews the Company’s benefit programs for competitiveness and uses external consultants and surveys as a reference when necessary. It approves the addition, modification or deletion of any executive benefit program, as well as the eligibility of a program to any specific executive.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Twin Disc, Incorporated Retirement Plan for Salaried Employees provides non-contributory retirement benefits to all Twin Disc, Incorporated salaried employees hired prior to October 1, 2003.</w:t>
      </w:r>
    </w:p>
    <w:p>
      <w:pPr>
        <w:spacing w:after="0" w:line="172"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4"/>
          <w:szCs w:val="14"/>
          <w:color w:val="auto"/>
        </w:rPr>
        <w:t>Prior to January 1, 1997 benefits were based upon both years of service and the employees’ highest consecutive 5-year average annual compensation during the last 10 calendar years of service. As of December 31, 1996, the then-current accrued benefits under the plan were frozen and the plan was amended to provide for future accruals under a cash-balance program. Mr. M. Batten is the only Named Executive Officer eligible for an accrued benefit under the pre-1997 formula of the Plan, with 27 years of pre-January 1, 1997 credited service.</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The Plan was amended on January 1, 1997 to add a cash balance formula for post January 1, 1997 accruals. Benefits under the Plan are generally equal to the sum of the benefits as frozen on December 31, 1996, plus benefits that accumulate under the cash balance formula beginning on January 1, 1997. Benefits under the cash balance formula are generally stated as a lump sum amount, but may be distributed as a lump sum or as an annuity. Accruals under the cash balance formula are based on a percentage of compensation, from 4.5% to 6.5%, based on years of service, with interest credits at the thirty-year U.S. Treasury Bond rate, or other such rate mandated by the IRS in substitution of the 30-year Treasury rate,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a minimum guarantee of 3%.</w:t>
      </w:r>
    </w:p>
    <w:p>
      <w:pPr>
        <w:spacing w:after="0" w:line="1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401(k) Savings Plan</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The Twin Disc, Incorporated – the Accelerator 401(k) Savings Plan is a tax-qualified retirement savings plan to which all Twin Disc, Incorporated employees, including the Named Executive Officers, are able to contribute up to the limit prescribed by the Internal Revenue Service on a pre-tax or after-tax (Roth) basis. The Company will match 50% of the first 6% of pay that is contributed to the Plan. In addition, in Fiscal 2007, the Company contributed a discretionary match of an additional 25% of the first 6% of pay for all contributions made in Calendar year 2006. All contributions to the Accelerator 401(k) Savings Plan, as well as any matching contributions, are fully vested upon contribution.</w:t>
      </w:r>
    </w:p>
    <w:p>
      <w:pPr>
        <w:spacing w:after="0" w:line="1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Supplemental Retirement Benefit Plan</w:t>
      </w:r>
    </w:p>
    <w:p>
      <w:pPr>
        <w:spacing w:after="0" w:line="17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4"/>
          <w:szCs w:val="14"/>
          <w:color w:val="auto"/>
        </w:rPr>
        <w:t>A supplemental retirement plan is extended to qualified officers. For those who were participants in the plan before January 1, 1998 (only Mr. M. Batten), the supplemental retirement benefit is calculated as an annual benefit approximating 50% of highest rate of pay attained during a specified period, minus amounts accrued under the Company’s qualified defined benefit plan. The plan also preserved the level of benefits that had accrued prior to 1998.</w:t>
      </w:r>
    </w:p>
    <w:p>
      <w:pPr>
        <w:spacing w:after="0" w:line="148"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4"/>
          <w:szCs w:val="14"/>
          <w:color w:val="auto"/>
        </w:rPr>
        <w:t>For those who became participants after January 1, 1998 (including Mr. Feiertag, Mr. J. Batten and Mr. Eperjesy) the supplemental retirement benefit is calculated as the additional benefit that the participant would have received at retirement under the Company’s qualified defined benefit plan, but for the limitation on compensation used in determining benefits under the defined benefit plan.</w:t>
      </w:r>
    </w:p>
    <w:p>
      <w:pPr>
        <w:spacing w:after="0" w:line="14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The benefit is payable in two payments. The two lump sum payments are made on the first and second February 1 in the years following retirement. The maximum payment in any given year is $500,000 and any amounts in excess of $500,000 will be paid in the third and subsequent years following retirement.</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Executive Life Insurance</w:t>
      </w:r>
    </w:p>
    <w:p>
      <w:pPr>
        <w:spacing w:after="0" w:line="171" w:lineRule="exact"/>
        <w:rPr>
          <w:sz w:val="20"/>
          <w:szCs w:val="20"/>
          <w:color w:val="auto"/>
        </w:rPr>
      </w:pPr>
    </w:p>
    <w:p>
      <w:pPr>
        <w:ind w:right="100"/>
        <w:spacing w:after="0" w:line="320" w:lineRule="auto"/>
        <w:rPr>
          <w:sz w:val="20"/>
          <w:szCs w:val="20"/>
          <w:color w:val="auto"/>
        </w:rPr>
      </w:pPr>
      <w:r>
        <w:rPr>
          <w:rFonts w:ascii="Times New Roman" w:cs="Times New Roman" w:eastAsia="Times New Roman" w:hAnsi="Times New Roman"/>
          <w:sz w:val="12"/>
          <w:szCs w:val="12"/>
          <w:color w:val="auto"/>
        </w:rPr>
        <w:t>The Company provides an endorsement split-dollar life insurance plan to the named executives. While employed, the death benefit for the executive is equal to three times their annual base salary. At the later of retirement or 15 years of the policy, the Company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Change in Control Agreements</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The Company has change in control agreements with each of its executive officers. The agreements provide for severance benefits to be paid to the executive following a change in control of the Corporation and a termination of employment (as defined in the agreements) of the executive. Severance benefits for an executive officer would generally consist of the sum of the executive’s highest annual base salary between the change in control and the date of termination, plus the executive’s most recent annual bonus, times the lesser of 1.50 (2.50 for Mr. M. Batten) or the number of whole and fractional years between the termination date and his normal retirement date. In addition, the executive would be entitled to the cash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460"/>
          </w:cols>
          <w:pgMar w:left="220" w:top="151" w:right="219" w:bottom="0" w:gutter="0" w:footer="0" w:header="0"/>
        </w:sectPr>
      </w:pPr>
    </w:p>
    <w:bookmarkStart w:id="9" w:name="page10"/>
    <w:bookmarkEnd w:id="9"/>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138430</wp:posOffset>
            </wp:positionH>
            <wp:positionV relativeFrom="page">
              <wp:posOffset>88900</wp:posOffset>
            </wp:positionV>
            <wp:extent cx="729742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7420" cy="16510"/>
                    </a:xfrm>
                    <a:prstGeom prst="rect">
                      <a:avLst/>
                    </a:prstGeom>
                    <a:noFill/>
                  </pic:spPr>
                </pic:pic>
              </a:graphicData>
            </a:graphic>
          </wp:anchor>
        </w:drawing>
      </w:r>
    </w:p>
    <w:p>
      <w:pPr>
        <w:ind w:right="240"/>
        <w:spacing w:after="0" w:line="267" w:lineRule="auto"/>
        <w:rPr>
          <w:sz w:val="20"/>
          <w:szCs w:val="20"/>
          <w:color w:val="auto"/>
        </w:rPr>
      </w:pPr>
      <w:r>
        <w:rPr>
          <w:rFonts w:ascii="Times New Roman" w:cs="Times New Roman" w:eastAsia="Times New Roman" w:hAnsi="Times New Roman"/>
          <w:sz w:val="14"/>
          <w:szCs w:val="14"/>
          <w:color w:val="auto"/>
        </w:rPr>
        <w:t>value of any shares of common stock subject to unexercised stock options held by the executive, all performance stock and performance stock unit awards would vest and fringe benefits would continue for 24 months following termination. The agreements are specifically designed to avoid having benefits exceed the limitations and provisions of Section 280G of the Internal Revenue Code.</w:t>
      </w:r>
    </w:p>
    <w:p>
      <w:pPr>
        <w:spacing w:after="0" w:line="14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The performance share and performance stock unit award agreements between the Company and its Named Executive Officers, as well as the restricted stock grant agreements between the Company and Mr. Eperjesy, have certain change in control provisions. Specifically, if a change in control (as defined in the agreements) occurs and the employee thereafter terminates employment under circumstances specified in the agreements, all performance shares and performance stock units shall immediately vest as if the performance objectives had been fully achieved, and all restricted shares shall become freely transferable and non-forfeitable.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Personal Benefits and Perquisites</w:t>
      </w:r>
    </w:p>
    <w:p>
      <w:pPr>
        <w:spacing w:after="0" w:line="171"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4"/>
          <w:szCs w:val="14"/>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Company initiatives. An item is not a perquisite if it is integrally related to the performance of the executive’s duties. Perquisites are included in the Summary Compensation Table and footnoted if their value exceeds $10,000.</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The following table summarizes the “total compensation” of the Company’s Chief Executive Officer, Chief Financial Officer, and its three most highly compensated executive officers for the fiscal year ended June 30, 2007, and other individuals for whom disclosure would have been required but for the fact that such individuals were no longer serving as executive officers as of the end of the fiscal year (“Named Executive Officers”). It should be noted that the total compensation as reported by the Summary Compensation Table follows specific SEC requirements for reporting compensation, and does not reflect the target or actual compensation for the Named Executive Officers for the fiscal year.</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7"/>
        </w:trPr>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Change in</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Pension</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Value and</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Nonqualified</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Non-Equity</w:t>
            </w: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Deferred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All Other</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Name and Principal</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Option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Incentive Plan</w:t>
            </w: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Compensation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Compens-</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Position</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w:t>
            </w:r>
          </w:p>
        </w:tc>
        <w:tc>
          <w:tcPr>
            <w:tcW w:w="2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Salary</w:t>
            </w:r>
          </w:p>
        </w:tc>
        <w:tc>
          <w:tcPr>
            <w:tcW w:w="15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Bonus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Awards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Awards</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Compensation</w:t>
            </w: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Earnings</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ation</w:t>
            </w:r>
          </w:p>
        </w:tc>
        <w:tc>
          <w:tcPr>
            <w:tcW w:w="20" w:type="dxa"/>
            <w:vAlign w:val="bottom"/>
          </w:tcPr>
          <w:p>
            <w:pPr>
              <w:spacing w:after="0"/>
              <w:rPr>
                <w:sz w:val="17"/>
                <w:szCs w:val="17"/>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r>
      <w:tr>
        <w:trPr>
          <w:trHeight w:val="101"/>
        </w:trPr>
        <w:tc>
          <w:tcPr>
            <w:tcW w:w="1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r>
        <w:trPr>
          <w:trHeight w:val="472"/>
        </w:trPr>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(7)</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7"/>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Michael E. Batten</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2007</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$455,731</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$300,000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$1,733,546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$577,916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$347,551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$63,242</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$3,477,986</w:t>
            </w:r>
          </w:p>
        </w:tc>
      </w:tr>
      <w:tr>
        <w:trPr>
          <w:trHeight w:val="95"/>
        </w:trPr>
        <w:tc>
          <w:tcPr>
            <w:tcW w:w="1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r>
        <w:trPr>
          <w:trHeight w:val="259"/>
        </w:trPr>
        <w:tc>
          <w:tcPr>
            <w:tcW w:w="1320" w:type="dxa"/>
            <w:vAlign w:val="bottom"/>
          </w:tcPr>
          <w:p>
            <w:pPr>
              <w:spacing w:after="0"/>
              <w:rPr>
                <w:sz w:val="20"/>
                <w:szCs w:val="20"/>
                <w:color w:val="auto"/>
              </w:rPr>
            </w:pPr>
            <w:r>
              <w:rPr>
                <w:rFonts w:ascii="Times New Roman" w:cs="Times New Roman" w:eastAsia="Times New Roman" w:hAnsi="Times New Roman"/>
                <w:sz w:val="10"/>
                <w:szCs w:val="10"/>
                <w:color w:val="auto"/>
              </w:rPr>
              <w:t>Chairman, President and</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1320" w:type="dxa"/>
            <w:vAlign w:val="bottom"/>
          </w:tcPr>
          <w:p>
            <w:pPr>
              <w:spacing w:after="0"/>
              <w:rPr>
                <w:sz w:val="20"/>
                <w:szCs w:val="20"/>
                <w:color w:val="auto"/>
              </w:rPr>
            </w:pPr>
            <w:r>
              <w:rPr>
                <w:rFonts w:ascii="Times New Roman" w:cs="Times New Roman" w:eastAsia="Times New Roman" w:hAnsi="Times New Roman"/>
                <w:sz w:val="10"/>
                <w:szCs w:val="10"/>
                <w:color w:val="auto"/>
              </w:rPr>
              <w:t>Chief Executive Officer</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11"/>
        </w:trPr>
        <w:tc>
          <w:tcPr>
            <w:tcW w:w="13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472"/>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w w:val="99"/>
              </w:rPr>
              <w:t>Christopher J. Eperjesy</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2007</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$256,539</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$337,600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$231,660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$19,215</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$43,976</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$888,990</w:t>
            </w:r>
          </w:p>
        </w:tc>
      </w:tr>
      <w:tr>
        <w:trPr>
          <w:trHeight w:val="95"/>
        </w:trPr>
        <w:tc>
          <w:tcPr>
            <w:tcW w:w="1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r>
        <w:trPr>
          <w:trHeight w:val="259"/>
        </w:trPr>
        <w:tc>
          <w:tcPr>
            <w:tcW w:w="1320" w:type="dxa"/>
            <w:vAlign w:val="bottom"/>
          </w:tcPr>
          <w:p>
            <w:pPr>
              <w:spacing w:after="0"/>
              <w:rPr>
                <w:sz w:val="20"/>
                <w:szCs w:val="20"/>
                <w:color w:val="auto"/>
              </w:rPr>
            </w:pPr>
            <w:r>
              <w:rPr>
                <w:rFonts w:ascii="Times New Roman" w:cs="Times New Roman" w:eastAsia="Times New Roman" w:hAnsi="Times New Roman"/>
                <w:sz w:val="10"/>
                <w:szCs w:val="10"/>
                <w:color w:val="auto"/>
              </w:rPr>
              <w:t>Vice President – Finance,</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1320" w:type="dxa"/>
            <w:vAlign w:val="bottom"/>
          </w:tcPr>
          <w:p>
            <w:pPr>
              <w:spacing w:after="0"/>
              <w:rPr>
                <w:sz w:val="20"/>
                <w:szCs w:val="20"/>
                <w:color w:val="auto"/>
              </w:rPr>
            </w:pPr>
            <w:r>
              <w:rPr>
                <w:rFonts w:ascii="Times New Roman" w:cs="Times New Roman" w:eastAsia="Times New Roman" w:hAnsi="Times New Roman"/>
                <w:sz w:val="10"/>
                <w:szCs w:val="10"/>
                <w:color w:val="auto"/>
              </w:rPr>
              <w:t>CFO and Secretary</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11"/>
        </w:trPr>
        <w:tc>
          <w:tcPr>
            <w:tcW w:w="13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472"/>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James E. Feiertag</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2007</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$256,539</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$292,714</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$231,660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$21,600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$58,757</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$861,270</w:t>
            </w:r>
          </w:p>
        </w:tc>
      </w:tr>
      <w:tr>
        <w:trPr>
          <w:trHeight w:val="95"/>
        </w:trPr>
        <w:tc>
          <w:tcPr>
            <w:tcW w:w="1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r>
        <w:trPr>
          <w:trHeight w:val="259"/>
        </w:trPr>
        <w:tc>
          <w:tcPr>
            <w:tcW w:w="1320" w:type="dxa"/>
            <w:vAlign w:val="bottom"/>
          </w:tcPr>
          <w:p>
            <w:pPr>
              <w:spacing w:after="0"/>
              <w:rPr>
                <w:sz w:val="20"/>
                <w:szCs w:val="20"/>
                <w:color w:val="auto"/>
              </w:rPr>
            </w:pPr>
            <w:r>
              <w:rPr>
                <w:rFonts w:ascii="Times New Roman" w:cs="Times New Roman" w:eastAsia="Times New Roman" w:hAnsi="Times New Roman"/>
                <w:sz w:val="10"/>
                <w:szCs w:val="10"/>
                <w:color w:val="auto"/>
              </w:rPr>
              <w:t>Executive Vice President</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11"/>
        </w:trPr>
        <w:tc>
          <w:tcPr>
            <w:tcW w:w="13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472"/>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John H. Batten</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2007</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$216,923</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$282,875</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$200,475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$19,737</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$42,586</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$762,596</w:t>
            </w:r>
          </w:p>
        </w:tc>
      </w:tr>
      <w:tr>
        <w:trPr>
          <w:trHeight w:val="95"/>
        </w:trPr>
        <w:tc>
          <w:tcPr>
            <w:tcW w:w="1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r>
        <w:trPr>
          <w:trHeight w:val="259"/>
        </w:trPr>
        <w:tc>
          <w:tcPr>
            <w:tcW w:w="1320" w:type="dxa"/>
            <w:vAlign w:val="bottom"/>
          </w:tcPr>
          <w:p>
            <w:pPr>
              <w:spacing w:after="0"/>
              <w:rPr>
                <w:sz w:val="20"/>
                <w:szCs w:val="20"/>
                <w:color w:val="auto"/>
              </w:rPr>
            </w:pPr>
            <w:r>
              <w:rPr>
                <w:rFonts w:ascii="Times New Roman" w:cs="Times New Roman" w:eastAsia="Times New Roman" w:hAnsi="Times New Roman"/>
                <w:sz w:val="10"/>
                <w:szCs w:val="10"/>
                <w:color w:val="auto"/>
              </w:rPr>
              <w:t>Executive Vice President</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11"/>
        </w:trPr>
        <w:tc>
          <w:tcPr>
            <w:tcW w:w="13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472"/>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H. Claude Fabry (4)</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2007</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$195,724</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$111,136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$142,573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$5,007</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$42,277</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$496,717</w:t>
            </w:r>
          </w:p>
        </w:tc>
      </w:tr>
      <w:tr>
        <w:trPr>
          <w:trHeight w:val="95"/>
        </w:trPr>
        <w:tc>
          <w:tcPr>
            <w:tcW w:w="1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r>
        <w:trPr>
          <w:trHeight w:val="259"/>
        </w:trPr>
        <w:tc>
          <w:tcPr>
            <w:tcW w:w="1320" w:type="dxa"/>
            <w:vAlign w:val="bottom"/>
          </w:tcPr>
          <w:p>
            <w:pPr>
              <w:spacing w:after="0"/>
              <w:rPr>
                <w:sz w:val="20"/>
                <w:szCs w:val="20"/>
                <w:color w:val="auto"/>
              </w:rPr>
            </w:pPr>
            <w:r>
              <w:rPr>
                <w:rFonts w:ascii="Times New Roman" w:cs="Times New Roman" w:eastAsia="Times New Roman" w:hAnsi="Times New Roman"/>
                <w:sz w:val="10"/>
                <w:szCs w:val="10"/>
                <w:color w:val="auto"/>
              </w:rPr>
              <w:t>Vice President</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11"/>
        </w:trPr>
        <w:tc>
          <w:tcPr>
            <w:tcW w:w="13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472"/>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Michael H. Joyce (3)</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2007</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$24,154</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$119,277</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$35,452</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$508,089</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$686,972</w:t>
            </w:r>
          </w:p>
        </w:tc>
      </w:tr>
      <w:tr>
        <w:trPr>
          <w:trHeight w:val="95"/>
        </w:trPr>
        <w:tc>
          <w:tcPr>
            <w:tcW w:w="1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r>
        <w:trPr>
          <w:trHeight w:val="259"/>
        </w:trPr>
        <w:tc>
          <w:tcPr>
            <w:tcW w:w="1320" w:type="dxa"/>
            <w:vAlign w:val="bottom"/>
          </w:tcPr>
          <w:p>
            <w:pPr>
              <w:spacing w:after="0"/>
              <w:rPr>
                <w:sz w:val="20"/>
                <w:szCs w:val="20"/>
                <w:color w:val="auto"/>
              </w:rPr>
            </w:pPr>
            <w:r>
              <w:rPr>
                <w:rFonts w:ascii="Times New Roman" w:cs="Times New Roman" w:eastAsia="Times New Roman" w:hAnsi="Times New Roman"/>
                <w:sz w:val="10"/>
                <w:szCs w:val="10"/>
                <w:color w:val="auto"/>
              </w:rPr>
              <w:t>Retired President and</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1320" w:type="dxa"/>
            <w:vAlign w:val="bottom"/>
          </w:tcPr>
          <w:p>
            <w:pPr>
              <w:spacing w:after="0"/>
              <w:rPr>
                <w:sz w:val="20"/>
                <w:szCs w:val="20"/>
                <w:color w:val="auto"/>
              </w:rPr>
            </w:pPr>
            <w:r>
              <w:rPr>
                <w:rFonts w:ascii="Times New Roman" w:cs="Times New Roman" w:eastAsia="Times New Roman" w:hAnsi="Times New Roman"/>
                <w:sz w:val="10"/>
                <w:szCs w:val="10"/>
                <w:color w:val="auto"/>
              </w:rPr>
              <w:t>Chief Operating Officer</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05"/>
        </w:trPr>
        <w:tc>
          <w:tcPr>
            <w:tcW w:w="13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-4225925</wp:posOffset>
            </wp:positionV>
            <wp:extent cx="645922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5922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-3354705</wp:posOffset>
            </wp:positionV>
            <wp:extent cx="645922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5922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-2609215</wp:posOffset>
            </wp:positionV>
            <wp:extent cx="645922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5922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-1988820</wp:posOffset>
            </wp:positionV>
            <wp:extent cx="645922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5922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-1368425</wp:posOffset>
            </wp:positionV>
            <wp:extent cx="645922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5922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-748030</wp:posOffset>
            </wp:positionV>
            <wp:extent cx="645922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59220" cy="63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280" w:firstLine="375"/>
        <w:spacing w:after="0" w:line="254" w:lineRule="auto"/>
        <w:tabs>
          <w:tab w:leader="none" w:pos="56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compensation expense recognized in fiscal year 2007 for each Named Executive Officer as reported in our audited financial statements. This expense was computed in accordance with Financial Accounting Standards Board Statement No. 123(R), Share-Based Payment (“FAS 123R”). The assumptions made in the valuations are discussed in Footnote K to our 2007 financial statements. The following table presents separately the compensation expense recognized in fiscal 2007 for outstanding awards of performance stock, performance stock units and restricted stock for each Named Executive Officer: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0" w:type="dxa"/>
            <w:vAlign w:val="bottom"/>
            <w:gridSpan w:val="2"/>
          </w:tcPr>
          <w:p>
            <w:pPr>
              <w:jc w:val="center"/>
              <w:ind w:left="50"/>
              <w:spacing w:after="0"/>
              <w:rPr>
                <w:sz w:val="20"/>
                <w:szCs w:val="20"/>
                <w:color w:val="auto"/>
              </w:rPr>
            </w:pPr>
            <w:r>
              <w:rPr>
                <w:rFonts w:ascii="Times New Roman" w:cs="Times New Roman" w:eastAsia="Times New Roman" w:hAnsi="Times New Roman"/>
                <w:sz w:val="17"/>
                <w:szCs w:val="17"/>
                <w:color w:val="auto"/>
                <w:w w:val="93"/>
              </w:rPr>
              <w:t>23</w:t>
            </w:r>
          </w:p>
        </w:tc>
        <w:tc>
          <w:tcPr>
            <w:tcW w:w="5200" w:type="dxa"/>
            <w:vAlign w:val="bottom"/>
          </w:tcPr>
          <w:p>
            <w:pPr>
              <w:spacing w:after="0"/>
              <w:rPr>
                <w:sz w:val="18"/>
                <w:szCs w:val="18"/>
                <w:color w:val="auto"/>
              </w:rPr>
            </w:pPr>
          </w:p>
        </w:tc>
      </w:tr>
      <w:tr>
        <w:trPr>
          <w:trHeight w:val="163"/>
        </w:trPr>
        <w:tc>
          <w:tcPr>
            <w:tcW w:w="2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740" w:type="dxa"/>
            <w:vAlign w:val="bottom"/>
            <w:tcBorders>
              <w:bottom w:val="single" w:sz="8" w:color="808080"/>
            </w:tcBorders>
          </w:tcPr>
          <w:p>
            <w:pPr>
              <w:spacing w:after="0"/>
              <w:rPr>
                <w:sz w:val="14"/>
                <w:szCs w:val="14"/>
                <w:color w:val="auto"/>
              </w:rPr>
            </w:pPr>
          </w:p>
        </w:tc>
        <w:tc>
          <w:tcPr>
            <w:tcW w:w="20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5200" w:type="dxa"/>
            <w:vAlign w:val="bottom"/>
            <w:tcBorders>
              <w:bottom w:val="single" w:sz="8" w:color="808080"/>
            </w:tcBorders>
          </w:tcPr>
          <w:p>
            <w:pPr>
              <w:spacing w:after="0"/>
              <w:rPr>
                <w:sz w:val="14"/>
                <w:szCs w:val="14"/>
                <w:color w:val="auto"/>
              </w:rPr>
            </w:pPr>
          </w:p>
        </w:tc>
      </w:tr>
      <w:tr>
        <w:trPr>
          <w:trHeight w:val="274"/>
        </w:trPr>
        <w:tc>
          <w:tcPr>
            <w:tcW w:w="20" w:type="dxa"/>
            <w:vAlign w:val="bottom"/>
          </w:tcPr>
          <w:p>
            <w:pPr>
              <w:spacing w:after="0"/>
              <w:rPr>
                <w:sz w:val="23"/>
                <w:szCs w:val="23"/>
                <w:color w:val="auto"/>
              </w:rPr>
            </w:pPr>
          </w:p>
        </w:tc>
        <w:tc>
          <w:tcPr>
            <w:tcW w:w="13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Name</w:t>
            </w:r>
          </w:p>
        </w:tc>
        <w:tc>
          <w:tcPr>
            <w:tcW w:w="20" w:type="dxa"/>
            <w:vAlign w:val="bottom"/>
          </w:tcPr>
          <w:p>
            <w:pPr>
              <w:spacing w:after="0"/>
              <w:rPr>
                <w:sz w:val="23"/>
                <w:szCs w:val="23"/>
                <w:color w:val="auto"/>
              </w:rPr>
            </w:pPr>
          </w:p>
        </w:tc>
        <w:tc>
          <w:tcPr>
            <w:tcW w:w="1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Performance Stock</w:t>
            </w:r>
          </w:p>
        </w:tc>
        <w:tc>
          <w:tcPr>
            <w:tcW w:w="2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Performance Stock Units</w:t>
            </w:r>
          </w:p>
        </w:tc>
        <w:tc>
          <w:tcPr>
            <w:tcW w:w="20" w:type="dxa"/>
            <w:vAlign w:val="bottom"/>
          </w:tcPr>
          <w:p>
            <w:pPr>
              <w:spacing w:after="0"/>
              <w:rPr>
                <w:sz w:val="23"/>
                <w:szCs w:val="23"/>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Restricted Stock</w:t>
            </w:r>
          </w:p>
        </w:tc>
      </w:tr>
      <w:tr>
        <w:trPr>
          <w:trHeight w:val="95"/>
        </w:trPr>
        <w:tc>
          <w:tcPr>
            <w:tcW w:w="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200" w:type="dxa"/>
            <w:vAlign w:val="bottom"/>
          </w:tcPr>
          <w:p>
            <w:pPr>
              <w:spacing w:after="0"/>
              <w:rPr>
                <w:sz w:val="8"/>
                <w:szCs w:val="8"/>
                <w:color w:val="auto"/>
              </w:rPr>
            </w:pPr>
          </w:p>
        </w:tc>
      </w:tr>
      <w:tr>
        <w:trPr>
          <w:trHeight w:val="269"/>
        </w:trPr>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Michael E. Batten</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$261,369</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$1,472,177</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w:t>
            </w:r>
          </w:p>
        </w:tc>
        <w:tc>
          <w:tcPr>
            <w:tcW w:w="5200" w:type="dxa"/>
            <w:vAlign w:val="bottom"/>
          </w:tcPr>
          <w:p>
            <w:pPr>
              <w:spacing w:after="0"/>
              <w:rPr>
                <w:sz w:val="23"/>
                <w:szCs w:val="23"/>
                <w:color w:val="auto"/>
              </w:rPr>
            </w:pPr>
          </w:p>
        </w:tc>
      </w:tr>
      <w:tr>
        <w:trPr>
          <w:trHeight w:val="95"/>
        </w:trPr>
        <w:tc>
          <w:tcPr>
            <w:tcW w:w="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200" w:type="dxa"/>
            <w:vAlign w:val="bottom"/>
          </w:tcPr>
          <w:p>
            <w:pPr>
              <w:spacing w:after="0"/>
              <w:rPr>
                <w:sz w:val="8"/>
                <w:szCs w:val="8"/>
                <w:color w:val="auto"/>
              </w:rPr>
            </w:pPr>
          </w:p>
        </w:tc>
      </w:tr>
      <w:tr>
        <w:trPr>
          <w:trHeight w:val="269"/>
        </w:trPr>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w w:val="97"/>
              </w:rPr>
              <w:t>Christopher J. Eperjesy</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$108,146</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$184,568</w:t>
            </w:r>
          </w:p>
        </w:tc>
        <w:tc>
          <w:tcPr>
            <w:tcW w:w="1200" w:type="dxa"/>
            <w:vAlign w:val="bottom"/>
            <w:gridSpan w:val="2"/>
          </w:tcPr>
          <w:p>
            <w:pPr>
              <w:jc w:val="right"/>
              <w:ind w:right="292"/>
              <w:spacing w:after="0"/>
              <w:rPr>
                <w:sz w:val="20"/>
                <w:szCs w:val="20"/>
                <w:color w:val="auto"/>
              </w:rPr>
            </w:pPr>
            <w:r>
              <w:rPr>
                <w:rFonts w:ascii="Times New Roman" w:cs="Times New Roman" w:eastAsia="Times New Roman" w:hAnsi="Times New Roman"/>
                <w:sz w:val="14"/>
                <w:szCs w:val="14"/>
                <w:color w:val="auto"/>
              </w:rPr>
              <w:t>$44,886</w:t>
            </w:r>
          </w:p>
        </w:tc>
        <w:tc>
          <w:tcPr>
            <w:tcW w:w="5200" w:type="dxa"/>
            <w:vAlign w:val="bottom"/>
          </w:tcPr>
          <w:p>
            <w:pPr>
              <w:spacing w:after="0"/>
              <w:rPr>
                <w:sz w:val="23"/>
                <w:szCs w:val="23"/>
                <w:color w:val="auto"/>
              </w:rPr>
            </w:pPr>
          </w:p>
        </w:tc>
      </w:tr>
      <w:tr>
        <w:trPr>
          <w:trHeight w:val="95"/>
        </w:trPr>
        <w:tc>
          <w:tcPr>
            <w:tcW w:w="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200" w:type="dxa"/>
            <w:vAlign w:val="bottom"/>
          </w:tcPr>
          <w:p>
            <w:pPr>
              <w:spacing w:after="0"/>
              <w:rPr>
                <w:sz w:val="8"/>
                <w:szCs w:val="8"/>
                <w:color w:val="auto"/>
              </w:rPr>
            </w:pPr>
          </w:p>
        </w:tc>
      </w:tr>
      <w:tr>
        <w:trPr>
          <w:trHeight w:val="269"/>
        </w:trPr>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James E. Feiertag</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$108,146</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$184,568</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w:t>
            </w:r>
          </w:p>
        </w:tc>
        <w:tc>
          <w:tcPr>
            <w:tcW w:w="5200" w:type="dxa"/>
            <w:vAlign w:val="bottom"/>
          </w:tcPr>
          <w:p>
            <w:pPr>
              <w:spacing w:after="0"/>
              <w:rPr>
                <w:sz w:val="23"/>
                <w:szCs w:val="23"/>
                <w:color w:val="auto"/>
              </w:rPr>
            </w:pPr>
          </w:p>
        </w:tc>
      </w:tr>
      <w:tr>
        <w:trPr>
          <w:trHeight w:val="95"/>
        </w:trPr>
        <w:tc>
          <w:tcPr>
            <w:tcW w:w="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200" w:type="dxa"/>
            <w:vAlign w:val="bottom"/>
          </w:tcPr>
          <w:p>
            <w:pPr>
              <w:spacing w:after="0"/>
              <w:rPr>
                <w:sz w:val="8"/>
                <w:szCs w:val="8"/>
                <w:color w:val="auto"/>
              </w:rPr>
            </w:pPr>
          </w:p>
        </w:tc>
      </w:tr>
      <w:tr>
        <w:trPr>
          <w:trHeight w:val="269"/>
        </w:trPr>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John H. Batten</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$98,307</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$184,568</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w:t>
            </w:r>
          </w:p>
        </w:tc>
        <w:tc>
          <w:tcPr>
            <w:tcW w:w="5200" w:type="dxa"/>
            <w:vAlign w:val="bottom"/>
          </w:tcPr>
          <w:p>
            <w:pPr>
              <w:spacing w:after="0"/>
              <w:rPr>
                <w:sz w:val="23"/>
                <w:szCs w:val="23"/>
                <w:color w:val="auto"/>
              </w:rPr>
            </w:pPr>
          </w:p>
        </w:tc>
      </w:tr>
      <w:tr>
        <w:trPr>
          <w:trHeight w:val="95"/>
        </w:trPr>
        <w:tc>
          <w:tcPr>
            <w:tcW w:w="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200" w:type="dxa"/>
            <w:vAlign w:val="bottom"/>
          </w:tcPr>
          <w:p>
            <w:pPr>
              <w:spacing w:after="0"/>
              <w:rPr>
                <w:sz w:val="8"/>
                <w:szCs w:val="8"/>
                <w:color w:val="auto"/>
              </w:rPr>
            </w:pPr>
          </w:p>
        </w:tc>
      </w:tr>
      <w:tr>
        <w:trPr>
          <w:trHeight w:val="269"/>
        </w:trPr>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H. Claude Fabry</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$52,029</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$59,107</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w:t>
            </w:r>
          </w:p>
        </w:tc>
        <w:tc>
          <w:tcPr>
            <w:tcW w:w="5200" w:type="dxa"/>
            <w:vAlign w:val="bottom"/>
          </w:tcPr>
          <w:p>
            <w:pPr>
              <w:spacing w:after="0"/>
              <w:rPr>
                <w:sz w:val="23"/>
                <w:szCs w:val="23"/>
                <w:color w:val="auto"/>
              </w:rPr>
            </w:pPr>
          </w:p>
        </w:tc>
      </w:tr>
      <w:tr>
        <w:trPr>
          <w:trHeight w:val="95"/>
        </w:trPr>
        <w:tc>
          <w:tcPr>
            <w:tcW w:w="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2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7283450</wp:posOffset>
            </wp:positionH>
            <wp:positionV relativeFrom="paragraph">
              <wp:posOffset>-1473835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-1473835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94" w:orient="portrait"/>
          <w:cols w:equalWidth="0" w:num="1">
            <w:col w:w="11480"/>
          </w:cols>
          <w:pgMar w:left="220" w:top="317" w:right="199" w:bottom="0" w:gutter="0" w:footer="0" w:header="0"/>
        </w:sectPr>
      </w:pPr>
    </w:p>
    <w:bookmarkStart w:id="10" w:name="page11"/>
    <w:bookmarkEnd w:id="10"/>
    <w:p>
      <w:pPr>
        <w:ind w:left="20"/>
        <w:spacing w:after="0"/>
        <w:tabs>
          <w:tab w:leader="none" w:pos="1940" w:val="left"/>
          <w:tab w:leader="none" w:pos="3820" w:val="left"/>
          <w:tab w:leader="none" w:pos="5680" w:val="left"/>
        </w:tabs>
        <w:rPr>
          <w:sz w:val="20"/>
          <w:szCs w:val="20"/>
          <w:color w:val="auto"/>
        </w:rPr>
      </w:pPr>
      <w:r>
        <w:rPr>
          <w:rFonts w:ascii="Times New Roman" w:cs="Times New Roman" w:eastAsia="Times New Roman" w:hAnsi="Times New Roman"/>
          <w:sz w:val="14"/>
          <w:szCs w:val="14"/>
          <w:color w:val="auto"/>
        </w:rPr>
        <w:t>Michael H. Joyce</w:t>
      </w:r>
      <w:r>
        <w:rPr>
          <w:sz w:val="20"/>
          <w:szCs w:val="20"/>
          <w:color w:val="auto"/>
        </w:rPr>
        <w:tab/>
      </w:r>
      <w:r>
        <w:rPr>
          <w:rFonts w:ascii="Times New Roman" w:cs="Times New Roman" w:eastAsia="Times New Roman" w:hAnsi="Times New Roman"/>
          <w:sz w:val="14"/>
          <w:szCs w:val="14"/>
          <w:color w:val="auto"/>
        </w:rPr>
        <w:t>$53,268</w:t>
      </w:r>
      <w:r>
        <w:rPr>
          <w:sz w:val="20"/>
          <w:szCs w:val="20"/>
          <w:color w:val="auto"/>
        </w:rPr>
        <w:tab/>
      </w:r>
      <w:r>
        <w:rPr>
          <w:rFonts w:ascii="Times New Roman" w:cs="Times New Roman" w:eastAsia="Times New Roman" w:hAnsi="Times New Roman"/>
          <w:sz w:val="14"/>
          <w:szCs w:val="14"/>
          <w:color w:val="auto"/>
        </w:rPr>
        <w:t>$66,009</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397891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78910" cy="6350"/>
                    </a:xfrm>
                    <a:prstGeom prst="rect">
                      <a:avLst/>
                    </a:prstGeom>
                    <a:noFill/>
                  </pic:spPr>
                </pic:pic>
              </a:graphicData>
            </a:graphic>
          </wp:anchor>
        </w:drawing>
      </w:r>
    </w:p>
    <w:p>
      <w:pPr>
        <w:spacing w:after="0" w:line="380" w:lineRule="exact"/>
        <w:rPr>
          <w:sz w:val="20"/>
          <w:szCs w:val="20"/>
          <w:color w:val="auto"/>
        </w:rPr>
      </w:pPr>
    </w:p>
    <w:p>
      <w:pPr>
        <w:ind w:left="380" w:hanging="377"/>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cash bonuses earned in connection with achievement in 2007 of the specific performance targets described in the CD&amp;A.</w:t>
      </w:r>
    </w:p>
    <w:p>
      <w:pPr>
        <w:spacing w:after="0" w:line="213" w:lineRule="exact"/>
        <w:rPr>
          <w:rFonts w:ascii="Times New Roman" w:cs="Times New Roman" w:eastAsia="Times New Roman" w:hAnsi="Times New Roman"/>
          <w:sz w:val="14"/>
          <w:szCs w:val="14"/>
          <w:color w:val="auto"/>
        </w:rPr>
      </w:pPr>
    </w:p>
    <w:p>
      <w:pPr>
        <w:ind w:left="380" w:hanging="377"/>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Joyce retired effective July 31, 2006.</w:t>
      </w:r>
    </w:p>
    <w:p>
      <w:pPr>
        <w:spacing w:after="0" w:line="213" w:lineRule="exact"/>
        <w:rPr>
          <w:rFonts w:ascii="Times New Roman" w:cs="Times New Roman" w:eastAsia="Times New Roman" w:hAnsi="Times New Roman"/>
          <w:sz w:val="14"/>
          <w:szCs w:val="14"/>
          <w:color w:val="auto"/>
        </w:rPr>
      </w:pPr>
    </w:p>
    <w:p>
      <w:pPr>
        <w:ind w:left="380" w:hanging="377"/>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portion of Mr. Fabry’s compensation was denominated in Euro, which has been translated at the average exchange rate for fiscal 2007 of 1.30573.</w:t>
      </w:r>
    </w:p>
    <w:p>
      <w:pPr>
        <w:spacing w:after="0" w:line="202" w:lineRule="exact"/>
        <w:rPr>
          <w:rFonts w:ascii="Times New Roman" w:cs="Times New Roman" w:eastAsia="Times New Roman" w:hAnsi="Times New Roman"/>
          <w:sz w:val="14"/>
          <w:szCs w:val="14"/>
          <w:color w:val="auto"/>
        </w:rPr>
      </w:pPr>
    </w:p>
    <w:p>
      <w:pPr>
        <w:ind w:left="380" w:hanging="377"/>
        <w:spacing w:after="0" w:line="267"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figures include a change in qualified pension value amount for Mr. M. Batten (-$3,242), Mr. Eperjesy ($11,497), Mr. Feiertag ($12,535), Mr. J. Batten ($14,676) and Mr. Joyce ($18,077). The remainder represents a change in the nonqualified supplemental pension plan values.</w:t>
      </w:r>
    </w:p>
    <w:p>
      <w:pPr>
        <w:spacing w:after="0" w:line="171" w:lineRule="exact"/>
        <w:rPr>
          <w:rFonts w:ascii="Times New Roman" w:cs="Times New Roman" w:eastAsia="Times New Roman" w:hAnsi="Times New Roman"/>
          <w:sz w:val="14"/>
          <w:szCs w:val="14"/>
          <w:color w:val="auto"/>
        </w:rPr>
      </w:pPr>
    </w:p>
    <w:p>
      <w:pPr>
        <w:ind w:left="380" w:hanging="377"/>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Compensation consists of the following:</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Personal</w:t>
            </w: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7"/>
        </w:trPr>
        <w:tc>
          <w:tcPr>
            <w:tcW w:w="840" w:type="dxa"/>
            <w:vAlign w:val="bottom"/>
          </w:tcPr>
          <w:p>
            <w:pPr>
              <w:spacing w:after="0"/>
              <w:rPr>
                <w:sz w:val="17"/>
                <w:szCs w:val="17"/>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401(k)</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Use of</w:t>
            </w: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Personal Use</w:t>
            </w: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7"/>
        </w:trPr>
        <w:tc>
          <w:tcPr>
            <w:tcW w:w="840" w:type="dxa"/>
            <w:vAlign w:val="bottom"/>
          </w:tcPr>
          <w:p>
            <w:pPr>
              <w:spacing w:after="0"/>
              <w:rPr>
                <w:sz w:val="17"/>
                <w:szCs w:val="17"/>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Company</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Company</w:t>
            </w: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Life</w:t>
            </w: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of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Retirement</w:t>
            </w:r>
          </w:p>
        </w:tc>
        <w:tc>
          <w:tcPr>
            <w:tcW w:w="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Spousal</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7"/>
        </w:trPr>
        <w:tc>
          <w:tcPr>
            <w:tcW w:w="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Name</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Match</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Plane</w:t>
            </w:r>
          </w:p>
        </w:tc>
        <w:tc>
          <w:tcPr>
            <w:tcW w:w="20" w:type="dxa"/>
            <w:vAlign w:val="bottom"/>
          </w:tcPr>
          <w:p>
            <w:pPr>
              <w:spacing w:after="0"/>
              <w:rPr>
                <w:sz w:val="17"/>
                <w:szCs w:val="17"/>
                <w:color w:val="auto"/>
              </w:rPr>
            </w:pPr>
          </w:p>
        </w:tc>
        <w:tc>
          <w:tcPr>
            <w:tcW w:w="14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Dues</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Insurance</w:t>
            </w: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Automobile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Distribution</w:t>
            </w:r>
          </w:p>
        </w:tc>
        <w:tc>
          <w:tcPr>
            <w:tcW w:w="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Travel</w:t>
            </w:r>
          </w:p>
        </w:tc>
        <w:tc>
          <w:tcPr>
            <w:tcW w:w="20" w:type="dxa"/>
            <w:vAlign w:val="bottom"/>
          </w:tcPr>
          <w:p>
            <w:pPr>
              <w:spacing w:after="0"/>
              <w:rPr>
                <w:sz w:val="17"/>
                <w:szCs w:val="17"/>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r>
      <w:tr>
        <w:trPr>
          <w:trHeight w:val="95"/>
        </w:trPr>
        <w:tc>
          <w:tcPr>
            <w:tcW w:w="8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6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M.E. Batten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$10,253</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$5,804</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$6,194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$29,502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2"/>
              </w:rPr>
              <w:t>$11,489</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$63,242</w:t>
            </w:r>
          </w:p>
        </w:tc>
      </w:tr>
      <w:tr>
        <w:trPr>
          <w:trHeight w:val="95"/>
        </w:trPr>
        <w:tc>
          <w:tcPr>
            <w:tcW w:w="8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6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C.J. Eperjesy</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$10,125</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$1,498</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$32,353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$43,976</w:t>
            </w:r>
          </w:p>
        </w:tc>
      </w:tr>
      <w:tr>
        <w:trPr>
          <w:trHeight w:val="95"/>
        </w:trPr>
        <w:tc>
          <w:tcPr>
            <w:tcW w:w="8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6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J.E. Feiertag</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$10,125</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$390</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$48,242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$58,757</w:t>
            </w:r>
          </w:p>
        </w:tc>
      </w:tr>
      <w:tr>
        <w:trPr>
          <w:trHeight w:val="95"/>
        </w:trPr>
        <w:tc>
          <w:tcPr>
            <w:tcW w:w="8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6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J.H. Batten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$10,425</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$1,663</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$1,498</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$29,000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$42,586</w:t>
            </w:r>
          </w:p>
        </w:tc>
      </w:tr>
      <w:tr>
        <w:trPr>
          <w:trHeight w:val="95"/>
        </w:trPr>
        <w:tc>
          <w:tcPr>
            <w:tcW w:w="8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6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H.C. Fabry</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$21,849</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$18,948</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$1,480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$42,277</w:t>
            </w:r>
          </w:p>
        </w:tc>
      </w:tr>
      <w:tr>
        <w:trPr>
          <w:trHeight w:val="95"/>
        </w:trPr>
        <w:tc>
          <w:tcPr>
            <w:tcW w:w="8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6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M.H. Joyce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$362</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$7,727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$500,000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$508,089</w:t>
            </w:r>
          </w:p>
        </w:tc>
      </w:tr>
      <w:tr>
        <w:trPr>
          <w:trHeight w:val="95"/>
        </w:trPr>
        <w:tc>
          <w:tcPr>
            <w:tcW w:w="8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 Discretionary bonus awarded with respect to FY07, paid in August 2007.</w:t>
      </w:r>
    </w:p>
    <w:p>
      <w:pPr>
        <w:spacing w:after="0" w:line="16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Grants of Plan-Based Awards</w:t>
      </w:r>
    </w:p>
    <w:p>
      <w:pPr>
        <w:spacing w:after="0" w:line="17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The following table provides information on incentive awards granted to our Named Executive Officers during fiscal 2007.</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Estimate Future Share or Unit</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97"/>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gridSpan w:val="3"/>
          </w:tcPr>
          <w:p>
            <w:pPr>
              <w:jc w:val="right"/>
              <w:ind w:right="268"/>
              <w:spacing w:after="0"/>
              <w:rPr>
                <w:sz w:val="20"/>
                <w:szCs w:val="20"/>
                <w:color w:val="auto"/>
              </w:rPr>
            </w:pPr>
            <w:r>
              <w:rPr>
                <w:rFonts w:ascii="Times New Roman" w:cs="Times New Roman" w:eastAsia="Times New Roman" w:hAnsi="Times New Roman"/>
                <w:sz w:val="10"/>
                <w:szCs w:val="10"/>
                <w:color w:val="auto"/>
              </w:rPr>
              <w:t>Estimated Future Cash Incentive Payouts</w:t>
            </w: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0"/>
                <w:szCs w:val="10"/>
                <w:color w:val="auto"/>
              </w:rPr>
              <w:t>Payouts Under Equity Incentive</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gridSpan w:val="3"/>
          </w:tcPr>
          <w:p>
            <w:pPr>
              <w:jc w:val="right"/>
              <w:ind w:right="248"/>
              <w:spacing w:after="0"/>
              <w:rPr>
                <w:sz w:val="20"/>
                <w:szCs w:val="20"/>
                <w:color w:val="auto"/>
              </w:rPr>
            </w:pPr>
            <w:r>
              <w:rPr>
                <w:rFonts w:ascii="Times New Roman" w:cs="Times New Roman" w:eastAsia="Times New Roman" w:hAnsi="Times New Roman"/>
                <w:sz w:val="10"/>
                <w:szCs w:val="10"/>
                <w:color w:val="auto"/>
              </w:rPr>
              <w:t>Under Non-Equity Incentive Plan Awards</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Plan Awards</w:t>
            </w: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All other</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option</w:t>
            </w: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Exercise</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All other</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awards;</w:t>
            </w: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or base</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7"/>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stock awards;</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Number of</w:t>
            </w: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price of</w:t>
            </w:r>
          </w:p>
        </w:tc>
        <w:tc>
          <w:tcPr>
            <w:tcW w:w="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Grant Date Fair</w:t>
            </w:r>
          </w:p>
        </w:tc>
      </w:tr>
      <w:tr>
        <w:trPr>
          <w:trHeight w:val="197"/>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Number of</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securities</w:t>
            </w: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option</w:t>
            </w:r>
          </w:p>
        </w:tc>
        <w:tc>
          <w:tcPr>
            <w:tcW w:w="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Value of Stock</w:t>
            </w:r>
          </w:p>
        </w:tc>
      </w:tr>
      <w:tr>
        <w:trPr>
          <w:trHeight w:val="197"/>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Grant</w:t>
            </w:r>
          </w:p>
        </w:tc>
        <w:tc>
          <w:tcPr>
            <w:tcW w:w="2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Threshold</w:t>
            </w:r>
          </w:p>
        </w:tc>
        <w:tc>
          <w:tcPr>
            <w:tcW w:w="8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Target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Maximum</w:t>
            </w:r>
          </w:p>
        </w:tc>
        <w:tc>
          <w:tcPr>
            <w:tcW w:w="5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Threshold</w:t>
            </w:r>
          </w:p>
        </w:tc>
        <w:tc>
          <w:tcPr>
            <w:tcW w:w="20" w:type="dxa"/>
            <w:vAlign w:val="bottom"/>
          </w:tcPr>
          <w:p>
            <w:pPr>
              <w:spacing w:after="0"/>
              <w:rPr>
                <w:sz w:val="17"/>
                <w:szCs w:val="17"/>
                <w:color w:val="auto"/>
              </w:rPr>
            </w:pP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w w:val="99"/>
              </w:rPr>
              <w:t>Target</w:t>
            </w:r>
          </w:p>
        </w:tc>
        <w:tc>
          <w:tcPr>
            <w:tcW w:w="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Maximum</w:t>
            </w: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shares of</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underlying</w:t>
            </w: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awards</w:t>
            </w:r>
          </w:p>
        </w:tc>
        <w:tc>
          <w:tcPr>
            <w:tcW w:w="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and Option</w:t>
            </w:r>
          </w:p>
        </w:tc>
      </w:tr>
      <w:tr>
        <w:trPr>
          <w:trHeight w:val="197"/>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Name</w:t>
            </w: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Date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rPr>
              <w:t>stock or units</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options</w:t>
            </w: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($/Sh)</w:t>
            </w:r>
          </w:p>
        </w:tc>
        <w:tc>
          <w:tcPr>
            <w:tcW w:w="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Awards</w:t>
            </w: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M.E. Batten</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Cash Incentive</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$150,231</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rPr>
              <w:t>$300,463</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$600,925</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Performance Stock</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Awards (1)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7/27/06</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8,100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10,125</w:t>
            </w: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rPr>
              <w:t>12,150</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$331,088</w:t>
            </w: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Performance Stock</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Unit Awards (2)</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7/27/06</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8,100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10,125</w:t>
            </w: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rPr>
              <w:t>12,150</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$331,088</w:t>
            </w: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C.J. Eperjesy</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Cash Incentive</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$58,500</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rPr>
              <w:t>$117,000</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$234,000</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Performance Stock</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Awards (1)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7/27/06</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3,750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7"/>
              </w:rPr>
              <w:t>4,688</w:t>
            </w: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rPr>
              <w:t>5,626</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$153,298</w:t>
            </w: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Performance Stock</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Unit Awards (2)</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7/27/06</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3,750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7"/>
              </w:rPr>
              <w:t>4,687</w:t>
            </w: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rPr>
              <w:t>5,625</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$153,265</w:t>
            </w: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J.E. Feiertag</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Cash Incentive</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$58,000</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rPr>
              <w:t>$117,000</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$234,000</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Performance Stock</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Awards (1)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7/27/06</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3,750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7"/>
              </w:rPr>
              <w:t>4,688</w:t>
            </w: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rPr>
              <w:t>5,626</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$153,298</w:t>
            </w: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Performance Stock</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Unit Awards (2)</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7/27/06</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3,750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7"/>
              </w:rPr>
              <w:t>4,687</w:t>
            </w: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rPr>
              <w:t>5,625</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$153,265</w:t>
            </w: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J.H. Batten</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$50,625</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0"/>
                <w:szCs w:val="10"/>
                <w:color w:val="auto"/>
              </w:rPr>
              <w:t>$101,250</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$202,500</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bl>
    <w:p>
      <w:pPr>
        <w:sectPr>
          <w:pgSz w:w="11900" w:h="16838" w:orient="portrait"/>
          <w:cols w:equalWidth="0" w:num="1">
            <w:col w:w="11040"/>
          </w:cols>
          <w:pgMar w:left="220" w:top="223" w:right="639" w:bottom="0" w:gutter="0" w:footer="0" w:header="0"/>
        </w:sectPr>
      </w:pPr>
    </w:p>
    <w:bookmarkStart w:id="11" w:name="page12"/>
    <w:bookmarkEnd w:id="1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Cash Incentive</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Performance Stock</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Awards (1)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7/27/06</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3,750</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4,688</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5,626</w:t>
            </w:r>
          </w:p>
        </w:tc>
        <w:tc>
          <w:tcPr>
            <w:tcW w:w="3040" w:type="dxa"/>
            <w:vAlign w:val="bottom"/>
            <w:gridSpan w:val="5"/>
          </w:tcPr>
          <w:p>
            <w:pPr>
              <w:jc w:val="center"/>
              <w:ind w:left="2228"/>
              <w:spacing w:after="0"/>
              <w:rPr>
                <w:sz w:val="20"/>
                <w:szCs w:val="20"/>
                <w:color w:val="auto"/>
              </w:rPr>
            </w:pPr>
            <w:r>
              <w:rPr>
                <w:rFonts w:ascii="Times New Roman" w:cs="Times New Roman" w:eastAsia="Times New Roman" w:hAnsi="Times New Roman"/>
                <w:sz w:val="10"/>
                <w:szCs w:val="10"/>
                <w:color w:val="auto"/>
              </w:rPr>
              <w:t>$153,298</w:t>
            </w: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Performance Stock</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Unit Awards (2)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7/27/06</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3,750</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4,687</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5,625</w:t>
            </w:r>
          </w:p>
        </w:tc>
        <w:tc>
          <w:tcPr>
            <w:tcW w:w="3040" w:type="dxa"/>
            <w:vAlign w:val="bottom"/>
            <w:gridSpan w:val="5"/>
          </w:tcPr>
          <w:p>
            <w:pPr>
              <w:jc w:val="center"/>
              <w:ind w:left="2228"/>
              <w:spacing w:after="0"/>
              <w:rPr>
                <w:sz w:val="20"/>
                <w:szCs w:val="20"/>
                <w:color w:val="auto"/>
              </w:rPr>
            </w:pPr>
            <w:r>
              <w:rPr>
                <w:rFonts w:ascii="Times New Roman" w:cs="Times New Roman" w:eastAsia="Times New Roman" w:hAnsi="Times New Roman"/>
                <w:sz w:val="10"/>
                <w:szCs w:val="10"/>
                <w:color w:val="auto"/>
              </w:rPr>
              <w:t>$153,265</w:t>
            </w: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w w:val="98"/>
              </w:rPr>
              <w:t>H.C. Fabry</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$35,000</w:t>
            </w:r>
          </w:p>
        </w:tc>
        <w:tc>
          <w:tcPr>
            <w:tcW w:w="80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rPr>
              <w:t>$70,000</w:t>
            </w:r>
          </w:p>
        </w:tc>
        <w:tc>
          <w:tcPr>
            <w:tcW w:w="1220" w:type="dxa"/>
            <w:vAlign w:val="bottom"/>
          </w:tcPr>
          <w:p>
            <w:pPr>
              <w:jc w:val="right"/>
              <w:ind w:right="588"/>
              <w:spacing w:after="0"/>
              <w:rPr>
                <w:sz w:val="20"/>
                <w:szCs w:val="20"/>
                <w:color w:val="auto"/>
              </w:rPr>
            </w:pPr>
            <w:r>
              <w:rPr>
                <w:rFonts w:ascii="Times New Roman" w:cs="Times New Roman" w:eastAsia="Times New Roman" w:hAnsi="Times New Roman"/>
                <w:sz w:val="10"/>
                <w:szCs w:val="10"/>
                <w:color w:val="auto"/>
              </w:rPr>
              <w:t>$140,000</w:t>
            </w: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Cash Incentive</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Performance Stock</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Awards (1)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7/27/06</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1,250</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1,563</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1,876</w:t>
            </w:r>
          </w:p>
        </w:tc>
        <w:tc>
          <w:tcPr>
            <w:tcW w:w="3040" w:type="dxa"/>
            <w:vAlign w:val="bottom"/>
            <w:gridSpan w:val="5"/>
          </w:tcPr>
          <w:p>
            <w:pPr>
              <w:jc w:val="center"/>
              <w:ind w:left="2228"/>
              <w:spacing w:after="0"/>
              <w:rPr>
                <w:sz w:val="20"/>
                <w:szCs w:val="20"/>
                <w:color w:val="auto"/>
              </w:rPr>
            </w:pPr>
            <w:r>
              <w:rPr>
                <w:rFonts w:ascii="Times New Roman" w:cs="Times New Roman" w:eastAsia="Times New Roman" w:hAnsi="Times New Roman"/>
                <w:sz w:val="10"/>
                <w:szCs w:val="10"/>
                <w:color w:val="auto"/>
                <w:w w:val="98"/>
              </w:rPr>
              <w:t>$51,110</w:t>
            </w: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259"/>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Performance Stock</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7"/>
        </w:trPr>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Unit Awards (2)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7/27/06</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1,250</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color w:val="auto"/>
              </w:rPr>
              <w:t>1,562</w:t>
            </w: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1,875</w:t>
            </w:r>
          </w:p>
        </w:tc>
        <w:tc>
          <w:tcPr>
            <w:tcW w:w="3040" w:type="dxa"/>
            <w:vAlign w:val="bottom"/>
            <w:gridSpan w:val="5"/>
          </w:tcPr>
          <w:p>
            <w:pPr>
              <w:jc w:val="center"/>
              <w:ind w:left="2228"/>
              <w:spacing w:after="0"/>
              <w:rPr>
                <w:sz w:val="20"/>
                <w:szCs w:val="20"/>
                <w:color w:val="auto"/>
              </w:rPr>
            </w:pPr>
            <w:r>
              <w:rPr>
                <w:rFonts w:ascii="Times New Roman" w:cs="Times New Roman" w:eastAsia="Times New Roman" w:hAnsi="Times New Roman"/>
                <w:sz w:val="10"/>
                <w:szCs w:val="10"/>
                <w:color w:val="auto"/>
                <w:w w:val="98"/>
              </w:rPr>
              <w:t>$51,077</w:t>
            </w:r>
          </w:p>
        </w:tc>
      </w:tr>
      <w:tr>
        <w:trPr>
          <w:trHeight w:val="105"/>
        </w:trPr>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bl>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M.H.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80645</wp:posOffset>
            </wp:positionV>
            <wp:extent cx="559562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95620" cy="6350"/>
                    </a:xfrm>
                    <a:prstGeom prst="rect">
                      <a:avLst/>
                    </a:prstGeom>
                    <a:noFill/>
                  </pic:spPr>
                </pic:pic>
              </a:graphicData>
            </a:graphic>
          </wp:anchor>
        </w:drawing>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color w:val="auto"/>
        </w:rPr>
        <w:t>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559562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95620" cy="6350"/>
                    </a:xfrm>
                    <a:prstGeom prst="rect">
                      <a:avLst/>
                    </a:prstGeom>
                    <a:noFill/>
                  </pic:spPr>
                </pic:pic>
              </a:graphicData>
            </a:graphic>
          </wp:anchor>
        </w:drawing>
      </w:r>
    </w:p>
    <w:p>
      <w:pPr>
        <w:spacing w:after="0" w:line="249" w:lineRule="exact"/>
        <w:rPr>
          <w:sz w:val="20"/>
          <w:szCs w:val="20"/>
          <w:color w:val="auto"/>
        </w:rPr>
      </w:pPr>
    </w:p>
    <w:p>
      <w:pPr>
        <w:jc w:val="right"/>
        <w:ind w:right="10480"/>
        <w:spacing w:after="0"/>
        <w:rPr>
          <w:sz w:val="20"/>
          <w:szCs w:val="20"/>
          <w:color w:val="auto"/>
        </w:rPr>
      </w:pPr>
      <w:r>
        <w:rPr>
          <w:rFonts w:ascii="Times New Roman" w:cs="Times New Roman" w:eastAsia="Times New Roman" w:hAnsi="Times New Roman"/>
          <w:sz w:val="10"/>
          <w:szCs w:val="10"/>
          <w:color w:val="auto"/>
        </w:rPr>
        <w:t>Performance Stock</w:t>
      </w:r>
    </w:p>
    <w:p>
      <w:pPr>
        <w:spacing w:after="0" w:line="82" w:lineRule="exact"/>
        <w:rPr>
          <w:sz w:val="20"/>
          <w:szCs w:val="20"/>
          <w:color w:val="auto"/>
        </w:rPr>
      </w:pPr>
    </w:p>
    <w:p>
      <w:pPr>
        <w:jc w:val="right"/>
        <w:ind w:right="10480"/>
        <w:spacing w:after="0"/>
        <w:rPr>
          <w:sz w:val="20"/>
          <w:szCs w:val="20"/>
          <w:color w:val="auto"/>
        </w:rPr>
      </w:pPr>
      <w:r>
        <w:rPr>
          <w:rFonts w:ascii="Times New Roman" w:cs="Times New Roman" w:eastAsia="Times New Roman" w:hAnsi="Times New Roman"/>
          <w:sz w:val="10"/>
          <w:szCs w:val="10"/>
          <w:color w:val="auto"/>
        </w:rPr>
        <w:t>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559562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95620" cy="6350"/>
                    </a:xfrm>
                    <a:prstGeom prst="rect">
                      <a:avLst/>
                    </a:prstGeom>
                    <a:noFill/>
                  </pic:spPr>
                </pic:pic>
              </a:graphicData>
            </a:graphic>
          </wp:anchor>
        </w:drawing>
      </w:r>
    </w:p>
    <w:p>
      <w:pPr>
        <w:spacing w:after="0" w:line="249" w:lineRule="exact"/>
        <w:rPr>
          <w:sz w:val="20"/>
          <w:szCs w:val="20"/>
          <w:color w:val="auto"/>
        </w:rPr>
      </w:pPr>
    </w:p>
    <w:p>
      <w:pPr>
        <w:jc w:val="right"/>
        <w:ind w:right="10480"/>
        <w:spacing w:after="0"/>
        <w:rPr>
          <w:sz w:val="20"/>
          <w:szCs w:val="20"/>
          <w:color w:val="auto"/>
        </w:rPr>
      </w:pPr>
      <w:r>
        <w:rPr>
          <w:rFonts w:ascii="Times New Roman" w:cs="Times New Roman" w:eastAsia="Times New Roman" w:hAnsi="Times New Roman"/>
          <w:sz w:val="10"/>
          <w:szCs w:val="10"/>
          <w:color w:val="auto"/>
        </w:rPr>
        <w:t>Performance Stock</w:t>
      </w:r>
    </w:p>
    <w:p>
      <w:pPr>
        <w:spacing w:after="0" w:line="82" w:lineRule="exact"/>
        <w:rPr>
          <w:sz w:val="20"/>
          <w:szCs w:val="20"/>
          <w:color w:val="auto"/>
        </w:rPr>
      </w:pPr>
    </w:p>
    <w:p>
      <w:pPr>
        <w:jc w:val="right"/>
        <w:ind w:right="10480"/>
        <w:spacing w:after="0"/>
        <w:rPr>
          <w:sz w:val="20"/>
          <w:szCs w:val="20"/>
          <w:color w:val="auto"/>
        </w:rPr>
      </w:pPr>
      <w:r>
        <w:rPr>
          <w:rFonts w:ascii="Times New Roman" w:cs="Times New Roman" w:eastAsia="Times New Roman" w:hAnsi="Times New Roman"/>
          <w:sz w:val="10"/>
          <w:szCs w:val="10"/>
          <w:color w:val="auto"/>
        </w:rPr>
        <w:t>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559562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95620" cy="6350"/>
                    </a:xfrm>
                    <a:prstGeom prst="rect">
                      <a:avLst/>
                    </a:prstGeom>
                    <a:noFill/>
                  </pic:spPr>
                </pic:pic>
              </a:graphicData>
            </a:graphic>
          </wp:anchor>
        </w:drawing>
      </w:r>
    </w:p>
    <w:p>
      <w:pPr>
        <w:spacing w:after="0" w:line="386" w:lineRule="exact"/>
        <w:rPr>
          <w:sz w:val="20"/>
          <w:szCs w:val="20"/>
          <w:color w:val="auto"/>
        </w:rPr>
      </w:pPr>
    </w:p>
    <w:p>
      <w:pPr>
        <w:ind w:left="400" w:right="40" w:hanging="397"/>
        <w:spacing w:after="0" w:line="229" w:lineRule="auto"/>
        <w:tabs>
          <w:tab w:leader="none" w:pos="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Consists of stock awards with performance-based vesting criteria, as discussed in the “Long-Term Incentive Compensation” section of the Compensation Discussion and Analysis; eligible for vesting in 2009.</w:t>
      </w:r>
    </w:p>
    <w:p>
      <w:pPr>
        <w:spacing w:after="0" w:line="179" w:lineRule="exact"/>
        <w:rPr>
          <w:rFonts w:ascii="Times New Roman" w:cs="Times New Roman" w:eastAsia="Times New Roman" w:hAnsi="Times New Roman"/>
          <w:sz w:val="17"/>
          <w:szCs w:val="17"/>
          <w:color w:val="auto"/>
        </w:rPr>
      </w:pPr>
    </w:p>
    <w:p>
      <w:pPr>
        <w:ind w:left="400" w:hanging="397"/>
        <w:spacing w:after="0" w:line="267" w:lineRule="auto"/>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cash awards measured by the value of the Company’s common stock as of the vesting date with performance-based vesting criteria, as discussed in the “Long-Term Incentive Compensation” section of the Compensation Discussion and Analysis; eligible for vesting in 2009.</w:t>
      </w:r>
    </w:p>
    <w:p>
      <w:pPr>
        <w:spacing w:after="0" w:line="3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Year-End</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The following table summarizes the number of shares covered by exercisable and unexercisable options, as well as the number of restricted stock, performance stock and performance stock unit awards held by our Named Executive Officers on June 30, 2007.</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7"/>
              </w:rPr>
              <w:t>Option Awards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6"/>
              </w:rPr>
              <w:t>Stock Awards</w:t>
            </w: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Equity</w:t>
            </w: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97"/>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Equity</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Incentive Plan</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Equity Incentive</w:t>
            </w:r>
          </w:p>
        </w:tc>
      </w:tr>
      <w:tr>
        <w:trPr>
          <w:trHeight w:val="197"/>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Incentive</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Awards:</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Plan Awards:</w:t>
            </w:r>
          </w:p>
        </w:tc>
      </w:tr>
      <w:tr>
        <w:trPr>
          <w:trHeight w:val="197"/>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Plan</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Number of</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Market or</w:t>
            </w:r>
          </w:p>
        </w:tc>
      </w:tr>
      <w:tr>
        <w:trPr>
          <w:trHeight w:val="197"/>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Awards: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Market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Unearned</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Payout Value of</w:t>
            </w:r>
          </w:p>
        </w:tc>
      </w:tr>
      <w:tr>
        <w:trPr>
          <w:trHeight w:val="197"/>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Number of</w:t>
            </w: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Number of</w:t>
            </w: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Number of</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Number of</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Value of</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Shares, Units</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Unearned</w:t>
            </w:r>
          </w:p>
        </w:tc>
      </w:tr>
      <w:tr>
        <w:trPr>
          <w:trHeight w:val="197"/>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Securities</w:t>
            </w: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Securities</w:t>
            </w: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Securities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Shares or</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Shares or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or Other</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Shares, Units or</w:t>
            </w:r>
          </w:p>
        </w:tc>
      </w:tr>
      <w:tr>
        <w:trPr>
          <w:trHeight w:val="197"/>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Underlying</w:t>
            </w: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Underlying</w:t>
            </w: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Underlying</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Units of</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Units of</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Rights That</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Other Rights</w:t>
            </w:r>
          </w:p>
        </w:tc>
      </w:tr>
      <w:tr>
        <w:trPr>
          <w:trHeight w:val="197"/>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Unexercised</w:t>
            </w: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Unexercised</w:t>
            </w: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Unexercised</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Option</w:t>
            </w:r>
          </w:p>
        </w:tc>
        <w:tc>
          <w:tcPr>
            <w:tcW w:w="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Option</w:t>
            </w:r>
          </w:p>
        </w:tc>
        <w:tc>
          <w:tcPr>
            <w:tcW w:w="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Stock That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Stock That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Have Not</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That Have Not</w:t>
            </w:r>
          </w:p>
        </w:tc>
      </w:tr>
      <w:tr>
        <w:trPr>
          <w:trHeight w:val="197"/>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Options</w:t>
            </w: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Options</w:t>
            </w: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Unearned</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Exercise</w:t>
            </w:r>
          </w:p>
        </w:tc>
        <w:tc>
          <w:tcPr>
            <w:tcW w:w="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Expiration</w:t>
            </w:r>
          </w:p>
        </w:tc>
        <w:tc>
          <w:tcPr>
            <w:tcW w:w="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Have Not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Have Not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Vested</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Vested</w:t>
            </w:r>
          </w:p>
        </w:tc>
      </w:tr>
      <w:tr>
        <w:trPr>
          <w:trHeight w:val="197"/>
        </w:trPr>
        <w:tc>
          <w:tcPr>
            <w:tcW w:w="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Name</w:t>
            </w: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Exercisable</w:t>
            </w: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Unexercisable</w:t>
            </w: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Options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Price</w:t>
            </w:r>
          </w:p>
        </w:tc>
        <w:tc>
          <w:tcPr>
            <w:tcW w:w="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Vested</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Vested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(2)</w:t>
            </w: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M.E. Batten</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2,200</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$11.4688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10/16/08</w:t>
            </w: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M.E. Batten</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6,800</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$13.00</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8/10/08</w:t>
            </w: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M.E. Batten</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6,000</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$9.9688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7/30/09</w:t>
            </w: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M.E. Batten</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6,000</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$8.9063</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4"/>
              </w:rPr>
              <w:t>8/4/10</w:t>
            </w: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M.E. Batten</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8,000</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$7.525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8/13/11</w:t>
            </w: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M.E. Batten</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16,000</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$7.225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4"/>
              </w:rPr>
              <w:t>8/2/12</w:t>
            </w: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M.E. Batten</w:t>
            </w: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86,698</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$6,234,453</w:t>
            </w: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C.J. Eperjesy</w:t>
            </w: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42,375</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$3,047,186</w:t>
            </w: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J.E. Feiertag</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3,500</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$7.525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8/12/11</w:t>
            </w: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J.E. Feiertag</w:t>
            </w: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23,375</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$1,680,896</w:t>
            </w: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J.H. Batten</w:t>
            </w: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21,575</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$1,551,458</w:t>
            </w: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H.C. Fabry</w:t>
            </w: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10,925</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$785,617</w:t>
            </w: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269"/>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M.H. Joyce</w:t>
            </w: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12,594</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$905,635</w:t>
            </w:r>
          </w:p>
        </w:tc>
      </w:tr>
      <w:tr>
        <w:trPr>
          <w:trHeight w:val="95"/>
        </w:trPr>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bl>
    <w:p>
      <w:pPr>
        <w:sectPr>
          <w:pgSz w:w="11900" w:h="16838" w:orient="portrait"/>
          <w:cols w:equalWidth="0" w:num="1">
            <w:col w:w="11320"/>
          </w:cols>
          <w:pgMar w:left="220" w:top="180" w:right="359" w:bottom="277" w:gutter="0" w:footer="0" w:header="0"/>
        </w:sectPr>
      </w:pPr>
    </w:p>
    <w:bookmarkStart w:id="12" w:name="page13"/>
    <w:bookmarkEnd w:id="12"/>
    <w:p>
      <w:pPr>
        <w:spacing w:after="0" w:line="9" w:lineRule="exact"/>
        <w:rPr>
          <w:sz w:val="20"/>
          <w:szCs w:val="20"/>
          <w:color w:val="auto"/>
        </w:rPr>
      </w:pPr>
    </w:p>
    <w:p>
      <w:pPr>
        <w:ind w:firstLine="3"/>
        <w:spacing w:after="0" w:line="267" w:lineRule="auto"/>
        <w:tabs>
          <w:tab w:leader="none" w:pos="19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number of non-vested restricted stock awards, performance stock awards and performance stock unit awards which are scheduled to vest at various times between August 2007 through June 2009. For those awards with Threshold/Target/Maximum payout levels, the figures presented assume the Target level as the Threshold has been achieved in the prior fiscal year.</w:t>
      </w:r>
    </w:p>
    <w:p>
      <w:pPr>
        <w:spacing w:after="0" w:line="140"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closing price of the Company’s Common Stock as of June 30, 2007.</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 Exercises and Stock Vested</w:t>
      </w:r>
    </w:p>
    <w:p>
      <w:pPr>
        <w:spacing w:after="0" w:line="173"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4"/>
          <w:szCs w:val="14"/>
          <w:color w:val="auto"/>
        </w:rPr>
        <w:t>The following table sets forth information regarding each exercise of stock options and vesting of restricted stock and performance stock that occurred during fiscal 2007 for each of our Named Executive Officers.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8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Option Awards</w:t>
            </w:r>
          </w:p>
        </w:tc>
        <w:tc>
          <w:tcPr>
            <w:tcW w:w="20" w:type="dxa"/>
            <w:vAlign w:val="bottom"/>
          </w:tcPr>
          <w:p>
            <w:pPr>
              <w:spacing w:after="0"/>
              <w:rPr>
                <w:sz w:val="15"/>
                <w:szCs w:val="15"/>
                <w:color w:val="auto"/>
              </w:rPr>
            </w:pPr>
          </w:p>
        </w:tc>
        <w:tc>
          <w:tcPr>
            <w:tcW w:w="246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Stock Awards</w:t>
            </w:r>
          </w:p>
        </w:tc>
      </w:tr>
      <w:tr>
        <w:trPr>
          <w:trHeight w:val="95"/>
        </w:trPr>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269"/>
        </w:trPr>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Number of Shares</w:t>
            </w: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197"/>
        </w:trPr>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Acquired on</w:t>
            </w: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Value Realized on</w:t>
            </w:r>
          </w:p>
        </w:tc>
        <w:tc>
          <w:tcPr>
            <w:tcW w:w="20" w:type="dxa"/>
            <w:vAlign w:val="bottom"/>
          </w:tcPr>
          <w:p>
            <w:pPr>
              <w:spacing w:after="0"/>
              <w:rPr>
                <w:sz w:val="17"/>
                <w:szCs w:val="17"/>
                <w:color w:val="auto"/>
              </w:rPr>
            </w:pPr>
          </w:p>
        </w:tc>
        <w:tc>
          <w:tcPr>
            <w:tcW w:w="1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Number of Shares</w:t>
            </w: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Value Realized on</w:t>
            </w:r>
          </w:p>
        </w:tc>
      </w:tr>
      <w:tr>
        <w:trPr>
          <w:trHeight w:val="197"/>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Exercise</w:t>
            </w: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Exercise</w:t>
            </w:r>
          </w:p>
        </w:tc>
        <w:tc>
          <w:tcPr>
            <w:tcW w:w="20" w:type="dxa"/>
            <w:vAlign w:val="bottom"/>
          </w:tcPr>
          <w:p>
            <w:pPr>
              <w:spacing w:after="0"/>
              <w:rPr>
                <w:sz w:val="17"/>
                <w:szCs w:val="17"/>
                <w:color w:val="auto"/>
              </w:rPr>
            </w:pPr>
          </w:p>
        </w:tc>
        <w:tc>
          <w:tcPr>
            <w:tcW w:w="140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5"/>
              </w:rPr>
              <w:t>Acquired on Vesting</w:t>
            </w:r>
          </w:p>
        </w:tc>
        <w:tc>
          <w:tcPr>
            <w:tcW w:w="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Vesting (5)</w:t>
            </w:r>
          </w:p>
        </w:tc>
      </w:tr>
      <w:tr>
        <w:trPr>
          <w:trHeight w:val="95"/>
        </w:trPr>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M.E. Batten</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9,000 (1)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$227,386 (1)</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r>
      <w:tr>
        <w:trPr>
          <w:trHeight w:val="95"/>
        </w:trPr>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C.J. Eperjesy</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3,000 (4)</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$102,720</w:t>
            </w:r>
          </w:p>
        </w:tc>
      </w:tr>
      <w:tr>
        <w:trPr>
          <w:trHeight w:val="95"/>
        </w:trPr>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J.E. Feiertag</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3,000 (2)</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4"/>
              </w:rPr>
              <w:t>$85,665 (2)</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r>
      <w:tr>
        <w:trPr>
          <w:trHeight w:val="95"/>
        </w:trPr>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J.H. Batten</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r>
      <w:tr>
        <w:trPr>
          <w:trHeight w:val="95"/>
        </w:trPr>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H.C. Fabry</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1,800 (3)</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4"/>
              </w:rPr>
              <w:t>$33,239 (3)</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r>
      <w:tr>
        <w:trPr>
          <w:trHeight w:val="95"/>
        </w:trPr>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269"/>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M.H. Joyce</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r>
      <w:tr>
        <w:trPr>
          <w:trHeight w:val="95"/>
        </w:trPr>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bl>
    <w:p>
      <w:pPr>
        <w:spacing w:after="0" w:line="281" w:lineRule="exact"/>
        <w:rPr>
          <w:sz w:val="20"/>
          <w:szCs w:val="20"/>
          <w:color w:val="auto"/>
        </w:rPr>
      </w:pPr>
    </w:p>
    <w:p>
      <w:pPr>
        <w:ind w:left="380" w:hanging="377"/>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exercise in fiscal 2007 of options originally granted in 1997 and is calculated using the per share closing price of the Company’s Common Stock on the date of exercise.</w:t>
      </w:r>
    </w:p>
    <w:p>
      <w:pPr>
        <w:spacing w:after="0" w:line="213" w:lineRule="exact"/>
        <w:rPr>
          <w:rFonts w:ascii="Times New Roman" w:cs="Times New Roman" w:eastAsia="Times New Roman" w:hAnsi="Times New Roman"/>
          <w:sz w:val="14"/>
          <w:szCs w:val="14"/>
          <w:color w:val="auto"/>
        </w:rPr>
      </w:pPr>
    </w:p>
    <w:p>
      <w:pPr>
        <w:ind w:left="380" w:hanging="377"/>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exercise in fiscal 2007 of options originally granted in 2001 and is calculated using the per share closing price of the Company’s Common Stock on the date of exercise.</w:t>
      </w:r>
    </w:p>
    <w:p>
      <w:pPr>
        <w:spacing w:after="0" w:line="213" w:lineRule="exact"/>
        <w:rPr>
          <w:rFonts w:ascii="Times New Roman" w:cs="Times New Roman" w:eastAsia="Times New Roman" w:hAnsi="Times New Roman"/>
          <w:sz w:val="14"/>
          <w:szCs w:val="14"/>
          <w:color w:val="auto"/>
        </w:rPr>
      </w:pPr>
    </w:p>
    <w:p>
      <w:pPr>
        <w:ind w:left="380" w:hanging="377"/>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exercise in fiscal 2007 of options originally granted in 1997 and 1998 and is calculated using the per share price of the Company’s Common Stock on the date of exercise.</w:t>
      </w:r>
    </w:p>
    <w:p>
      <w:pPr>
        <w:spacing w:after="0" w:line="213" w:lineRule="exact"/>
        <w:rPr>
          <w:rFonts w:ascii="Times New Roman" w:cs="Times New Roman" w:eastAsia="Times New Roman" w:hAnsi="Times New Roman"/>
          <w:sz w:val="14"/>
          <w:szCs w:val="14"/>
          <w:color w:val="auto"/>
        </w:rPr>
      </w:pPr>
    </w:p>
    <w:p>
      <w:pPr>
        <w:ind w:left="380" w:hanging="377"/>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vesting of restricted shares originally granted in 2004.</w:t>
      </w:r>
    </w:p>
    <w:p>
      <w:pPr>
        <w:spacing w:after="0" w:line="213" w:lineRule="exact"/>
        <w:rPr>
          <w:rFonts w:ascii="Times New Roman" w:cs="Times New Roman" w:eastAsia="Times New Roman" w:hAnsi="Times New Roman"/>
          <w:sz w:val="14"/>
          <w:szCs w:val="14"/>
          <w:color w:val="auto"/>
        </w:rPr>
      </w:pPr>
    </w:p>
    <w:p>
      <w:pPr>
        <w:ind w:left="380" w:hanging="377"/>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closing price of the Company’s Common Stock on the date of vesting (10/15/2006).</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Pension Benefits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actuarial present value of each Named Executive Officer’s accumulated benefits as of June 30, 2007 under our pension plan and supplemental executive retirement plan.</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7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Number of</w:t>
            </w: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Present Value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Payments</w:t>
            </w:r>
          </w:p>
        </w:tc>
      </w:tr>
      <w:tr>
        <w:trPr>
          <w:trHeight w:val="197"/>
        </w:trPr>
        <w:tc>
          <w:tcPr>
            <w:tcW w:w="7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Years of</w:t>
            </w: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During Last</w:t>
            </w:r>
          </w:p>
        </w:tc>
      </w:tr>
      <w:tr>
        <w:trPr>
          <w:trHeight w:val="197"/>
        </w:trPr>
        <w:tc>
          <w:tcPr>
            <w:tcW w:w="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Name</w:t>
            </w:r>
          </w:p>
        </w:tc>
        <w:tc>
          <w:tcPr>
            <w:tcW w:w="25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Plan Name (1)</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Credited Service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Benefits(1)</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Fiscal Year</w:t>
            </w:r>
          </w:p>
        </w:tc>
      </w:tr>
      <w:tr>
        <w:trPr>
          <w:trHeight w:val="95"/>
        </w:trPr>
        <w:tc>
          <w:tcPr>
            <w:tcW w:w="760" w:type="dxa"/>
            <w:vAlign w:val="bottom"/>
            <w:tcBorders>
              <w:bottom w:val="single" w:sz="8" w:color="808080"/>
            </w:tcBorders>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269"/>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M.E. Batten</w:t>
            </w: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Retirement Plan for Salaried Employees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$1,016,935</w:t>
            </w:r>
          </w:p>
        </w:tc>
        <w:tc>
          <w:tcPr>
            <w:tcW w:w="780" w:type="dxa"/>
            <w:vAlign w:val="bottom"/>
          </w:tcPr>
          <w:p>
            <w:pPr>
              <w:spacing w:after="0"/>
              <w:rPr>
                <w:sz w:val="23"/>
                <w:szCs w:val="23"/>
                <w:color w:val="auto"/>
              </w:rPr>
            </w:pPr>
          </w:p>
        </w:tc>
      </w:tr>
      <w:tr>
        <w:trPr>
          <w:trHeight w:val="197"/>
        </w:trPr>
        <w:tc>
          <w:tcPr>
            <w:tcW w:w="76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Executive Retirement Plan</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$1,806,775</w:t>
            </w:r>
          </w:p>
        </w:tc>
        <w:tc>
          <w:tcPr>
            <w:tcW w:w="780" w:type="dxa"/>
            <w:vAlign w:val="bottom"/>
          </w:tcPr>
          <w:p>
            <w:pPr>
              <w:spacing w:after="0"/>
              <w:rPr>
                <w:sz w:val="17"/>
                <w:szCs w:val="17"/>
                <w:color w:val="auto"/>
              </w:rPr>
            </w:pPr>
          </w:p>
        </w:tc>
      </w:tr>
      <w:tr>
        <w:trPr>
          <w:trHeight w:val="101"/>
        </w:trPr>
        <w:tc>
          <w:tcPr>
            <w:tcW w:w="3260" w:type="dxa"/>
            <w:vAlign w:val="bottom"/>
            <w:tcBorders>
              <w:bottom w:val="single" w:sz="8" w:color="808080"/>
            </w:tcBorders>
            <w:gridSpan w:val="2"/>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472"/>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C.J. Eperjesy Retirement Plan for Salaried Employees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$41,119</w:t>
            </w:r>
          </w:p>
        </w:tc>
        <w:tc>
          <w:tcPr>
            <w:tcW w:w="780" w:type="dxa"/>
            <w:vAlign w:val="bottom"/>
          </w:tcPr>
          <w:p>
            <w:pPr>
              <w:spacing w:after="0"/>
              <w:rPr>
                <w:sz w:val="24"/>
                <w:szCs w:val="24"/>
                <w:color w:val="auto"/>
              </w:rPr>
            </w:pPr>
          </w:p>
        </w:tc>
      </w:tr>
      <w:tr>
        <w:trPr>
          <w:trHeight w:val="197"/>
        </w:trPr>
        <w:tc>
          <w:tcPr>
            <w:tcW w:w="76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Executive Retirement Plan</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$16,927</w:t>
            </w:r>
          </w:p>
        </w:tc>
        <w:tc>
          <w:tcPr>
            <w:tcW w:w="780" w:type="dxa"/>
            <w:vAlign w:val="bottom"/>
          </w:tcPr>
          <w:p>
            <w:pPr>
              <w:spacing w:after="0"/>
              <w:rPr>
                <w:sz w:val="17"/>
                <w:szCs w:val="17"/>
                <w:color w:val="auto"/>
              </w:rPr>
            </w:pPr>
          </w:p>
        </w:tc>
      </w:tr>
      <w:tr>
        <w:trPr>
          <w:trHeight w:val="101"/>
        </w:trPr>
        <w:tc>
          <w:tcPr>
            <w:tcW w:w="760" w:type="dxa"/>
            <w:vAlign w:val="bottom"/>
            <w:tcBorders>
              <w:bottom w:val="single" w:sz="8" w:color="808080"/>
            </w:tcBorders>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47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J.E. Feiertag</w:t>
            </w: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Retirement Plan for Salaried Employees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$63,746</w:t>
            </w:r>
          </w:p>
        </w:tc>
        <w:tc>
          <w:tcPr>
            <w:tcW w:w="780" w:type="dxa"/>
            <w:vAlign w:val="bottom"/>
          </w:tcPr>
          <w:p>
            <w:pPr>
              <w:spacing w:after="0"/>
              <w:rPr>
                <w:sz w:val="24"/>
                <w:szCs w:val="24"/>
                <w:color w:val="auto"/>
              </w:rPr>
            </w:pPr>
          </w:p>
        </w:tc>
      </w:tr>
      <w:tr>
        <w:trPr>
          <w:trHeight w:val="197"/>
        </w:trPr>
        <w:tc>
          <w:tcPr>
            <w:tcW w:w="76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Executive Retirement Plan</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$28,269</w:t>
            </w:r>
          </w:p>
        </w:tc>
        <w:tc>
          <w:tcPr>
            <w:tcW w:w="780" w:type="dxa"/>
            <w:vAlign w:val="bottom"/>
          </w:tcPr>
          <w:p>
            <w:pPr>
              <w:spacing w:after="0"/>
              <w:rPr>
                <w:sz w:val="17"/>
                <w:szCs w:val="17"/>
                <w:color w:val="auto"/>
              </w:rPr>
            </w:pPr>
          </w:p>
        </w:tc>
      </w:tr>
      <w:tr>
        <w:trPr>
          <w:trHeight w:val="101"/>
        </w:trPr>
        <w:tc>
          <w:tcPr>
            <w:tcW w:w="760" w:type="dxa"/>
            <w:vAlign w:val="bottom"/>
            <w:tcBorders>
              <w:bottom w:val="single" w:sz="8" w:color="808080"/>
            </w:tcBorders>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47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J.H. Batten</w:t>
            </w: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Retirement Plan for Salaried Employees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$63,740</w:t>
            </w:r>
          </w:p>
        </w:tc>
        <w:tc>
          <w:tcPr>
            <w:tcW w:w="780" w:type="dxa"/>
            <w:vAlign w:val="bottom"/>
          </w:tcPr>
          <w:p>
            <w:pPr>
              <w:spacing w:after="0"/>
              <w:rPr>
                <w:sz w:val="24"/>
                <w:szCs w:val="24"/>
                <w:color w:val="auto"/>
              </w:rPr>
            </w:pPr>
          </w:p>
        </w:tc>
      </w:tr>
      <w:tr>
        <w:trPr>
          <w:trHeight w:val="197"/>
        </w:trPr>
        <w:tc>
          <w:tcPr>
            <w:tcW w:w="76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Executive Retirement Plan</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$8,021</w:t>
            </w:r>
          </w:p>
        </w:tc>
        <w:tc>
          <w:tcPr>
            <w:tcW w:w="780" w:type="dxa"/>
            <w:vAlign w:val="bottom"/>
          </w:tcPr>
          <w:p>
            <w:pPr>
              <w:spacing w:after="0"/>
              <w:rPr>
                <w:sz w:val="17"/>
                <w:szCs w:val="17"/>
                <w:color w:val="auto"/>
              </w:rPr>
            </w:pPr>
          </w:p>
        </w:tc>
      </w:tr>
      <w:tr>
        <w:trPr>
          <w:trHeight w:val="101"/>
        </w:trPr>
        <w:tc>
          <w:tcPr>
            <w:tcW w:w="760" w:type="dxa"/>
            <w:vAlign w:val="bottom"/>
            <w:tcBorders>
              <w:bottom w:val="single" w:sz="8" w:color="808080"/>
            </w:tcBorders>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47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H.C. Fabry</w:t>
            </w: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Wintherthur-Europe Assurances – Group</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$171,287 (2)</w:t>
            </w:r>
          </w:p>
        </w:tc>
        <w:tc>
          <w:tcPr>
            <w:tcW w:w="780" w:type="dxa"/>
            <w:vAlign w:val="bottom"/>
          </w:tcPr>
          <w:p>
            <w:pPr>
              <w:spacing w:after="0"/>
              <w:rPr>
                <w:sz w:val="24"/>
                <w:szCs w:val="24"/>
                <w:color w:val="auto"/>
              </w:rPr>
            </w:pPr>
          </w:p>
        </w:tc>
      </w:tr>
      <w:tr>
        <w:trPr>
          <w:trHeight w:val="197"/>
        </w:trPr>
        <w:tc>
          <w:tcPr>
            <w:tcW w:w="76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Annuity Plan</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01"/>
        </w:trPr>
        <w:tc>
          <w:tcPr>
            <w:tcW w:w="760" w:type="dxa"/>
            <w:vAlign w:val="bottom"/>
            <w:tcBorders>
              <w:bottom w:val="single" w:sz="8" w:color="808080"/>
            </w:tcBorders>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47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M.H. Joyce</w:t>
            </w: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Retirement Plan for Salaried Employees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$260,444</w:t>
            </w:r>
          </w:p>
        </w:tc>
        <w:tc>
          <w:tcPr>
            <w:tcW w:w="780" w:type="dxa"/>
            <w:vAlign w:val="bottom"/>
          </w:tcPr>
          <w:p>
            <w:pPr>
              <w:spacing w:after="0"/>
              <w:rPr>
                <w:sz w:val="24"/>
                <w:szCs w:val="24"/>
                <w:color w:val="auto"/>
              </w:rPr>
            </w:pPr>
          </w:p>
        </w:tc>
      </w:tr>
      <w:tr>
        <w:trPr>
          <w:trHeight w:val="197"/>
        </w:trPr>
        <w:tc>
          <w:tcPr>
            <w:tcW w:w="76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Executive Retirement Plan</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$634,506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$500,000</w:t>
            </w:r>
          </w:p>
        </w:tc>
      </w:tr>
      <w:tr>
        <w:trPr>
          <w:trHeight w:val="95"/>
        </w:trPr>
        <w:tc>
          <w:tcPr>
            <w:tcW w:w="760" w:type="dxa"/>
            <w:vAlign w:val="bottom"/>
            <w:tcBorders>
              <w:bottom w:val="single" w:sz="8" w:color="808080"/>
            </w:tcBorders>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-2510155</wp:posOffset>
            </wp:positionV>
            <wp:extent cx="404431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44315"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-2008505</wp:posOffset>
            </wp:positionV>
            <wp:extent cx="404431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44315"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-1506855</wp:posOffset>
            </wp:positionV>
            <wp:extent cx="404431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44315"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-1005840</wp:posOffset>
            </wp:positionV>
            <wp:extent cx="404431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44315"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-504190</wp:posOffset>
            </wp:positionV>
            <wp:extent cx="404431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44315" cy="635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ind w:right="120" w:firstLine="338"/>
        <w:spacing w:after="0" w:line="257" w:lineRule="auto"/>
        <w:rPr>
          <w:sz w:val="20"/>
          <w:szCs w:val="20"/>
          <w:color w:val="auto"/>
        </w:rPr>
      </w:pPr>
      <w:r>
        <w:rPr>
          <w:rFonts w:ascii="Times New Roman" w:cs="Times New Roman" w:eastAsia="Times New Roman" w:hAnsi="Times New Roman"/>
          <w:sz w:val="14"/>
          <w:szCs w:val="14"/>
          <w:color w:val="auto"/>
        </w:rPr>
        <w:t>(1) Key assumptions in calculating the present value of the qualified retirement plan for Messrs. Batten and Joyce assume a 6% discount rate, with their retirement age assumed to be their current age. For Messrs. Eperjesy, Feiertag, and J. Batten, the key assumptions include a 6% discount rate and a retirement age of 65. No mortality assumption was used prior to retirement. After retirement, the mortality assumption is the 1994 Uninsured Pensioner Mortality Table.</w:t>
      </w:r>
    </w:p>
    <w:p>
      <w:pPr>
        <w:spacing w:after="0" w:line="148" w:lineRule="exact"/>
        <w:rPr>
          <w:sz w:val="20"/>
          <w:szCs w:val="20"/>
          <w:color w:val="auto"/>
        </w:rPr>
      </w:pPr>
    </w:p>
    <w:p>
      <w:pPr>
        <w:ind w:right="80" w:firstLine="169"/>
        <w:spacing w:after="0" w:line="320" w:lineRule="auto"/>
        <w:rPr>
          <w:sz w:val="20"/>
          <w:szCs w:val="20"/>
          <w:color w:val="auto"/>
        </w:rPr>
      </w:pPr>
      <w:r>
        <w:rPr>
          <w:rFonts w:ascii="Times New Roman" w:cs="Times New Roman" w:eastAsia="Times New Roman" w:hAnsi="Times New Roman"/>
          <w:sz w:val="12"/>
          <w:szCs w:val="12"/>
          <w:color w:val="auto"/>
        </w:rPr>
        <w:t>The following key assumptions were made in calculating the present value of the Supplemental Executive Retirement Plan. For Mr. M. Batten, the values are calculated as pursuant to the terms of the Plan document. No assumptions as to future events are required. For Mr. Joyce, the numbers shown are already in pay status, therefore no assumptions as to future events are required. For Messrs. Eperjesy, Feiertag and J. Batten, current account balances are projected to the assumed retirement age of 65, utilizing an 8% discount rate and a 7% accumulation rate. No pre-retirement termination or mortality has been assumed.</w:t>
      </w:r>
    </w:p>
    <w:p>
      <w:pPr>
        <w:spacing w:after="0" w:line="113" w:lineRule="exact"/>
        <w:rPr>
          <w:sz w:val="20"/>
          <w:szCs w:val="20"/>
          <w:color w:val="auto"/>
        </w:rPr>
      </w:pPr>
    </w:p>
    <w:p>
      <w:pPr>
        <w:ind w:right="140" w:firstLine="206"/>
        <w:spacing w:after="0" w:line="267" w:lineRule="auto"/>
        <w:tabs>
          <w:tab w:leader="none" w:pos="39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value Mr. Fabry’s benefit was denominated in Euro and translated to dollars at the average exchange rate for fiscal 2007 of 1.30573. The mortality table, discount rate, and accumulation rate used are those defined by legal requirements.</w:t>
      </w:r>
    </w:p>
    <w:p>
      <w:pPr>
        <w:sectPr>
          <w:pgSz w:w="11900" w:h="16847" w:orient="portrait"/>
          <w:cols w:equalWidth="0" w:num="1">
            <w:col w:w="11440"/>
          </w:cols>
          <w:pgMar w:left="220" w:top="130" w:right="239" w:bottom="0" w:gutter="0" w:footer="0" w:header="0"/>
        </w:sectPr>
      </w:pPr>
    </w:p>
    <w:bookmarkStart w:id="13" w:name="page14"/>
    <w:bookmarkEnd w:id="13"/>
    <w:p>
      <w:pPr>
        <w:jc w:val="both"/>
        <w:spacing w:after="0" w:line="257" w:lineRule="auto"/>
        <w:rPr>
          <w:sz w:val="20"/>
          <w:szCs w:val="20"/>
          <w:color w:val="auto"/>
        </w:rPr>
      </w:pPr>
      <w:r>
        <w:rPr>
          <w:rFonts w:ascii="Times New Roman" w:cs="Times New Roman" w:eastAsia="Times New Roman" w:hAnsi="Times New Roman"/>
          <w:sz w:val="14"/>
          <w:szCs w:val="14"/>
          <w:color w:val="auto"/>
        </w:rPr>
        <w:t>All full-time salaried employees employed before October 1, 2003 are eligible to participate in the Twin Disc, Incorporated Retirement Plan for Salaried Employees. Eligibility for retirement occurs upon reaching one of the following age and service requirements: a) Age 65 with 5 years of service; b) Age 60 with 10 years of service; c) 30 years of service at any age; or d) age plus service equals 85 points. Currently Mr. M. Batten is the only US-based Named Executive Officer eligible for retirement.</w:t>
      </w:r>
    </w:p>
    <w:p>
      <w:pPr>
        <w:spacing w:after="0" w:line="14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Prior to January 1, 1997 pension plan benefits were based upon both years of service and the employees’ highest consecutive 5-year average annual compensation during the last 10 calendar years of service. As of December 31, 1996, the then-current accrued benefits under the plan were frozen and the plan was amended to provide for future accruals under a cash-balance program. Mr. M. Batten is the only Named Executive Officer with a benefit under both the frozen plan formula and the cash balance program.</w:t>
      </w:r>
    </w:p>
    <w:p>
      <w:pPr>
        <w:spacing w:after="0" w:line="148"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4"/>
          <w:szCs w:val="14"/>
          <w:color w:val="auto"/>
        </w:rPr>
        <w:t>The definition of compensation for purposes of calculating the pension benefit includes W-2 income, excluding any expense reimbursements or taxable fringe benefits, and is limited by the IRS maximum compensation as determined each year. In calendar 2006, that annual amount was $220,000.</w:t>
      </w:r>
    </w:p>
    <w:p>
      <w:pPr>
        <w:spacing w:after="0" w:line="1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Benefits under the frozen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4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4"/>
          <w:szCs w:val="14"/>
          <w:color w:val="auto"/>
        </w:rPr>
        <w:t>The Supplemental Executive Retirement Plan (SERP) is available to qualified Named US Executive Officers. For those who became participants after January 1, 1998 (including Mr. Feiertag, Mr. J. Batten and Mr. Eperjesy) the supplemental retirement benefit is calculated as the additional benefit that the participant would have received at retirement under the Company’s qualified defined benefit plan, but for the limitation on compensation used in determining benefits under the defined benefit plan.</w:t>
      </w:r>
    </w:p>
    <w:p>
      <w:pPr>
        <w:spacing w:after="0" w:line="14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2"/>
          <w:szCs w:val="12"/>
          <w:color w:val="auto"/>
        </w:rPr>
        <w:t>For those who were participants in the plan before January 1, 1998 (only Mr. M. Batten), the supplemental retirement benefit is calculated as an annual benefit approximating 50% of highest rate of pay attained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a specified period, minus amounts accrued under the Company’s qualified defined benefit plan. The plan also preserved the level of benefits that had accrued prior to 1998.</w:t>
      </w:r>
    </w:p>
    <w:p>
      <w:pPr>
        <w:spacing w:after="0" w:line="172"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4"/>
          <w:szCs w:val="14"/>
          <w:color w:val="auto"/>
        </w:rPr>
        <w:t>Any benefits payable under this Plan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and the second payment to be made on February 1 of the following year. The two payments shall be the Actuarial Equivalent of the annual benefit calculated under the single life annuity form.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event that the participant is a “key employee” as defined in Section 409A of the Internal Revenue Code, the first payment will not be made sooner than six months after the participant’s termination.</w:t>
      </w:r>
    </w:p>
    <w:p>
      <w:pPr>
        <w:spacing w:after="0" w:line="17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If each of the two lump sum payments exceed $500,000, each payment shall be limited to $500,000 each with additional payments (also limited to $500,000 each) to be made on each subsequent February 1 until the balance is paid.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Nonqualified Defined Contribution and Other Nonqualified Deferred Compensation Plans</w:t>
      </w:r>
    </w:p>
    <w:p>
      <w:pPr>
        <w:spacing w:after="0" w:line="17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The Company does not maintain any nonqualified defined contribution deferred compensation plans, or any other type of non-actuarial plans that provide for the deferral of compensation on a basis that is not tax-qualified.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Payments Upon Termination or Change in Control</w:t>
      </w:r>
    </w:p>
    <w:p>
      <w:pPr>
        <w:spacing w:after="0" w:line="17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4"/>
          <w:szCs w:val="14"/>
          <w:color w:val="auto"/>
        </w:rPr>
        <w:t>The following information and tables set forth the amount of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37" w:lineRule="exact"/>
        <w:rPr>
          <w:sz w:val="20"/>
          <w:szCs w:val="20"/>
          <w:color w:val="auto"/>
        </w:rPr>
      </w:pPr>
    </w:p>
    <w:p>
      <w:pPr>
        <w:ind w:left="420" w:right="300" w:hanging="248"/>
        <w:spacing w:after="0" w:line="273" w:lineRule="auto"/>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Normal or Early Retirement</w:t>
      </w:r>
      <w:r>
        <w:rPr>
          <w:rFonts w:ascii="Times New Roman" w:cs="Times New Roman" w:eastAsia="Times New Roman" w:hAnsi="Times New Roman"/>
          <w:sz w:val="14"/>
          <w:szCs w:val="14"/>
          <w:color w:val="auto"/>
        </w:rPr>
        <w:t>. The normal retirement age for US-based employees, including the Named Executive Officers, is 65. All full-time salaried employees employed before October 1, 2003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participate in the Twin Disc, Incorporated Retirement Plan for Salaried Employees.</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Eligibility for retirement occurs upon reaching one of the following age and service requirements: a) Age 65 with 5 years of service; b) Age 60 with 10 years of service; c) 30 years of service at any age; or</w:t>
      </w:r>
    </w:p>
    <w:p>
      <w:pPr>
        <w:spacing w:after="0" w:line="36" w:lineRule="exact"/>
        <w:rPr>
          <w:sz w:val="20"/>
          <w:szCs w:val="20"/>
          <w:color w:val="auto"/>
        </w:rPr>
      </w:pPr>
    </w:p>
    <w:p>
      <w:pPr>
        <w:ind w:left="420" w:right="60" w:hanging="1"/>
        <w:spacing w:after="0" w:line="255" w:lineRule="auto"/>
        <w:tabs>
          <w:tab w:leader="none" w:pos="56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age plus service equals 85 points. Currently Mr. M. Batten is the only US-based Named Executive Officer eligible for retirement. Mr. Fabry is also eligible for retirement under the Belgian subsidiary’s pension plan.</w:t>
      </w:r>
    </w:p>
    <w:p>
      <w:pPr>
        <w:spacing w:after="0" w:line="169" w:lineRule="exact"/>
        <w:rPr>
          <w:sz w:val="20"/>
          <w:szCs w:val="20"/>
          <w:color w:val="auto"/>
        </w:rPr>
      </w:pPr>
    </w:p>
    <w:p>
      <w:pPr>
        <w:ind w:left="420" w:right="560"/>
        <w:spacing w:after="0" w:line="267" w:lineRule="auto"/>
        <w:rPr>
          <w:sz w:val="20"/>
          <w:szCs w:val="20"/>
          <w:color w:val="auto"/>
        </w:rPr>
      </w:pPr>
      <w:r>
        <w:rPr>
          <w:rFonts w:ascii="Times New Roman" w:cs="Times New Roman" w:eastAsia="Times New Roman" w:hAnsi="Times New Roman"/>
          <w:sz w:val="14"/>
          <w:szCs w:val="14"/>
          <w:color w:val="auto"/>
        </w:rPr>
        <w:t>Medical benefits are only available to Twin Disc retirees hired before October 1, 2003 and who are not yet Medicare-eligible. Eligibility for retiree medical benefits ends upon reaching Medicare eligibility.</w:t>
      </w:r>
    </w:p>
    <w:p>
      <w:pPr>
        <w:spacing w:after="0" w:line="161" w:lineRule="exact"/>
        <w:rPr>
          <w:sz w:val="20"/>
          <w:szCs w:val="20"/>
          <w:color w:val="auto"/>
        </w:rPr>
      </w:pPr>
    </w:p>
    <w:p>
      <w:pPr>
        <w:ind w:left="420" w:right="240"/>
        <w:spacing w:after="0" w:line="267" w:lineRule="auto"/>
        <w:rPr>
          <w:sz w:val="20"/>
          <w:szCs w:val="20"/>
          <w:color w:val="auto"/>
        </w:rPr>
      </w:pPr>
      <w:r>
        <w:rPr>
          <w:rFonts w:ascii="Times New Roman" w:cs="Times New Roman" w:eastAsia="Times New Roman" w:hAnsi="Times New Roman"/>
          <w:sz w:val="14"/>
          <w:szCs w:val="14"/>
          <w:color w:val="auto"/>
        </w:rPr>
        <w:t>Performance stock and performance stock units will be paid after the end of the relevant performance period, but only if the performance objective is achieved. The stock or units are prorated based on actual employment during the three year period between the effective date of the performance agreement and the end of the performance period.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2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Stock options must be exercised within 30 days of termination or they expire.</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 Supplemental Executive Retirement Plan (SERP) is available for US based Named Executive Officers who qualify for a retirement benefit under the Company’s pension plans.</w:t>
      </w:r>
    </w:p>
    <w:p>
      <w:pPr>
        <w:spacing w:after="0" w:line="199" w:lineRule="exact"/>
        <w:rPr>
          <w:sz w:val="20"/>
          <w:szCs w:val="20"/>
          <w:color w:val="auto"/>
        </w:rPr>
      </w:pPr>
    </w:p>
    <w:p>
      <w:pPr>
        <w:ind w:left="420" w:right="500" w:hanging="248"/>
        <w:spacing w:after="0" w:line="273" w:lineRule="auto"/>
        <w:tabs>
          <w:tab w:leader="none" w:pos="4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Death while Employed</w:t>
      </w:r>
      <w:r>
        <w:rPr>
          <w:rFonts w:ascii="Times New Roman" w:cs="Times New Roman" w:eastAsia="Times New Roman" w:hAnsi="Times New Roman"/>
          <w:sz w:val="14"/>
          <w:szCs w:val="14"/>
          <w:color w:val="auto"/>
        </w:rPr>
        <w:t>. In the event of death of a Named Executive Officer while actively employed, the executive’s estate would receive payment for any base salary earned, but not yet paid.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addition, any vacation accrual not used would also be paid to the estate.</w:t>
      </w:r>
    </w:p>
    <w:p>
      <w:pPr>
        <w:spacing w:after="0" w:line="167"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vests and becomes payable per the terms of the individual grant agreement. The estate would receive the payment.</w:t>
      </w:r>
    </w:p>
    <w:p>
      <w:pPr>
        <w:spacing w:after="0" w:line="202" w:lineRule="exact"/>
        <w:rPr>
          <w:rFonts w:ascii="Times New Roman" w:cs="Times New Roman" w:eastAsia="Times New Roman" w:hAnsi="Times New Roman"/>
          <w:sz w:val="14"/>
          <w:szCs w:val="14"/>
          <w:color w:val="auto"/>
        </w:rPr>
      </w:pPr>
    </w:p>
    <w:p>
      <w:pPr>
        <w:ind w:left="420" w:right="24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stock and performance stock units will be paid after the end of the relevant performance period, but only if the performance objective is achieved. The stock or units are prorated based on actual employment during the three year period between the effective date of the performance agreement and the end of the performance period.</w:t>
      </w:r>
    </w:p>
    <w:p>
      <w:pPr>
        <w:spacing w:after="0" w:line="171"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will fully vest and may pass to the estate, or as directed by a will, and must be exercised within one year from date of death.</w:t>
      </w:r>
    </w:p>
    <w:p>
      <w:pPr>
        <w:spacing w:after="0" w:line="198" w:lineRule="exact"/>
        <w:rPr>
          <w:rFonts w:ascii="Times New Roman" w:cs="Times New Roman" w:eastAsia="Times New Roman" w:hAnsi="Times New Roman"/>
          <w:sz w:val="14"/>
          <w:szCs w:val="14"/>
          <w:color w:val="auto"/>
        </w:rPr>
      </w:pPr>
    </w:p>
    <w:p>
      <w:pPr>
        <w:ind w:left="420" w:right="420" w:hanging="248"/>
        <w:spacing w:after="0" w:line="273" w:lineRule="auto"/>
        <w:tabs>
          <w:tab w:leader="none" w:pos="4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Disability</w:t>
      </w:r>
      <w:r>
        <w:rPr>
          <w:rFonts w:ascii="Times New Roman" w:cs="Times New Roman" w:eastAsia="Times New Roman" w:hAnsi="Times New Roman"/>
          <w:sz w:val="14"/>
          <w:szCs w:val="14"/>
          <w:color w:val="auto"/>
        </w:rPr>
        <w:t>. In the event of a disability, the Named Executive Officers would receive benefits under the Company’s short-term and long-term disability plans, generally available to full-time salaried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employees. Benefits are reduced for any social security or pension eligibility.</w:t>
      </w:r>
    </w:p>
    <w:p>
      <w:pPr>
        <w:spacing w:after="0" w:line="167"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vests and becomes payable per the terms of the individual grant agreement.</w:t>
      </w:r>
    </w:p>
    <w:p>
      <w:pPr>
        <w:spacing w:after="0" w:line="202" w:lineRule="exact"/>
        <w:rPr>
          <w:rFonts w:ascii="Times New Roman" w:cs="Times New Roman" w:eastAsia="Times New Roman" w:hAnsi="Times New Roman"/>
          <w:sz w:val="14"/>
          <w:szCs w:val="14"/>
          <w:color w:val="auto"/>
        </w:rPr>
      </w:pPr>
    </w:p>
    <w:p>
      <w:pPr>
        <w:ind w:left="420" w:right="24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stock and performance stock units will be paid after the end of the relevant performance period, but only if the performance objective is achieved. The stock or units are prorated based on actual employment during the three year period between the effective date of the performance agreement and the end of the performance period.</w:t>
      </w:r>
    </w:p>
    <w:p>
      <w:pPr>
        <w:spacing w:after="0" w:line="167" w:lineRule="exact"/>
        <w:rPr>
          <w:rFonts w:ascii="Times New Roman" w:cs="Times New Roman" w:eastAsia="Times New Roman" w:hAnsi="Times New Roman"/>
          <w:sz w:val="14"/>
          <w:szCs w:val="14"/>
          <w:color w:val="auto"/>
        </w:rPr>
      </w:pPr>
    </w:p>
    <w:p>
      <w:pPr>
        <w:ind w:left="420" w:hanging="248"/>
        <w:spacing w:after="0"/>
        <w:tabs>
          <w:tab w:leader="none" w:pos="4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Termination for Cause</w:t>
      </w:r>
      <w:r>
        <w:rPr>
          <w:rFonts w:ascii="Times New Roman" w:cs="Times New Roman" w:eastAsia="Times New Roman" w:hAnsi="Times New Roman"/>
          <w:sz w:val="14"/>
          <w:szCs w:val="14"/>
          <w:color w:val="auto"/>
        </w:rPr>
        <w:t>. An executive is not eligible for any additional benefits at termination, unless the Compensation Committee would determine that severance payments are appropriate.</w:t>
      </w:r>
    </w:p>
    <w:p>
      <w:pPr>
        <w:spacing w:after="0" w:line="213" w:lineRule="exact"/>
        <w:rPr>
          <w:rFonts w:ascii="Times New Roman" w:cs="Times New Roman" w:eastAsia="Times New Roman" w:hAnsi="Times New Roman"/>
          <w:sz w:val="14"/>
          <w:szCs w:val="14"/>
          <w:color w:val="auto"/>
        </w:rPr>
      </w:pPr>
    </w:p>
    <w:p>
      <w:pPr>
        <w:ind w:left="420" w:hanging="28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Voluntary Termination Prior to Retirement</w:t>
      </w:r>
      <w:r>
        <w:rPr>
          <w:rFonts w:ascii="Times New Roman" w:cs="Times New Roman" w:eastAsia="Times New Roman" w:hAnsi="Times New Roman"/>
          <w:sz w:val="12"/>
          <w:szCs w:val="12"/>
          <w:color w:val="auto"/>
        </w:rPr>
        <w:t>. An executive is not entitled to any additional forms of severance payments in the event of a voluntary termination, prior to becoming eligible for retirement.</w:t>
      </w:r>
    </w:p>
    <w:p>
      <w:pPr>
        <w:spacing w:after="0" w:line="225" w:lineRule="exact"/>
        <w:rPr>
          <w:rFonts w:ascii="Times New Roman" w:cs="Times New Roman" w:eastAsia="Times New Roman" w:hAnsi="Times New Roman"/>
          <w:sz w:val="12"/>
          <w:szCs w:val="12"/>
          <w:color w:val="auto"/>
        </w:rPr>
      </w:pPr>
    </w:p>
    <w:p>
      <w:pPr>
        <w:ind w:left="420" w:right="120" w:hanging="282"/>
        <w:spacing w:after="0" w:line="256" w:lineRule="auto"/>
        <w:tabs>
          <w:tab w:leader="none" w:pos="4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Involuntary Termination (or Resignation for Good Cause) Following Change in Control</w:t>
      </w:r>
      <w:r>
        <w:rPr>
          <w:rFonts w:ascii="Times New Roman" w:cs="Times New Roman" w:eastAsia="Times New Roman" w:hAnsi="Times New Roman"/>
          <w:sz w:val="14"/>
          <w:szCs w:val="14"/>
          <w:color w:val="auto"/>
        </w:rPr>
        <w:t>. In July 2005, the Company entered into revised Change in Control Severance Agreements with each of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Named Executive Officers. The agreements provide that, in following a change in control of the corporation (as defined in the agreement) if employment of the executive officer is terminated by the Company for any reason other than "Good Cause," or terminated by the executive for "Good Reason" within 24-months after the change in control occurs, certain benefits would become payable. These include:</w:t>
      </w:r>
    </w:p>
    <w:p>
      <w:pPr>
        <w:spacing w:after="0" w:line="179"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Courier New" w:cs="Courier New" w:eastAsia="Courier New" w:hAnsi="Courier New"/>
          <w:sz w:val="14"/>
          <w:szCs w:val="14"/>
          <w:color w:val="auto"/>
        </w:rPr>
        <w:t xml:space="preserve">o   </w:t>
      </w:r>
      <w:r>
        <w:rPr>
          <w:rFonts w:ascii="Times New Roman" w:cs="Times New Roman" w:eastAsia="Times New Roman" w:hAnsi="Times New Roman"/>
          <w:sz w:val="14"/>
          <w:szCs w:val="14"/>
          <w:color w:val="auto"/>
        </w:rPr>
        <w:t>severance as a multiple of base salary,</w:t>
      </w:r>
    </w:p>
    <w:p>
      <w:pPr>
        <w:spacing w:after="0" w:line="201"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Courier New" w:cs="Courier New" w:eastAsia="Courier New" w:hAnsi="Courier New"/>
          <w:sz w:val="14"/>
          <w:szCs w:val="14"/>
          <w:color w:val="auto"/>
        </w:rPr>
        <w:t xml:space="preserve">o   </w:t>
      </w:r>
      <w:r>
        <w:rPr>
          <w:rFonts w:ascii="Times New Roman" w:cs="Times New Roman" w:eastAsia="Times New Roman" w:hAnsi="Times New Roman"/>
          <w:sz w:val="14"/>
          <w:szCs w:val="14"/>
          <w:color w:val="auto"/>
        </w:rPr>
        <w:t>twenty-four months of benefit continuation,</w:t>
      </w:r>
    </w:p>
    <w:p>
      <w:pPr>
        <w:sectPr>
          <w:pgSz w:w="11900" w:h="16838" w:orient="portrait"/>
          <w:cols w:equalWidth="0" w:num="1">
            <w:col w:w="11460"/>
          </w:cols>
          <w:pgMar w:left="220" w:top="130" w:right="219" w:bottom="0" w:gutter="0" w:footer="0" w:header="0"/>
        </w:sectPr>
      </w:pPr>
    </w:p>
    <w:bookmarkStart w:id="14" w:name="page15"/>
    <w:bookmarkEnd w:id="14"/>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109855</wp:posOffset>
            </wp:positionV>
            <wp:extent cx="729742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262" w:lineRule="exact"/>
        <w:rPr>
          <w:sz w:val="20"/>
          <w:szCs w:val="20"/>
          <w:color w:val="auto"/>
        </w:rPr>
      </w:pPr>
    </w:p>
    <w:p>
      <w:pPr>
        <w:ind w:left="940" w:hanging="288"/>
        <w:spacing w:after="0"/>
        <w:tabs>
          <w:tab w:leader="none" w:pos="940" w:val="left"/>
        </w:tabs>
        <w:numPr>
          <w:ilvl w:val="0"/>
          <w:numId w:val="24"/>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current value of all outstanding stock options, and</w:t>
      </w:r>
    </w:p>
    <w:p>
      <w:pPr>
        <w:spacing w:after="0" w:line="201" w:lineRule="exact"/>
        <w:rPr>
          <w:rFonts w:ascii="Courier New" w:cs="Courier New" w:eastAsia="Courier New" w:hAnsi="Courier New"/>
          <w:sz w:val="14"/>
          <w:szCs w:val="14"/>
          <w:color w:val="auto"/>
        </w:rPr>
      </w:pPr>
    </w:p>
    <w:p>
      <w:pPr>
        <w:ind w:left="940" w:hanging="288"/>
        <w:spacing w:after="0"/>
        <w:tabs>
          <w:tab w:leader="none" w:pos="940" w:val="left"/>
        </w:tabs>
        <w:numPr>
          <w:ilvl w:val="0"/>
          <w:numId w:val="24"/>
        </w:numPr>
        <w:rPr>
          <w:rFonts w:ascii="Courier New" w:cs="Courier New" w:eastAsia="Courier New" w:hAnsi="Courier New"/>
          <w:sz w:val="14"/>
          <w:szCs w:val="14"/>
          <w:color w:val="auto"/>
        </w:rPr>
      </w:pPr>
      <w:r>
        <w:rPr>
          <w:rFonts w:ascii="Times New Roman" w:cs="Times New Roman" w:eastAsia="Times New Roman" w:hAnsi="Times New Roman"/>
          <w:sz w:val="14"/>
          <w:szCs w:val="14"/>
          <w:color w:val="auto"/>
        </w:rPr>
        <w:t>restricted stock.</w:t>
      </w:r>
    </w:p>
    <w:p>
      <w:pPr>
        <w:spacing w:after="0" w:line="3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In addition, if an event constituting a Change in Control of the Company occurs and the Employee thereafter terminates employment for any reason, then the performance stock units granted hereunder shall immediately vest and a cash payment shall be made as if the maximum Performance Objective had been fully achieved, regardless of whether termination of employment is by the Employee, the Company or otherwise. Such cash payment shall be equal to the number of performance stock units granted to the Employee multiplied by the fair market value of the Company’s common stock as of the effective date of such Change in Control.</w:t>
      </w:r>
    </w:p>
    <w:p>
      <w:pPr>
        <w:spacing w:after="0" w:line="15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4"/>
          <w:szCs w:val="14"/>
          <w:color w:val="auto"/>
        </w:rPr>
        <w:t>The following tables show the amounts payable under different termination scenarios for each Named Executive Officer as if such scenario occurred on June 30, 2007, the last day of the Company’s most recent fiscal year: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u w:val="single" w:color="auto"/>
          <w:color w:val="auto"/>
        </w:rPr>
        <w:t>Michael E. Batten</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80" w:type="dxa"/>
            <w:vAlign w:val="bottom"/>
            <w:gridSpan w:val="2"/>
          </w:tcPr>
          <w:p>
            <w:pPr>
              <w:jc w:val="right"/>
              <w:ind w:right="795"/>
              <w:spacing w:after="0"/>
              <w:rPr>
                <w:sz w:val="20"/>
                <w:szCs w:val="20"/>
                <w:color w:val="auto"/>
              </w:rPr>
            </w:pPr>
            <w:r>
              <w:rPr>
                <w:rFonts w:ascii="Times New Roman" w:cs="Times New Roman" w:eastAsia="Times New Roman" w:hAnsi="Times New Roman"/>
                <w:sz w:val="14"/>
                <w:szCs w:val="14"/>
                <w:color w:val="auto"/>
              </w:rPr>
              <w:t>(4)</w:t>
            </w: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7"/>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Value of Accelerated</w:t>
            </w: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Restricted Stock,</w:t>
            </w: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Performance Stock,</w:t>
            </w: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gridSpan w:val="2"/>
          </w:tcPr>
          <w:p>
            <w:pPr>
              <w:jc w:val="right"/>
              <w:ind w:right="41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Performance Stock</w:t>
            </w: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Non-Equity</w:t>
            </w:r>
          </w:p>
        </w:tc>
        <w:tc>
          <w:tcPr>
            <w:tcW w:w="2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Units, and Stock</w:t>
            </w: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Base Salary</w:t>
            </w:r>
          </w:p>
        </w:tc>
        <w:tc>
          <w:tcPr>
            <w:tcW w:w="1060" w:type="dxa"/>
            <w:vAlign w:val="bottom"/>
          </w:tcPr>
          <w:p>
            <w:pPr>
              <w:jc w:val="right"/>
              <w:ind w:right="284"/>
              <w:spacing w:after="0"/>
              <w:rPr>
                <w:sz w:val="20"/>
                <w:szCs w:val="20"/>
                <w:color w:val="auto"/>
              </w:rPr>
            </w:pPr>
            <w:r>
              <w:rPr>
                <w:rFonts w:ascii="Times New Roman" w:cs="Times New Roman" w:eastAsia="Times New Roman" w:hAnsi="Times New Roman"/>
                <w:sz w:val="14"/>
                <w:szCs w:val="14"/>
                <w:color w:val="auto"/>
              </w:rPr>
              <w:t>Bonus</w:t>
            </w:r>
          </w:p>
        </w:tc>
        <w:tc>
          <w:tcPr>
            <w:tcW w:w="20" w:type="dxa"/>
            <w:vAlign w:val="bottom"/>
          </w:tcPr>
          <w:p>
            <w:pPr>
              <w:spacing w:after="0"/>
              <w:rPr>
                <w:sz w:val="17"/>
                <w:szCs w:val="17"/>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Incentive Plan</w:t>
            </w:r>
          </w:p>
        </w:tc>
        <w:tc>
          <w:tcPr>
            <w:tcW w:w="2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Options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Other Benefits</w:t>
            </w:r>
          </w:p>
        </w:tc>
        <w:tc>
          <w:tcPr>
            <w:tcW w:w="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w:t>
            </w:r>
          </w:p>
        </w:tc>
      </w:tr>
      <w:tr>
        <w:trPr>
          <w:trHeight w:val="197"/>
        </w:trPr>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Termination Event</w:t>
            </w:r>
          </w:p>
        </w:tc>
        <w:tc>
          <w:tcPr>
            <w:tcW w:w="1000" w:type="dxa"/>
            <w:vAlign w:val="bottom"/>
            <w:gridSpan w:val="2"/>
          </w:tcPr>
          <w:p>
            <w:pPr>
              <w:jc w:val="right"/>
              <w:ind w:right="327"/>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37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260" w:type="dxa"/>
            <w:vAlign w:val="bottom"/>
          </w:tcPr>
          <w:p>
            <w:pPr>
              <w:jc w:val="right"/>
              <w:ind w:right="464"/>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44"/>
              <w:spacing w:after="0"/>
              <w:rPr>
                <w:sz w:val="20"/>
                <w:szCs w:val="20"/>
                <w:color w:val="auto"/>
              </w:rPr>
            </w:pPr>
            <w:r>
              <w:rPr>
                <w:rFonts w:ascii="Times New Roman" w:cs="Times New Roman" w:eastAsia="Times New Roman" w:hAnsi="Times New Roman"/>
                <w:sz w:val="14"/>
                <w:szCs w:val="14"/>
                <w:color w:val="auto"/>
              </w:rPr>
              <w:t>($)</w:t>
            </w:r>
          </w:p>
        </w:tc>
      </w:tr>
      <w:tr>
        <w:trPr>
          <w:trHeight w:val="101"/>
        </w:trPr>
        <w:tc>
          <w:tcPr>
            <w:tcW w:w="1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472"/>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Normal Retirement prior to a</w:t>
            </w:r>
          </w:p>
        </w:tc>
        <w:tc>
          <w:tcPr>
            <w:tcW w:w="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060" w:type="dxa"/>
            <w:vAlign w:val="bottom"/>
          </w:tcPr>
          <w:p>
            <w:pPr>
              <w:jc w:val="right"/>
              <w:ind w:right="444"/>
              <w:spacing w:after="0"/>
              <w:rPr>
                <w:sz w:val="20"/>
                <w:szCs w:val="20"/>
                <w:color w:val="auto"/>
              </w:rPr>
            </w:pPr>
            <w:r>
              <w:rPr>
                <w:rFonts w:ascii="Times New Roman" w:cs="Times New Roman" w:eastAsia="Times New Roman" w:hAnsi="Times New Roman"/>
                <w:sz w:val="10"/>
                <w:szCs w:val="10"/>
                <w:color w:val="auto"/>
              </w:rPr>
              <w:t>$0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$534,823</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$4,016,102 (4)</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$1,806,775 (6)</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$6,357,700</w:t>
            </w:r>
          </w:p>
        </w:tc>
      </w:tr>
      <w:tr>
        <w:trPr>
          <w:trHeight w:val="197"/>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20" w:type="dxa"/>
            <w:vAlign w:val="bottom"/>
          </w:tcPr>
          <w:p>
            <w:pPr>
              <w:spacing w:after="0"/>
              <w:rPr>
                <w:sz w:val="17"/>
                <w:szCs w:val="17"/>
                <w:color w:val="auto"/>
              </w:rPr>
            </w:pP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8"/>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Death</w:t>
            </w:r>
          </w:p>
        </w:tc>
        <w:tc>
          <w:tcPr>
            <w:tcW w:w="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060" w:type="dxa"/>
            <w:vAlign w:val="bottom"/>
          </w:tcPr>
          <w:p>
            <w:pPr>
              <w:jc w:val="right"/>
              <w:ind w:right="444"/>
              <w:spacing w:after="0"/>
              <w:rPr>
                <w:sz w:val="20"/>
                <w:szCs w:val="20"/>
                <w:color w:val="auto"/>
              </w:rPr>
            </w:pPr>
            <w:r>
              <w:rPr>
                <w:rFonts w:ascii="Times New Roman" w:cs="Times New Roman" w:eastAsia="Times New Roman" w:hAnsi="Times New Roman"/>
                <w:sz w:val="10"/>
                <w:szCs w:val="10"/>
                <w:color w:val="auto"/>
              </w:rPr>
              <w:t>$0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$534,823</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$4,016,102 (4)</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$1,806,775 (6)</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$6,357,700</w:t>
            </w:r>
          </w:p>
        </w:tc>
      </w:tr>
      <w:tr>
        <w:trPr>
          <w:trHeight w:val="187"/>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05"/>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Disability</w:t>
            </w:r>
          </w:p>
        </w:tc>
        <w:tc>
          <w:tcPr>
            <w:tcW w:w="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060" w:type="dxa"/>
            <w:vAlign w:val="bottom"/>
          </w:tcPr>
          <w:p>
            <w:pPr>
              <w:jc w:val="right"/>
              <w:ind w:right="444"/>
              <w:spacing w:after="0"/>
              <w:rPr>
                <w:sz w:val="20"/>
                <w:szCs w:val="20"/>
                <w:color w:val="auto"/>
              </w:rPr>
            </w:pPr>
            <w:r>
              <w:rPr>
                <w:rFonts w:ascii="Times New Roman" w:cs="Times New Roman" w:eastAsia="Times New Roman" w:hAnsi="Times New Roman"/>
                <w:sz w:val="10"/>
                <w:szCs w:val="10"/>
                <w:color w:val="auto"/>
              </w:rPr>
              <w:t>$0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$534,823</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$4,016,102 (4)</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$2,037,900 (5)</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$6.588,825</w:t>
            </w:r>
          </w:p>
        </w:tc>
      </w:tr>
      <w:tr>
        <w:trPr>
          <w:trHeight w:val="187"/>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05"/>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Termination for Cause</w:t>
            </w:r>
          </w:p>
        </w:tc>
        <w:tc>
          <w:tcPr>
            <w:tcW w:w="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060" w:type="dxa"/>
            <w:vAlign w:val="bottom"/>
          </w:tcPr>
          <w:p>
            <w:pPr>
              <w:jc w:val="right"/>
              <w:ind w:right="444"/>
              <w:spacing w:after="0"/>
              <w:rPr>
                <w:sz w:val="20"/>
                <w:szCs w:val="20"/>
                <w:color w:val="auto"/>
              </w:rPr>
            </w:pPr>
            <w:r>
              <w:rPr>
                <w:rFonts w:ascii="Times New Roman" w:cs="Times New Roman" w:eastAsia="Times New Roman" w:hAnsi="Times New Roman"/>
                <w:sz w:val="10"/>
                <w:szCs w:val="10"/>
                <w:color w:val="auto"/>
              </w:rPr>
              <w:t>$0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$534,823</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$1,035,504 (3)</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$1,806,775 (6)</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$3,377,102</w:t>
            </w:r>
          </w:p>
        </w:tc>
      </w:tr>
      <w:tr>
        <w:trPr>
          <w:trHeight w:val="187"/>
        </w:trPr>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w w:val="94"/>
              </w:rPr>
              <w:t>Voluntary Termination Prior to</w:t>
            </w:r>
          </w:p>
        </w:tc>
        <w:tc>
          <w:tcPr>
            <w:tcW w:w="20" w:type="dxa"/>
            <w:vAlign w:val="bottom"/>
          </w:tcPr>
          <w:p>
            <w:pPr>
              <w:spacing w:after="0"/>
              <w:rPr>
                <w:sz w:val="18"/>
                <w:szCs w:val="18"/>
                <w:color w:val="auto"/>
              </w:rPr>
            </w:pPr>
          </w:p>
        </w:tc>
        <w:tc>
          <w:tcPr>
            <w:tcW w:w="980" w:type="dxa"/>
            <w:vAlign w:val="bottom"/>
          </w:tcPr>
          <w:p>
            <w:pPr>
              <w:jc w:val="right"/>
              <w:ind w:right="147"/>
              <w:spacing w:after="0"/>
              <w:rPr>
                <w:sz w:val="20"/>
                <w:szCs w:val="20"/>
                <w:color w:val="auto"/>
              </w:rPr>
            </w:pPr>
            <w:r>
              <w:rPr>
                <w:rFonts w:ascii="Times New Roman" w:cs="Times New Roman" w:eastAsia="Times New Roman" w:hAnsi="Times New Roman"/>
                <w:sz w:val="10"/>
                <w:szCs w:val="10"/>
                <w:color w:val="auto"/>
              </w:rPr>
              <w:t>Paid through last</w:t>
            </w:r>
          </w:p>
        </w:tc>
        <w:tc>
          <w:tcPr>
            <w:tcW w:w="1060" w:type="dxa"/>
            <w:vAlign w:val="bottom"/>
          </w:tcPr>
          <w:p>
            <w:pPr>
              <w:jc w:val="right"/>
              <w:ind w:right="444"/>
              <w:spacing w:after="0"/>
              <w:rPr>
                <w:sz w:val="20"/>
                <w:szCs w:val="20"/>
                <w:color w:val="auto"/>
              </w:rPr>
            </w:pPr>
            <w:r>
              <w:rPr>
                <w:rFonts w:ascii="Times New Roman" w:cs="Times New Roman" w:eastAsia="Times New Roman" w:hAnsi="Times New Roman"/>
                <w:sz w:val="10"/>
                <w:szCs w:val="10"/>
                <w:color w:val="auto"/>
              </w:rPr>
              <w:t>$0</w:t>
            </w: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N/A</w:t>
            </w:r>
          </w:p>
        </w:tc>
        <w:tc>
          <w:tcPr>
            <w:tcW w:w="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N/A</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N/A</w:t>
            </w:r>
          </w:p>
        </w:tc>
        <w:tc>
          <w:tcPr>
            <w:tcW w:w="82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N/A</w:t>
            </w:r>
          </w:p>
        </w:tc>
      </w:tr>
      <w:tr>
        <w:trPr>
          <w:trHeight w:val="197"/>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Retirement</w:t>
            </w:r>
          </w:p>
        </w:tc>
        <w:tc>
          <w:tcPr>
            <w:tcW w:w="20" w:type="dxa"/>
            <w:vAlign w:val="bottom"/>
          </w:tcPr>
          <w:p>
            <w:pPr>
              <w:spacing w:after="0"/>
              <w:rPr>
                <w:sz w:val="17"/>
                <w:szCs w:val="17"/>
                <w:color w:val="auto"/>
              </w:rPr>
            </w:pP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8"/>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Involuntary Termination or</w:t>
            </w:r>
          </w:p>
        </w:tc>
        <w:tc>
          <w:tcPr>
            <w:tcW w:w="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060" w:type="dxa"/>
            <w:vAlign w:val="bottom"/>
          </w:tcPr>
          <w:p>
            <w:pPr>
              <w:jc w:val="right"/>
              <w:ind w:right="444"/>
              <w:spacing w:after="0"/>
              <w:rPr>
                <w:sz w:val="20"/>
                <w:szCs w:val="20"/>
                <w:color w:val="auto"/>
              </w:rPr>
            </w:pPr>
            <w:r>
              <w:rPr>
                <w:rFonts w:ascii="Times New Roman" w:cs="Times New Roman" w:eastAsia="Times New Roman" w:hAnsi="Times New Roman"/>
                <w:sz w:val="10"/>
                <w:szCs w:val="10"/>
                <w:color w:val="auto"/>
              </w:rPr>
              <w:t>$0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$534,823</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$9,358,957 (7)</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$1,835,789 (2)</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$11,729,569</w:t>
            </w:r>
          </w:p>
        </w:tc>
      </w:tr>
      <w:tr>
        <w:trPr>
          <w:trHeight w:val="197"/>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Resignation for Good Cause</w:t>
            </w:r>
          </w:p>
        </w:tc>
        <w:tc>
          <w:tcPr>
            <w:tcW w:w="20" w:type="dxa"/>
            <w:vAlign w:val="bottom"/>
          </w:tcPr>
          <w:p>
            <w:pPr>
              <w:spacing w:after="0"/>
              <w:rPr>
                <w:sz w:val="17"/>
                <w:szCs w:val="17"/>
                <w:color w:val="auto"/>
              </w:rPr>
            </w:pP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Following Change in Control</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-2086610</wp:posOffset>
            </wp:positionV>
            <wp:extent cx="563435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34355" cy="6350"/>
                    </a:xfrm>
                    <a:prstGeom prst="rect">
                      <a:avLst/>
                    </a:prstGeom>
                    <a:noFill/>
                  </pic:spPr>
                </pic:pic>
              </a:graphicData>
            </a:graphic>
          </wp:anchor>
        </w:drawing>
      </w:r>
    </w:p>
    <w:p>
      <w:pPr>
        <w:spacing w:after="0" w:line="180" w:lineRule="exact"/>
        <w:rPr>
          <w:sz w:val="20"/>
          <w:szCs w:val="20"/>
          <w:color w:val="auto"/>
        </w:rPr>
      </w:pPr>
    </w:p>
    <w:p>
      <w:pPr>
        <w:ind w:left="540" w:hanging="368"/>
        <w:spacing w:after="0"/>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Mr. Batten was employed the entire fiscal year, therefore is entitled to full bonus. This also assumes no discretionary component is paid.</w:t>
      </w:r>
    </w:p>
    <w:p>
      <w:pPr>
        <w:spacing w:after="0" w:line="202" w:lineRule="exact"/>
        <w:rPr>
          <w:rFonts w:ascii="Times New Roman" w:cs="Times New Roman" w:eastAsia="Times New Roman" w:hAnsi="Times New Roman"/>
          <w:sz w:val="14"/>
          <w:szCs w:val="14"/>
          <w:color w:val="auto"/>
        </w:rPr>
      </w:pPr>
    </w:p>
    <w:p>
      <w:pPr>
        <w:ind w:left="540" w:right="140" w:hanging="368"/>
        <w:spacing w:after="0" w:line="267" w:lineRule="auto"/>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Batten’s Change in Control Severance Agreement was amended in FY08 to provide for post- age 65 benefits. The amount shown includes the value of 24 months of benefit continuation ($29,014) plus the present value of his Supplemental Executive Retirement Plan ($1,806,775), as he is currently retirement-eligible.</w:t>
      </w:r>
    </w:p>
    <w:p>
      <w:pPr>
        <w:spacing w:after="0" w:line="182" w:lineRule="exact"/>
        <w:rPr>
          <w:rFonts w:ascii="Times New Roman" w:cs="Times New Roman" w:eastAsia="Times New Roman" w:hAnsi="Times New Roman"/>
          <w:sz w:val="14"/>
          <w:szCs w:val="14"/>
          <w:color w:val="auto"/>
        </w:rPr>
      </w:pPr>
    </w:p>
    <w:p>
      <w:pPr>
        <w:ind w:left="540" w:right="320" w:hanging="368"/>
        <w:spacing w:after="0" w:line="267" w:lineRule="auto"/>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performance awards payable for the performance period ending June 30, 2007, valued at $71.91 per share or unit, the closing price of Twin Disc shares on June 29, 2007. This assumes Mr. Batten was employed through June 30, 2007.</w:t>
      </w:r>
    </w:p>
    <w:p>
      <w:pPr>
        <w:spacing w:after="0" w:line="161" w:lineRule="exact"/>
        <w:rPr>
          <w:rFonts w:ascii="Times New Roman" w:cs="Times New Roman" w:eastAsia="Times New Roman" w:hAnsi="Times New Roman"/>
          <w:sz w:val="14"/>
          <w:szCs w:val="14"/>
          <w:color w:val="auto"/>
        </w:rPr>
      </w:pPr>
    </w:p>
    <w:p>
      <w:pPr>
        <w:jc w:val="both"/>
        <w:ind w:left="540" w:right="180" w:hanging="368"/>
        <w:spacing w:after="0" w:line="257" w:lineRule="auto"/>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was calculated by adding 100% of the performance awards payable for the performance period ending on June 30, 2007 (14,400) plus two-thirds of the performance awards payable for the performance period ending June 30, 2008 (34,699) plus one-third of the awards payable for the performance period ending June 30, 2009 (6,750), assuming achievement of target performance levels. The total was multiplied by $71.91, the closing price of Twin Disc shares on June 29, 2007.</w:t>
      </w:r>
    </w:p>
    <w:p>
      <w:pPr>
        <w:spacing w:after="0" w:line="168" w:lineRule="exact"/>
        <w:rPr>
          <w:rFonts w:ascii="Times New Roman" w:cs="Times New Roman" w:eastAsia="Times New Roman" w:hAnsi="Times New Roman"/>
          <w:sz w:val="14"/>
          <w:szCs w:val="14"/>
          <w:color w:val="auto"/>
        </w:rPr>
      </w:pPr>
    </w:p>
    <w:p>
      <w:pPr>
        <w:ind w:left="540" w:right="520" w:hanging="368"/>
        <w:spacing w:after="0" w:line="267" w:lineRule="auto"/>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the value of six months of benefits under the Company’s short-term disability program for salaried employees ($231,125) plus the value of Mr. Batten’s Supplemental Executive Retirement Plan benefits ($1,806,775), as he is currently retirement-eligible.</w:t>
      </w:r>
    </w:p>
    <w:p>
      <w:pPr>
        <w:spacing w:after="0" w:line="171" w:lineRule="exact"/>
        <w:rPr>
          <w:rFonts w:ascii="Times New Roman" w:cs="Times New Roman" w:eastAsia="Times New Roman" w:hAnsi="Times New Roman"/>
          <w:sz w:val="14"/>
          <w:szCs w:val="14"/>
          <w:color w:val="auto"/>
        </w:rPr>
      </w:pPr>
    </w:p>
    <w:p>
      <w:pPr>
        <w:ind w:left="540" w:hanging="368"/>
        <w:spacing w:after="0"/>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consists of the present value of Mr. Batten’s Supplemental Executive Retirement Benefit Plan benefits. Mr. Batten is currently retirement eligible.</w:t>
      </w:r>
    </w:p>
    <w:p>
      <w:pPr>
        <w:spacing w:after="0" w:line="202" w:lineRule="exact"/>
        <w:rPr>
          <w:rFonts w:ascii="Times New Roman" w:cs="Times New Roman" w:eastAsia="Times New Roman" w:hAnsi="Times New Roman"/>
          <w:sz w:val="14"/>
          <w:szCs w:val="14"/>
          <w:color w:val="auto"/>
        </w:rPr>
      </w:pPr>
    </w:p>
    <w:p>
      <w:pPr>
        <w:ind w:left="540" w:right="80" w:hanging="368"/>
        <w:spacing w:after="0" w:line="254" w:lineRule="auto"/>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in the event of a change in control, performance stock and performance units immediately vest, and stock or cash is paid under the agreements as if the maximum performance objective was achieved. In addition, restricted stock become fully transferable. The value of unexercised options is payable in cash. This amount represents the total of 90,748 outstanding performance stock and performance stock unit awards valued at $71.91, the closing price of Twin Disc shares on June 29, 2007. In addition, this figure includes 45,000 outstanding options, measured as if they were valued at the difference of $71.91 and their exercise price.</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u w:val="single" w:color="auto"/>
          <w:color w:val="auto"/>
        </w:rPr>
        <w:t>Christopher J. Eperjesy</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Value of Accelerated</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7"/>
        </w:trPr>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Restricted Stock,</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left="15"/>
              <w:spacing w:after="0"/>
              <w:rPr>
                <w:sz w:val="20"/>
                <w:szCs w:val="20"/>
                <w:color w:val="auto"/>
              </w:rPr>
            </w:pPr>
            <w:r>
              <w:rPr>
                <w:rFonts w:ascii="Times New Roman" w:cs="Times New Roman" w:eastAsia="Times New Roman" w:hAnsi="Times New Roman"/>
                <w:sz w:val="14"/>
                <w:szCs w:val="14"/>
                <w:color w:val="auto"/>
                <w:w w:val="95"/>
              </w:rPr>
              <w:t>Performance Stock,</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gridSpan w:val="2"/>
          </w:tcPr>
          <w:p>
            <w:pPr>
              <w:jc w:val="right"/>
              <w:ind w:right="37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Performance Stock</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Non-Equity</w:t>
            </w:r>
          </w:p>
        </w:tc>
        <w:tc>
          <w:tcPr>
            <w:tcW w:w="20" w:type="dxa"/>
            <w:vAlign w:val="bottom"/>
          </w:tcPr>
          <w:p>
            <w:pPr>
              <w:spacing w:after="0"/>
              <w:rPr>
                <w:sz w:val="17"/>
                <w:szCs w:val="17"/>
                <w:color w:val="auto"/>
              </w:rPr>
            </w:pPr>
          </w:p>
        </w:tc>
        <w:tc>
          <w:tcPr>
            <w:tcW w:w="1820" w:type="dxa"/>
            <w:vAlign w:val="bottom"/>
          </w:tcPr>
          <w:p>
            <w:pPr>
              <w:jc w:val="center"/>
              <w:ind w:left="15"/>
              <w:spacing w:after="0"/>
              <w:rPr>
                <w:sz w:val="20"/>
                <w:szCs w:val="20"/>
                <w:color w:val="auto"/>
              </w:rPr>
            </w:pPr>
            <w:r>
              <w:rPr>
                <w:rFonts w:ascii="Times New Roman" w:cs="Times New Roman" w:eastAsia="Times New Roman" w:hAnsi="Times New Roman"/>
                <w:sz w:val="14"/>
                <w:szCs w:val="14"/>
                <w:color w:val="auto"/>
                <w:w w:val="96"/>
              </w:rPr>
              <w:t>Units, and Stock</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820" w:type="dxa"/>
            <w:vAlign w:val="bottom"/>
          </w:tcPr>
          <w:p>
            <w:pPr>
              <w:jc w:val="center"/>
              <w:ind w:left="40"/>
              <w:spacing w:after="0"/>
              <w:rPr>
                <w:sz w:val="20"/>
                <w:szCs w:val="20"/>
                <w:color w:val="auto"/>
              </w:rPr>
            </w:pPr>
            <w:r>
              <w:rPr>
                <w:rFonts w:ascii="Times New Roman" w:cs="Times New Roman" w:eastAsia="Times New Roman" w:hAnsi="Times New Roman"/>
                <w:sz w:val="14"/>
                <w:szCs w:val="14"/>
                <w:color w:val="auto"/>
                <w:w w:val="96"/>
              </w:rPr>
              <w:t>Base Salary</w:t>
            </w:r>
          </w:p>
        </w:tc>
        <w:tc>
          <w:tcPr>
            <w:tcW w:w="20" w:type="dxa"/>
            <w:vAlign w:val="bottom"/>
          </w:tcPr>
          <w:p>
            <w:pPr>
              <w:spacing w:after="0"/>
              <w:rPr>
                <w:sz w:val="17"/>
                <w:szCs w:val="17"/>
                <w:color w:val="auto"/>
              </w:rPr>
            </w:pPr>
          </w:p>
        </w:tc>
        <w:tc>
          <w:tcPr>
            <w:tcW w:w="13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Bonus</w:t>
            </w:r>
          </w:p>
        </w:tc>
        <w:tc>
          <w:tcPr>
            <w:tcW w:w="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Incentive Plan</w:t>
            </w:r>
          </w:p>
        </w:tc>
        <w:tc>
          <w:tcPr>
            <w:tcW w:w="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Options</w:t>
            </w:r>
          </w:p>
        </w:tc>
        <w:tc>
          <w:tcPr>
            <w:tcW w:w="1100" w:type="dxa"/>
            <w:vAlign w:val="bottom"/>
          </w:tcPr>
          <w:p>
            <w:pPr>
              <w:jc w:val="center"/>
              <w:ind w:left="38"/>
              <w:spacing w:after="0"/>
              <w:rPr>
                <w:sz w:val="20"/>
                <w:szCs w:val="20"/>
                <w:color w:val="auto"/>
              </w:rPr>
            </w:pPr>
            <w:r>
              <w:rPr>
                <w:rFonts w:ascii="Times New Roman" w:cs="Times New Roman" w:eastAsia="Times New Roman" w:hAnsi="Times New Roman"/>
                <w:sz w:val="14"/>
                <w:szCs w:val="14"/>
                <w:color w:val="auto"/>
                <w:w w:val="97"/>
              </w:rPr>
              <w:t>Other Benefits</w:t>
            </w:r>
          </w:p>
        </w:tc>
        <w:tc>
          <w:tcPr>
            <w:tcW w:w="20" w:type="dxa"/>
            <w:vAlign w:val="bottom"/>
          </w:tcPr>
          <w:p>
            <w:pPr>
              <w:spacing w:after="0"/>
              <w:rPr>
                <w:sz w:val="17"/>
                <w:szCs w:val="17"/>
                <w:color w:val="auto"/>
              </w:rPr>
            </w:pPr>
          </w:p>
        </w:tc>
        <w:tc>
          <w:tcPr>
            <w:tcW w:w="1100" w:type="dxa"/>
            <w:vAlign w:val="bottom"/>
          </w:tcPr>
          <w:p>
            <w:pPr>
              <w:jc w:val="right"/>
              <w:ind w:right="340"/>
              <w:spacing w:after="0"/>
              <w:rPr>
                <w:sz w:val="20"/>
                <w:szCs w:val="20"/>
                <w:color w:val="auto"/>
              </w:rPr>
            </w:pPr>
            <w:r>
              <w:rPr>
                <w:rFonts w:ascii="Times New Roman" w:cs="Times New Roman" w:eastAsia="Times New Roman" w:hAnsi="Times New Roman"/>
                <w:sz w:val="14"/>
                <w:szCs w:val="14"/>
                <w:color w:val="auto"/>
              </w:rPr>
              <w:t>Total</w:t>
            </w:r>
          </w:p>
        </w:tc>
      </w:tr>
      <w:tr>
        <w:trPr>
          <w:trHeight w:val="197"/>
        </w:trPr>
        <w:tc>
          <w:tcPr>
            <w:tcW w:w="1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Termination Event</w:t>
            </w:r>
          </w:p>
        </w:tc>
        <w:tc>
          <w:tcPr>
            <w:tcW w:w="820" w:type="dxa"/>
            <w:vAlign w:val="bottom"/>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358"/>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100" w:type="dxa"/>
            <w:vAlign w:val="bottom"/>
          </w:tcPr>
          <w:p>
            <w:pPr>
              <w:jc w:val="right"/>
              <w:ind w:right="35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r>
      <w:tr>
        <w:trPr>
          <w:trHeight w:val="101"/>
        </w:trPr>
        <w:tc>
          <w:tcPr>
            <w:tcW w:w="17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r>
        <w:trPr>
          <w:trHeight w:val="472"/>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Normal Retirement prior to a</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Not Eligible on</w:t>
            </w:r>
          </w:p>
        </w:tc>
        <w:tc>
          <w:tcPr>
            <w:tcW w:w="2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Not Eligible on</w:t>
            </w:r>
          </w:p>
        </w:tc>
        <w:tc>
          <w:tcPr>
            <w:tcW w:w="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Not Eligible on 6/30/07</w:t>
            </w:r>
          </w:p>
        </w:tc>
        <w:tc>
          <w:tcPr>
            <w:tcW w:w="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Not Eligible on 6/30/07</w:t>
            </w:r>
          </w:p>
        </w:tc>
        <w:tc>
          <w:tcPr>
            <w:tcW w:w="1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Not Eligible on 6/30/07</w:t>
            </w:r>
          </w:p>
        </w:tc>
        <w:tc>
          <w:tcPr>
            <w:tcW w:w="2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0"/>
                <w:szCs w:val="10"/>
                <w:color w:val="auto"/>
              </w:rPr>
              <w:t>Not Eligible on 6/30/07</w:t>
            </w:r>
          </w:p>
        </w:tc>
      </w:tr>
      <w:tr>
        <w:trPr>
          <w:trHeight w:val="197"/>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820" w:type="dxa"/>
            <w:vAlign w:val="bottom"/>
          </w:tcPr>
          <w:p>
            <w:pPr>
              <w:jc w:val="right"/>
              <w:ind w:right="200"/>
              <w:spacing w:after="0"/>
              <w:rPr>
                <w:sz w:val="20"/>
                <w:szCs w:val="20"/>
                <w:color w:val="auto"/>
              </w:rPr>
            </w:pPr>
            <w:r>
              <w:rPr>
                <w:rFonts w:ascii="Times New Roman" w:cs="Times New Roman" w:eastAsia="Times New Roman" w:hAnsi="Times New Roman"/>
                <w:sz w:val="10"/>
                <w:szCs w:val="10"/>
                <w:color w:val="auto"/>
              </w:rPr>
              <w:t>6/30/07</w:t>
            </w:r>
          </w:p>
        </w:tc>
        <w:tc>
          <w:tcPr>
            <w:tcW w:w="138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6/30/07</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-436880</wp:posOffset>
            </wp:positionV>
            <wp:extent cx="577342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73420" cy="6350"/>
                    </a:xfrm>
                    <a:prstGeom prst="rect">
                      <a:avLst/>
                    </a:prstGeom>
                    <a:noFill/>
                  </pic:spPr>
                </pic:pic>
              </a:graphicData>
            </a:graphic>
          </wp:anchor>
        </w:drawing>
      </w:r>
    </w:p>
    <w:p>
      <w:pPr>
        <w:sectPr>
          <w:pgSz w:w="11900" w:h="16902" w:orient="portrait"/>
          <w:cols w:equalWidth="0" w:num="1">
            <w:col w:w="11460"/>
          </w:cols>
          <w:pgMar w:left="220" w:top="120" w:right="219" w:bottom="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185"/>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Death</w:t>
            </w:r>
          </w:p>
        </w:tc>
        <w:tc>
          <w:tcPr>
            <w:tcW w:w="1140" w:type="dxa"/>
            <w:vAlign w:val="bottom"/>
          </w:tcPr>
          <w:p>
            <w:pPr>
              <w:jc w:val="center"/>
              <w:ind w:right="208"/>
              <w:spacing w:after="0"/>
              <w:rPr>
                <w:sz w:val="20"/>
                <w:szCs w:val="20"/>
                <w:color w:val="auto"/>
              </w:rPr>
            </w:pPr>
            <w:r>
              <w:rPr>
                <w:rFonts w:ascii="Times New Roman" w:cs="Times New Roman" w:eastAsia="Times New Roman" w:hAnsi="Times New Roman"/>
                <w:sz w:val="10"/>
                <w:szCs w:val="10"/>
                <w:color w:val="auto"/>
              </w:rPr>
              <w:t>Paid through last</w:t>
            </w:r>
          </w:p>
        </w:tc>
        <w:tc>
          <w:tcPr>
            <w:tcW w:w="920" w:type="dxa"/>
            <w:vAlign w:val="bottom"/>
          </w:tcPr>
          <w:p>
            <w:pPr>
              <w:jc w:val="right"/>
              <w:ind w:right="428"/>
              <w:spacing w:after="0"/>
              <w:rPr>
                <w:sz w:val="20"/>
                <w:szCs w:val="20"/>
                <w:color w:val="auto"/>
              </w:rPr>
            </w:pPr>
            <w:r>
              <w:rPr>
                <w:rFonts w:ascii="Times New Roman" w:cs="Times New Roman" w:eastAsia="Times New Roman" w:hAnsi="Times New Roman"/>
                <w:sz w:val="10"/>
                <w:szCs w:val="10"/>
                <w:color w:val="auto"/>
              </w:rPr>
              <w:t>$0</w:t>
            </w:r>
          </w:p>
        </w:tc>
        <w:tc>
          <w:tcPr>
            <w:tcW w:w="1380" w:type="dxa"/>
            <w:vAlign w:val="bottom"/>
          </w:tcPr>
          <w:p>
            <w:pPr>
              <w:jc w:val="right"/>
              <w:ind w:right="428"/>
              <w:spacing w:after="0"/>
              <w:rPr>
                <w:sz w:val="20"/>
                <w:szCs w:val="20"/>
                <w:color w:val="auto"/>
              </w:rPr>
            </w:pPr>
            <w:r>
              <w:rPr>
                <w:rFonts w:ascii="Times New Roman" w:cs="Times New Roman" w:eastAsia="Times New Roman" w:hAnsi="Times New Roman"/>
                <w:sz w:val="10"/>
                <w:szCs w:val="10"/>
                <w:color w:val="auto"/>
              </w:rPr>
              <w:t>$208,260</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$2,405,965 (3)</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w w:val="99"/>
              </w:rPr>
              <w:t>$0</w:t>
            </w:r>
          </w:p>
        </w:tc>
        <w:tc>
          <w:tcPr>
            <w:tcW w:w="780" w:type="dxa"/>
            <w:vAlign w:val="bottom"/>
          </w:tcPr>
          <w:p>
            <w:pPr>
              <w:jc w:val="center"/>
              <w:ind w:left="268"/>
              <w:spacing w:after="0"/>
              <w:rPr>
                <w:sz w:val="20"/>
                <w:szCs w:val="20"/>
                <w:color w:val="auto"/>
              </w:rPr>
            </w:pPr>
            <w:r>
              <w:rPr>
                <w:rFonts w:ascii="Times New Roman" w:cs="Times New Roman" w:eastAsia="Times New Roman" w:hAnsi="Times New Roman"/>
                <w:sz w:val="10"/>
                <w:szCs w:val="10"/>
                <w:color w:val="auto"/>
              </w:rPr>
              <w:t>$2,614,225</w:t>
            </w:r>
          </w:p>
        </w:tc>
      </w:tr>
      <w:tr>
        <w:trPr>
          <w:trHeight w:val="177"/>
        </w:trPr>
        <w:tc>
          <w:tcPr>
            <w:tcW w:w="1700" w:type="dxa"/>
            <w:vAlign w:val="bottom"/>
          </w:tcPr>
          <w:p>
            <w:pPr>
              <w:spacing w:after="0"/>
              <w:rPr>
                <w:sz w:val="15"/>
                <w:szCs w:val="15"/>
                <w:color w:val="auto"/>
              </w:rPr>
            </w:pPr>
          </w:p>
        </w:tc>
        <w:tc>
          <w:tcPr>
            <w:tcW w:w="1140" w:type="dxa"/>
            <w:vAlign w:val="bottom"/>
          </w:tcPr>
          <w:p>
            <w:pPr>
              <w:jc w:val="center"/>
              <w:ind w:right="248"/>
              <w:spacing w:after="0"/>
              <w:rPr>
                <w:sz w:val="20"/>
                <w:szCs w:val="20"/>
                <w:color w:val="auto"/>
              </w:rPr>
            </w:pPr>
            <w:r>
              <w:rPr>
                <w:rFonts w:ascii="Times New Roman" w:cs="Times New Roman" w:eastAsia="Times New Roman" w:hAnsi="Times New Roman"/>
                <w:sz w:val="10"/>
                <w:szCs w:val="10"/>
                <w:color w:val="auto"/>
              </w:rPr>
              <w:t>day worked</w:t>
            </w:r>
          </w:p>
        </w:tc>
        <w:tc>
          <w:tcPr>
            <w:tcW w:w="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Disability</w:t>
            </w:r>
          </w:p>
        </w:tc>
        <w:tc>
          <w:tcPr>
            <w:tcW w:w="1140" w:type="dxa"/>
            <w:vAlign w:val="bottom"/>
          </w:tcPr>
          <w:p>
            <w:pPr>
              <w:jc w:val="center"/>
              <w:ind w:right="248"/>
              <w:spacing w:after="0"/>
              <w:rPr>
                <w:sz w:val="20"/>
                <w:szCs w:val="20"/>
                <w:color w:val="auto"/>
              </w:rPr>
            </w:pPr>
            <w:r>
              <w:rPr>
                <w:rFonts w:ascii="Times New Roman" w:cs="Times New Roman" w:eastAsia="Times New Roman" w:hAnsi="Times New Roman"/>
                <w:sz w:val="10"/>
                <w:szCs w:val="10"/>
                <w:color w:val="auto"/>
              </w:rPr>
              <w:t>Paid through last</w:t>
            </w:r>
          </w:p>
        </w:tc>
        <w:tc>
          <w:tcPr>
            <w:tcW w:w="920" w:type="dxa"/>
            <w:vAlign w:val="bottom"/>
          </w:tcPr>
          <w:p>
            <w:pPr>
              <w:jc w:val="right"/>
              <w:ind w:right="428"/>
              <w:spacing w:after="0"/>
              <w:rPr>
                <w:sz w:val="20"/>
                <w:szCs w:val="20"/>
                <w:color w:val="auto"/>
              </w:rPr>
            </w:pPr>
            <w:r>
              <w:rPr>
                <w:rFonts w:ascii="Times New Roman" w:cs="Times New Roman" w:eastAsia="Times New Roman" w:hAnsi="Times New Roman"/>
                <w:sz w:val="10"/>
                <w:szCs w:val="10"/>
                <w:color w:val="auto"/>
              </w:rPr>
              <w:t>$0</w:t>
            </w:r>
          </w:p>
        </w:tc>
        <w:tc>
          <w:tcPr>
            <w:tcW w:w="1380" w:type="dxa"/>
            <w:vAlign w:val="bottom"/>
          </w:tcPr>
          <w:p>
            <w:pPr>
              <w:jc w:val="right"/>
              <w:ind w:right="428"/>
              <w:spacing w:after="0"/>
              <w:rPr>
                <w:sz w:val="20"/>
                <w:szCs w:val="20"/>
                <w:color w:val="auto"/>
              </w:rPr>
            </w:pPr>
            <w:r>
              <w:rPr>
                <w:rFonts w:ascii="Times New Roman" w:cs="Times New Roman" w:eastAsia="Times New Roman" w:hAnsi="Times New Roman"/>
                <w:sz w:val="10"/>
                <w:szCs w:val="10"/>
                <w:color w:val="auto"/>
              </w:rPr>
              <w:t>$208,260</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$2,405,965 (3)</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$101,667 (4)</w:t>
            </w:r>
          </w:p>
        </w:tc>
        <w:tc>
          <w:tcPr>
            <w:tcW w:w="780" w:type="dxa"/>
            <w:vAlign w:val="bottom"/>
          </w:tcPr>
          <w:p>
            <w:pPr>
              <w:jc w:val="center"/>
              <w:ind w:left="268"/>
              <w:spacing w:after="0"/>
              <w:rPr>
                <w:sz w:val="20"/>
                <w:szCs w:val="20"/>
                <w:color w:val="auto"/>
              </w:rPr>
            </w:pPr>
            <w:r>
              <w:rPr>
                <w:rFonts w:ascii="Times New Roman" w:cs="Times New Roman" w:eastAsia="Times New Roman" w:hAnsi="Times New Roman"/>
                <w:sz w:val="10"/>
                <w:szCs w:val="10"/>
                <w:color w:val="auto"/>
              </w:rPr>
              <w:t>$2,715,892</w:t>
            </w:r>
          </w:p>
        </w:tc>
      </w:tr>
      <w:tr>
        <w:trPr>
          <w:trHeight w:val="187"/>
        </w:trPr>
        <w:tc>
          <w:tcPr>
            <w:tcW w:w="1700" w:type="dxa"/>
            <w:vAlign w:val="bottom"/>
          </w:tcPr>
          <w:p>
            <w:pPr>
              <w:spacing w:after="0"/>
              <w:rPr>
                <w:sz w:val="16"/>
                <w:szCs w:val="16"/>
                <w:color w:val="auto"/>
              </w:rPr>
            </w:pPr>
          </w:p>
        </w:tc>
        <w:tc>
          <w:tcPr>
            <w:tcW w:w="1140" w:type="dxa"/>
            <w:vAlign w:val="bottom"/>
          </w:tcPr>
          <w:p>
            <w:pPr>
              <w:jc w:val="center"/>
              <w:ind w:right="248"/>
              <w:spacing w:after="0"/>
              <w:rPr>
                <w:sz w:val="20"/>
                <w:szCs w:val="20"/>
                <w:color w:val="auto"/>
              </w:rPr>
            </w:pPr>
            <w:r>
              <w:rPr>
                <w:rFonts w:ascii="Times New Roman" w:cs="Times New Roman" w:eastAsia="Times New Roman" w:hAnsi="Times New Roman"/>
                <w:sz w:val="10"/>
                <w:szCs w:val="10"/>
                <w:color w:val="auto"/>
              </w:rPr>
              <w:t>day worked</w:t>
            </w: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Termination for Cause</w:t>
            </w:r>
          </w:p>
        </w:tc>
        <w:tc>
          <w:tcPr>
            <w:tcW w:w="1140" w:type="dxa"/>
            <w:vAlign w:val="bottom"/>
          </w:tcPr>
          <w:p>
            <w:pPr>
              <w:jc w:val="center"/>
              <w:ind w:right="248"/>
              <w:spacing w:after="0"/>
              <w:rPr>
                <w:sz w:val="20"/>
                <w:szCs w:val="20"/>
                <w:color w:val="auto"/>
              </w:rPr>
            </w:pPr>
            <w:r>
              <w:rPr>
                <w:rFonts w:ascii="Times New Roman" w:cs="Times New Roman" w:eastAsia="Times New Roman" w:hAnsi="Times New Roman"/>
                <w:sz w:val="10"/>
                <w:szCs w:val="10"/>
                <w:color w:val="auto"/>
              </w:rPr>
              <w:t>Paid through last</w:t>
            </w:r>
          </w:p>
        </w:tc>
        <w:tc>
          <w:tcPr>
            <w:tcW w:w="920" w:type="dxa"/>
            <w:vAlign w:val="bottom"/>
          </w:tcPr>
          <w:p>
            <w:pPr>
              <w:jc w:val="right"/>
              <w:ind w:right="428"/>
              <w:spacing w:after="0"/>
              <w:rPr>
                <w:sz w:val="20"/>
                <w:szCs w:val="20"/>
                <w:color w:val="auto"/>
              </w:rPr>
            </w:pPr>
            <w:r>
              <w:rPr>
                <w:rFonts w:ascii="Times New Roman" w:cs="Times New Roman" w:eastAsia="Times New Roman" w:hAnsi="Times New Roman"/>
                <w:sz w:val="10"/>
                <w:szCs w:val="10"/>
                <w:color w:val="auto"/>
              </w:rPr>
              <w:t>$0</w:t>
            </w:r>
          </w:p>
        </w:tc>
        <w:tc>
          <w:tcPr>
            <w:tcW w:w="1380" w:type="dxa"/>
            <w:vAlign w:val="bottom"/>
          </w:tcPr>
          <w:p>
            <w:pPr>
              <w:jc w:val="right"/>
              <w:ind w:right="428"/>
              <w:spacing w:after="0"/>
              <w:rPr>
                <w:sz w:val="20"/>
                <w:szCs w:val="20"/>
                <w:color w:val="auto"/>
              </w:rPr>
            </w:pPr>
            <w:r>
              <w:rPr>
                <w:rFonts w:ascii="Times New Roman" w:cs="Times New Roman" w:eastAsia="Times New Roman" w:hAnsi="Times New Roman"/>
                <w:sz w:val="10"/>
                <w:szCs w:val="10"/>
                <w:color w:val="auto"/>
              </w:rPr>
              <w:t>$208,260</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$431,460 (2)</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w w:val="99"/>
              </w:rPr>
              <w:t>$0</w:t>
            </w:r>
          </w:p>
        </w:tc>
        <w:tc>
          <w:tcPr>
            <w:tcW w:w="780" w:type="dxa"/>
            <w:vAlign w:val="bottom"/>
          </w:tcPr>
          <w:p>
            <w:pPr>
              <w:jc w:val="center"/>
              <w:ind w:left="248"/>
              <w:spacing w:after="0"/>
              <w:rPr>
                <w:sz w:val="20"/>
                <w:szCs w:val="20"/>
                <w:color w:val="auto"/>
              </w:rPr>
            </w:pPr>
            <w:r>
              <w:rPr>
                <w:rFonts w:ascii="Times New Roman" w:cs="Times New Roman" w:eastAsia="Times New Roman" w:hAnsi="Times New Roman"/>
                <w:sz w:val="10"/>
                <w:szCs w:val="10"/>
                <w:color w:val="auto"/>
              </w:rPr>
              <w:t>$639,720</w:t>
            </w:r>
          </w:p>
        </w:tc>
      </w:tr>
      <w:tr>
        <w:trPr>
          <w:trHeight w:val="187"/>
        </w:trPr>
        <w:tc>
          <w:tcPr>
            <w:tcW w:w="1700" w:type="dxa"/>
            <w:vAlign w:val="bottom"/>
          </w:tcPr>
          <w:p>
            <w:pPr>
              <w:spacing w:after="0"/>
              <w:rPr>
                <w:sz w:val="16"/>
                <w:szCs w:val="16"/>
                <w:color w:val="auto"/>
              </w:rPr>
            </w:pPr>
          </w:p>
        </w:tc>
        <w:tc>
          <w:tcPr>
            <w:tcW w:w="1140" w:type="dxa"/>
            <w:vAlign w:val="bottom"/>
          </w:tcPr>
          <w:p>
            <w:pPr>
              <w:jc w:val="center"/>
              <w:ind w:right="248"/>
              <w:spacing w:after="0"/>
              <w:rPr>
                <w:sz w:val="20"/>
                <w:szCs w:val="20"/>
                <w:color w:val="auto"/>
              </w:rPr>
            </w:pPr>
            <w:r>
              <w:rPr>
                <w:rFonts w:ascii="Times New Roman" w:cs="Times New Roman" w:eastAsia="Times New Roman" w:hAnsi="Times New Roman"/>
                <w:sz w:val="10"/>
                <w:szCs w:val="10"/>
                <w:color w:val="auto"/>
              </w:rPr>
              <w:t>day worked</w:t>
            </w: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9"/>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w w:val="95"/>
              </w:rPr>
              <w:t>Voluntary Termination Prior to</w:t>
            </w:r>
          </w:p>
        </w:tc>
        <w:tc>
          <w:tcPr>
            <w:tcW w:w="1140" w:type="dxa"/>
            <w:vAlign w:val="bottom"/>
          </w:tcPr>
          <w:p>
            <w:pPr>
              <w:jc w:val="center"/>
              <w:ind w:right="208"/>
              <w:spacing w:after="0"/>
              <w:rPr>
                <w:sz w:val="20"/>
                <w:szCs w:val="20"/>
                <w:color w:val="auto"/>
              </w:rPr>
            </w:pPr>
            <w:r>
              <w:rPr>
                <w:rFonts w:ascii="Times New Roman" w:cs="Times New Roman" w:eastAsia="Times New Roman" w:hAnsi="Times New Roman"/>
                <w:sz w:val="11"/>
                <w:szCs w:val="11"/>
                <w:color w:val="auto"/>
              </w:rPr>
              <w:t>Paid through last</w:t>
            </w:r>
          </w:p>
        </w:tc>
        <w:tc>
          <w:tcPr>
            <w:tcW w:w="920" w:type="dxa"/>
            <w:vAlign w:val="bottom"/>
          </w:tcPr>
          <w:p>
            <w:pPr>
              <w:jc w:val="right"/>
              <w:ind w:right="428"/>
              <w:spacing w:after="0"/>
              <w:rPr>
                <w:sz w:val="20"/>
                <w:szCs w:val="20"/>
                <w:color w:val="auto"/>
              </w:rPr>
            </w:pPr>
            <w:r>
              <w:rPr>
                <w:rFonts w:ascii="Times New Roman" w:cs="Times New Roman" w:eastAsia="Times New Roman" w:hAnsi="Times New Roman"/>
                <w:sz w:val="10"/>
                <w:szCs w:val="10"/>
                <w:color w:val="auto"/>
              </w:rPr>
              <w:t>$0</w:t>
            </w:r>
          </w:p>
        </w:tc>
        <w:tc>
          <w:tcPr>
            <w:tcW w:w="1380" w:type="dxa"/>
            <w:vAlign w:val="bottom"/>
          </w:tcPr>
          <w:p>
            <w:pPr>
              <w:jc w:val="right"/>
              <w:ind w:right="428"/>
              <w:spacing w:after="0"/>
              <w:rPr>
                <w:sz w:val="20"/>
                <w:szCs w:val="20"/>
                <w:color w:val="auto"/>
              </w:rPr>
            </w:pPr>
            <w:r>
              <w:rPr>
                <w:rFonts w:ascii="Times New Roman" w:cs="Times New Roman" w:eastAsia="Times New Roman" w:hAnsi="Times New Roman"/>
                <w:sz w:val="10"/>
                <w:szCs w:val="10"/>
                <w:color w:val="auto"/>
              </w:rPr>
              <w:t>$208,260</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$431,460 (2)</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w w:val="99"/>
              </w:rPr>
              <w:t>$0</w:t>
            </w:r>
          </w:p>
        </w:tc>
        <w:tc>
          <w:tcPr>
            <w:tcW w:w="780" w:type="dxa"/>
            <w:vAlign w:val="bottom"/>
          </w:tcPr>
          <w:p>
            <w:pPr>
              <w:jc w:val="center"/>
              <w:ind w:left="248"/>
              <w:spacing w:after="0"/>
              <w:rPr>
                <w:sz w:val="20"/>
                <w:szCs w:val="20"/>
                <w:color w:val="auto"/>
              </w:rPr>
            </w:pPr>
            <w:r>
              <w:rPr>
                <w:rFonts w:ascii="Times New Roman" w:cs="Times New Roman" w:eastAsia="Times New Roman" w:hAnsi="Times New Roman"/>
                <w:sz w:val="10"/>
                <w:szCs w:val="10"/>
                <w:color w:val="auto"/>
              </w:rPr>
              <w:t>$639,720</w:t>
            </w:r>
          </w:p>
        </w:tc>
      </w:tr>
      <w:tr>
        <w:trPr>
          <w:trHeight w:val="197"/>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Retirement</w:t>
            </w:r>
          </w:p>
        </w:tc>
        <w:tc>
          <w:tcPr>
            <w:tcW w:w="1140" w:type="dxa"/>
            <w:vAlign w:val="bottom"/>
          </w:tcPr>
          <w:p>
            <w:pPr>
              <w:jc w:val="center"/>
              <w:ind w:right="248"/>
              <w:spacing w:after="0"/>
              <w:rPr>
                <w:sz w:val="20"/>
                <w:szCs w:val="20"/>
                <w:color w:val="auto"/>
              </w:rPr>
            </w:pPr>
            <w:r>
              <w:rPr>
                <w:rFonts w:ascii="Times New Roman" w:cs="Times New Roman" w:eastAsia="Times New Roman" w:hAnsi="Times New Roman"/>
                <w:sz w:val="10"/>
                <w:szCs w:val="10"/>
                <w:color w:val="auto"/>
              </w:rPr>
              <w:t>day worked</w:t>
            </w: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8"/>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Involuntary Termination or</w:t>
            </w:r>
          </w:p>
        </w:tc>
        <w:tc>
          <w:tcPr>
            <w:tcW w:w="1140" w:type="dxa"/>
            <w:vAlign w:val="bottom"/>
          </w:tcPr>
          <w:p>
            <w:pPr>
              <w:jc w:val="center"/>
              <w:ind w:right="248"/>
              <w:spacing w:after="0"/>
              <w:rPr>
                <w:sz w:val="20"/>
                <w:szCs w:val="20"/>
                <w:color w:val="auto"/>
              </w:rPr>
            </w:pPr>
            <w:r>
              <w:rPr>
                <w:rFonts w:ascii="Times New Roman" w:cs="Times New Roman" w:eastAsia="Times New Roman" w:hAnsi="Times New Roman"/>
                <w:sz w:val="10"/>
                <w:szCs w:val="10"/>
                <w:color w:val="auto"/>
              </w:rPr>
              <w:t>Paid through last</w:t>
            </w:r>
          </w:p>
        </w:tc>
        <w:tc>
          <w:tcPr>
            <w:tcW w:w="920" w:type="dxa"/>
            <w:vAlign w:val="bottom"/>
          </w:tcPr>
          <w:p>
            <w:pPr>
              <w:jc w:val="right"/>
              <w:ind w:right="428"/>
              <w:spacing w:after="0"/>
              <w:rPr>
                <w:sz w:val="20"/>
                <w:szCs w:val="20"/>
                <w:color w:val="auto"/>
              </w:rPr>
            </w:pPr>
            <w:r>
              <w:rPr>
                <w:rFonts w:ascii="Times New Roman" w:cs="Times New Roman" w:eastAsia="Times New Roman" w:hAnsi="Times New Roman"/>
                <w:sz w:val="10"/>
                <w:szCs w:val="10"/>
                <w:color w:val="auto"/>
              </w:rPr>
              <w:t>$0</w:t>
            </w:r>
          </w:p>
        </w:tc>
        <w:tc>
          <w:tcPr>
            <w:tcW w:w="1380" w:type="dxa"/>
            <w:vAlign w:val="bottom"/>
          </w:tcPr>
          <w:p>
            <w:pPr>
              <w:jc w:val="right"/>
              <w:ind w:right="428"/>
              <w:spacing w:after="0"/>
              <w:rPr>
                <w:sz w:val="20"/>
                <w:szCs w:val="20"/>
                <w:color w:val="auto"/>
              </w:rPr>
            </w:pPr>
            <w:r>
              <w:rPr>
                <w:rFonts w:ascii="Times New Roman" w:cs="Times New Roman" w:eastAsia="Times New Roman" w:hAnsi="Times New Roman"/>
                <w:sz w:val="10"/>
                <w:szCs w:val="10"/>
                <w:color w:val="auto"/>
              </w:rPr>
              <w:t>$208,260</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$3,182,018 (6)</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$751,190 (5)</w:t>
            </w:r>
          </w:p>
        </w:tc>
        <w:tc>
          <w:tcPr>
            <w:tcW w:w="780" w:type="dxa"/>
            <w:vAlign w:val="bottom"/>
          </w:tcPr>
          <w:p>
            <w:pPr>
              <w:jc w:val="center"/>
              <w:ind w:left="268"/>
              <w:spacing w:after="0"/>
              <w:rPr>
                <w:sz w:val="20"/>
                <w:szCs w:val="20"/>
                <w:color w:val="auto"/>
              </w:rPr>
            </w:pPr>
            <w:r>
              <w:rPr>
                <w:rFonts w:ascii="Times New Roman" w:cs="Times New Roman" w:eastAsia="Times New Roman" w:hAnsi="Times New Roman"/>
                <w:sz w:val="10"/>
                <w:szCs w:val="10"/>
                <w:color w:val="auto"/>
              </w:rPr>
              <w:t>$4,141,468</w:t>
            </w:r>
          </w:p>
        </w:tc>
      </w:tr>
      <w:tr>
        <w:trPr>
          <w:trHeight w:val="197"/>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Resignation for Good Cause</w:t>
            </w:r>
          </w:p>
        </w:tc>
        <w:tc>
          <w:tcPr>
            <w:tcW w:w="1140" w:type="dxa"/>
            <w:vAlign w:val="bottom"/>
          </w:tcPr>
          <w:p>
            <w:pPr>
              <w:jc w:val="center"/>
              <w:ind w:right="248"/>
              <w:spacing w:after="0"/>
              <w:rPr>
                <w:sz w:val="20"/>
                <w:szCs w:val="20"/>
                <w:color w:val="auto"/>
              </w:rPr>
            </w:pPr>
            <w:r>
              <w:rPr>
                <w:rFonts w:ascii="Times New Roman" w:cs="Times New Roman" w:eastAsia="Times New Roman" w:hAnsi="Times New Roman"/>
                <w:sz w:val="10"/>
                <w:szCs w:val="10"/>
                <w:color w:val="auto"/>
              </w:rPr>
              <w:t>day worked</w:t>
            </w: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7"/>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Following Change in Control</w:t>
            </w: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0" w:lineRule="exact"/>
        <w:rPr>
          <w:sz w:val="20"/>
          <w:szCs w:val="20"/>
          <w:color w:val="auto"/>
        </w:rPr>
      </w:pPr>
    </w:p>
    <w:p>
      <w:pPr>
        <w:ind w:left="540" w:hanging="368"/>
        <w:spacing w:after="0"/>
        <w:tabs>
          <w:tab w:leader="none" w:pos="5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Mr. Eperjesy was employed the entire fiscal year, therefore is entitled to full bonus. This also assumes no discretionary component is paid.</w:t>
      </w:r>
    </w:p>
    <w:p>
      <w:pPr>
        <w:spacing w:after="0" w:line="213" w:lineRule="exact"/>
        <w:rPr>
          <w:rFonts w:ascii="Times New Roman" w:cs="Times New Roman" w:eastAsia="Times New Roman" w:hAnsi="Times New Roman"/>
          <w:sz w:val="14"/>
          <w:szCs w:val="14"/>
          <w:color w:val="auto"/>
        </w:rPr>
      </w:pPr>
    </w:p>
    <w:p>
      <w:pPr>
        <w:ind w:left="540" w:right="620" w:hanging="368"/>
        <w:spacing w:after="0" w:line="549" w:lineRule="auto"/>
        <w:tabs>
          <w:tab w:leader="none" w:pos="5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performance awards payable for the performance period ending June 30, 2007, valued at $71.91 per share or unit, the closing price of Twin Disc shares on June 29, 2007. This assumes Mr. Eperjesy was employed through June 30, 2007.</w:t>
      </w:r>
    </w:p>
    <w:p>
      <w:pPr>
        <w:spacing w:after="0" w:line="1" w:lineRule="exact"/>
        <w:rPr>
          <w:rFonts w:ascii="Times New Roman" w:cs="Times New Roman" w:eastAsia="Times New Roman" w:hAnsi="Times New Roman"/>
          <w:sz w:val="14"/>
          <w:szCs w:val="14"/>
          <w:color w:val="auto"/>
        </w:rPr>
      </w:pPr>
    </w:p>
    <w:p>
      <w:pPr>
        <w:ind w:left="540" w:right="40" w:hanging="368"/>
        <w:spacing w:after="0" w:line="254" w:lineRule="auto"/>
        <w:tabs>
          <w:tab w:leader="none" w:pos="5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was calculated by adding 100% of the performance stock and performance stock unit awards payable for the performance period ending June 30, 2007 (6,000) plus two-thirds of the awards payable for the performance period ending June 30, 2008 (5,333) plus one-third of the awards payable for the performance period ending June 30, 2009 (3,125), assuming achievement of target performance levels. In addition, Mr. Eperjesy has 19,000 shares of restricted stock that vest at death or disability. The total number of shares was multiplied by $71.91, the closing price of Twin Disc shares on June 29, 2007.</w:t>
      </w:r>
    </w:p>
    <w:p>
      <w:pPr>
        <w:spacing w:after="0" w:line="180" w:lineRule="exact"/>
        <w:rPr>
          <w:rFonts w:ascii="Times New Roman" w:cs="Times New Roman" w:eastAsia="Times New Roman" w:hAnsi="Times New Roman"/>
          <w:sz w:val="14"/>
          <w:szCs w:val="14"/>
          <w:color w:val="auto"/>
        </w:rPr>
      </w:pPr>
    </w:p>
    <w:p>
      <w:pPr>
        <w:ind w:left="540" w:hanging="368"/>
        <w:spacing w:after="0"/>
        <w:tabs>
          <w:tab w:leader="none" w:pos="5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the value of six months of benefits under the Company’s short-term disability program for Salaried employees.</w:t>
      </w:r>
    </w:p>
    <w:p>
      <w:pPr>
        <w:spacing w:after="0" w:line="202" w:lineRule="exact"/>
        <w:rPr>
          <w:rFonts w:ascii="Times New Roman" w:cs="Times New Roman" w:eastAsia="Times New Roman" w:hAnsi="Times New Roman"/>
          <w:sz w:val="14"/>
          <w:szCs w:val="14"/>
          <w:color w:val="auto"/>
        </w:rPr>
      </w:pPr>
    </w:p>
    <w:p>
      <w:pPr>
        <w:ind w:left="540" w:right="80" w:hanging="368"/>
        <w:spacing w:after="0" w:line="267" w:lineRule="auto"/>
        <w:tabs>
          <w:tab w:leader="none" w:pos="5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change in control severance agreement, Mr. Eperjesy is entitled to 1.5 times his base salary plus his most recent bonus as a severance payment ($737,490), plus benefit continuation ($13,700) for 24 months.</w:t>
      </w:r>
    </w:p>
    <w:p>
      <w:pPr>
        <w:spacing w:after="0" w:line="161" w:lineRule="exact"/>
        <w:rPr>
          <w:rFonts w:ascii="Times New Roman" w:cs="Times New Roman" w:eastAsia="Times New Roman" w:hAnsi="Times New Roman"/>
          <w:sz w:val="14"/>
          <w:szCs w:val="14"/>
          <w:color w:val="auto"/>
        </w:rPr>
      </w:pPr>
    </w:p>
    <w:p>
      <w:pPr>
        <w:ind w:left="540" w:right="40" w:hanging="368"/>
        <w:spacing w:after="0" w:line="257" w:lineRule="auto"/>
        <w:tabs>
          <w:tab w:leader="none" w:pos="5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in the event of a change in control, performance stock and performance units immediately vest, and stock or cash is paid under the agreements as if the maximum performance objective was achieved. In addition, restricted stock becomes fully transferable. This amount represents the total of 44,250 outstanding restricted shares (19,000) and performance stock and performance stock unit awards (25,250) valued at $71.91, the closing price of Twin Disc shares on June 29, 2007.</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gridSpan w:val="2"/>
          </w:tcPr>
          <w:p>
            <w:pPr>
              <w:jc w:val="right"/>
              <w:ind w:right="1235"/>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163"/>
        </w:trPr>
        <w:tc>
          <w:tcPr>
            <w:tcW w:w="2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9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2060" w:type="dxa"/>
            <w:vAlign w:val="bottom"/>
            <w:tcBorders>
              <w:bottom w:val="single" w:sz="8" w:color="808080"/>
            </w:tcBorders>
          </w:tcPr>
          <w:p>
            <w:pPr>
              <w:spacing w:after="0"/>
              <w:rPr>
                <w:sz w:val="14"/>
                <w:szCs w:val="14"/>
                <w:color w:val="auto"/>
              </w:rPr>
            </w:pPr>
          </w:p>
        </w:tc>
      </w:tr>
      <w:tr>
        <w:trPr>
          <w:trHeight w:val="442"/>
        </w:trPr>
        <w:tc>
          <w:tcPr>
            <w:tcW w:w="2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James E. Feiertag</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602"/>
        </w:trPr>
        <w:tc>
          <w:tcPr>
            <w:tcW w:w="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Value of Accelerated</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Restricted Stock,</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Performance Stock</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gridSpan w:val="2"/>
          </w:tcPr>
          <w:p>
            <w:pPr>
              <w:jc w:val="center"/>
              <w:ind w:left="44"/>
              <w:spacing w:after="0"/>
              <w:rPr>
                <w:sz w:val="20"/>
                <w:szCs w:val="20"/>
                <w:color w:val="auto"/>
              </w:rPr>
            </w:pPr>
            <w:r>
              <w:rPr>
                <w:rFonts w:ascii="Times New Roman" w:cs="Times New Roman" w:eastAsia="Times New Roman" w:hAnsi="Times New Roman"/>
                <w:sz w:val="14"/>
                <w:szCs w:val="14"/>
                <w:color w:val="auto"/>
                <w:w w:val="97"/>
              </w:rPr>
              <w:t>(1)</w:t>
            </w:r>
          </w:p>
        </w:tc>
        <w:tc>
          <w:tcPr>
            <w:tcW w:w="20" w:type="dxa"/>
            <w:vAlign w:val="bottom"/>
          </w:tcPr>
          <w:p>
            <w:pPr>
              <w:spacing w:after="0"/>
              <w:rPr>
                <w:sz w:val="17"/>
                <w:szCs w:val="17"/>
                <w:color w:val="auto"/>
              </w:rPr>
            </w:pPr>
          </w:p>
        </w:tc>
        <w:tc>
          <w:tcPr>
            <w:tcW w:w="19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and Performance</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jc w:val="center"/>
              <w:ind w:left="18"/>
              <w:spacing w:after="0"/>
              <w:rPr>
                <w:sz w:val="20"/>
                <w:szCs w:val="20"/>
                <w:color w:val="auto"/>
              </w:rPr>
            </w:pPr>
            <w:r>
              <w:rPr>
                <w:rFonts w:ascii="Times New Roman" w:cs="Times New Roman" w:eastAsia="Times New Roman" w:hAnsi="Times New Roman"/>
                <w:sz w:val="14"/>
                <w:szCs w:val="14"/>
                <w:color w:val="auto"/>
                <w:w w:val="96"/>
              </w:rPr>
              <w:t>Non-Equity</w:t>
            </w:r>
          </w:p>
        </w:tc>
        <w:tc>
          <w:tcPr>
            <w:tcW w:w="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Stock Units, and Stock</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center"/>
              <w:ind w:left="7"/>
              <w:spacing w:after="0"/>
              <w:rPr>
                <w:sz w:val="20"/>
                <w:szCs w:val="20"/>
                <w:color w:val="auto"/>
              </w:rPr>
            </w:pPr>
            <w:r>
              <w:rPr>
                <w:rFonts w:ascii="Times New Roman" w:cs="Times New Roman" w:eastAsia="Times New Roman" w:hAnsi="Times New Roman"/>
                <w:sz w:val="14"/>
                <w:szCs w:val="14"/>
                <w:color w:val="auto"/>
                <w:w w:val="96"/>
              </w:rPr>
              <w:t>Base Salary</w:t>
            </w:r>
          </w:p>
        </w:tc>
        <w:tc>
          <w:tcPr>
            <w:tcW w:w="1420" w:type="dxa"/>
            <w:vAlign w:val="bottom"/>
          </w:tcPr>
          <w:p>
            <w:pPr>
              <w:jc w:val="right"/>
              <w:ind w:right="425"/>
              <w:spacing w:after="0"/>
              <w:rPr>
                <w:sz w:val="20"/>
                <w:szCs w:val="20"/>
                <w:color w:val="auto"/>
              </w:rPr>
            </w:pPr>
            <w:r>
              <w:rPr>
                <w:rFonts w:ascii="Times New Roman" w:cs="Times New Roman" w:eastAsia="Times New Roman" w:hAnsi="Times New Roman"/>
                <w:sz w:val="14"/>
                <w:szCs w:val="14"/>
                <w:color w:val="auto"/>
              </w:rPr>
              <w:t>Bonus</w:t>
            </w:r>
          </w:p>
        </w:tc>
        <w:tc>
          <w:tcPr>
            <w:tcW w:w="20" w:type="dxa"/>
            <w:vAlign w:val="bottom"/>
          </w:tcPr>
          <w:p>
            <w:pPr>
              <w:spacing w:after="0"/>
              <w:rPr>
                <w:sz w:val="17"/>
                <w:szCs w:val="17"/>
                <w:color w:val="auto"/>
              </w:rPr>
            </w:pPr>
          </w:p>
        </w:tc>
        <w:tc>
          <w:tcPr>
            <w:tcW w:w="1120" w:type="dxa"/>
            <w:vAlign w:val="bottom"/>
          </w:tcPr>
          <w:p>
            <w:pPr>
              <w:jc w:val="center"/>
              <w:ind w:left="18"/>
              <w:spacing w:after="0"/>
              <w:rPr>
                <w:sz w:val="20"/>
                <w:szCs w:val="20"/>
                <w:color w:val="auto"/>
              </w:rPr>
            </w:pPr>
            <w:r>
              <w:rPr>
                <w:rFonts w:ascii="Times New Roman" w:cs="Times New Roman" w:eastAsia="Times New Roman" w:hAnsi="Times New Roman"/>
                <w:sz w:val="14"/>
                <w:szCs w:val="14"/>
                <w:color w:val="auto"/>
                <w:w w:val="94"/>
              </w:rPr>
              <w:t>Incentive Plan</w:t>
            </w:r>
          </w:p>
        </w:tc>
        <w:tc>
          <w:tcPr>
            <w:tcW w:w="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Options</w:t>
            </w: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Other Benefits</w:t>
            </w:r>
          </w:p>
        </w:tc>
        <w:tc>
          <w:tcPr>
            <w:tcW w:w="320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color w:val="auto"/>
                <w:w w:val="94"/>
              </w:rPr>
              <w:t>Total</w:t>
            </w:r>
          </w:p>
        </w:tc>
      </w:tr>
      <w:tr>
        <w:trPr>
          <w:trHeight w:val="197"/>
        </w:trPr>
        <w:tc>
          <w:tcPr>
            <w:tcW w:w="2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Termination Event</w:t>
            </w:r>
          </w:p>
        </w:tc>
        <w:tc>
          <w:tcPr>
            <w:tcW w:w="76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54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center"/>
              <w:ind w:left="44"/>
              <w:spacing w:after="0"/>
              <w:rPr>
                <w:sz w:val="20"/>
                <w:szCs w:val="20"/>
                <w:color w:val="auto"/>
              </w:rPr>
            </w:pPr>
            <w:r>
              <w:rPr>
                <w:rFonts w:ascii="Times New Roman" w:cs="Times New Roman" w:eastAsia="Times New Roman" w:hAnsi="Times New Roman"/>
                <w:sz w:val="14"/>
                <w:szCs w:val="14"/>
                <w:color w:val="auto"/>
                <w:w w:val="97"/>
              </w:rPr>
              <w:t>($)</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04"/>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spacing w:after="0"/>
              <w:rPr>
                <w:sz w:val="17"/>
                <w:szCs w:val="17"/>
                <w:color w:val="auto"/>
              </w:rPr>
            </w:pPr>
          </w:p>
        </w:tc>
      </w:tr>
      <w:tr>
        <w:trPr>
          <w:trHeight w:val="101"/>
        </w:trPr>
        <w:tc>
          <w:tcPr>
            <w:tcW w:w="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60" w:type="dxa"/>
            <w:vAlign w:val="bottom"/>
          </w:tcPr>
          <w:p>
            <w:pPr>
              <w:spacing w:after="0"/>
              <w:rPr>
                <w:sz w:val="8"/>
                <w:szCs w:val="8"/>
                <w:color w:val="auto"/>
              </w:rPr>
            </w:pPr>
          </w:p>
        </w:tc>
      </w:tr>
      <w:tr>
        <w:trPr>
          <w:trHeight w:val="472"/>
        </w:trPr>
        <w:tc>
          <w:tcPr>
            <w:tcW w:w="2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Normal Retirement prior to a</w:t>
            </w:r>
          </w:p>
        </w:tc>
        <w:tc>
          <w:tcPr>
            <w:tcW w:w="20" w:type="dxa"/>
            <w:vAlign w:val="bottom"/>
          </w:tcPr>
          <w:p>
            <w:pPr>
              <w:spacing w:after="0"/>
              <w:rPr>
                <w:sz w:val="24"/>
                <w:szCs w:val="24"/>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Not Eligible on</w:t>
            </w:r>
          </w:p>
        </w:tc>
        <w:tc>
          <w:tcPr>
            <w:tcW w:w="1420" w:type="dxa"/>
            <w:vAlign w:val="bottom"/>
          </w:tcPr>
          <w:p>
            <w:pPr>
              <w:jc w:val="right"/>
              <w:ind w:right="345"/>
              <w:spacing w:after="0"/>
              <w:rPr>
                <w:sz w:val="20"/>
                <w:szCs w:val="20"/>
                <w:color w:val="auto"/>
              </w:rPr>
            </w:pPr>
            <w:r>
              <w:rPr>
                <w:rFonts w:ascii="Times New Roman" w:cs="Times New Roman" w:eastAsia="Times New Roman" w:hAnsi="Times New Roman"/>
                <w:sz w:val="10"/>
                <w:szCs w:val="10"/>
                <w:color w:val="auto"/>
              </w:rPr>
              <w:t>Not Eligible on</w:t>
            </w:r>
          </w:p>
        </w:tc>
        <w:tc>
          <w:tcPr>
            <w:tcW w:w="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Not Eligible on 6/30/07</w:t>
            </w:r>
          </w:p>
        </w:tc>
        <w:tc>
          <w:tcPr>
            <w:tcW w:w="2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Not Eligible on 6/30/07</w:t>
            </w:r>
          </w:p>
        </w:tc>
        <w:tc>
          <w:tcPr>
            <w:tcW w:w="2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Not Eligible on 6/30/07</w:t>
            </w:r>
          </w:p>
        </w:tc>
        <w:tc>
          <w:tcPr>
            <w:tcW w:w="32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Not Eligible on 6/30/07</w:t>
            </w:r>
          </w:p>
        </w:tc>
      </w:tr>
      <w:tr>
        <w:trPr>
          <w:trHeight w:val="197"/>
        </w:trPr>
        <w:tc>
          <w:tcPr>
            <w:tcW w:w="2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6/30/07</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6/30/07</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Death</w:t>
            </w:r>
          </w:p>
        </w:tc>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$208,260</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$1,039,675 (4)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$1,247,935</w:t>
            </w:r>
          </w:p>
        </w:tc>
        <w:tc>
          <w:tcPr>
            <w:tcW w:w="206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18"/>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Disability</w:t>
            </w:r>
          </w:p>
        </w:tc>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$208,260</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$1,039,675 (4)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$108,334 (5)</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$1,356,269</w:t>
            </w:r>
          </w:p>
        </w:tc>
        <w:tc>
          <w:tcPr>
            <w:tcW w:w="2060" w:type="dxa"/>
            <w:vAlign w:val="bottom"/>
          </w:tcPr>
          <w:p>
            <w:pPr>
              <w:spacing w:after="0"/>
              <w:rPr>
                <w:sz w:val="18"/>
                <w:szCs w:val="18"/>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day worked</w:t>
            </w: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384"/>
        </w:trPr>
        <w:tc>
          <w:tcPr>
            <w:tcW w:w="2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Termination for Cause</w:t>
            </w: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$208,260</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$431,460 (2)</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$639,720</w:t>
            </w:r>
          </w:p>
        </w:tc>
        <w:tc>
          <w:tcPr>
            <w:tcW w:w="206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18"/>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Voluntary Termination Prior to</w:t>
            </w:r>
          </w:p>
        </w:tc>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$208,260</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$431,460 (2)</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$639,720</w:t>
            </w:r>
          </w:p>
        </w:tc>
        <w:tc>
          <w:tcPr>
            <w:tcW w:w="206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Retirement</w:t>
            </w:r>
          </w:p>
        </w:tc>
        <w:tc>
          <w:tcPr>
            <w:tcW w:w="20" w:type="dxa"/>
            <w:vAlign w:val="bottom"/>
          </w:tcPr>
          <w:p>
            <w:pPr>
              <w:spacing w:after="0"/>
              <w:rPr>
                <w:sz w:val="17"/>
                <w:szCs w:val="17"/>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Involuntary Termination or</w:t>
            </w:r>
          </w:p>
        </w:tc>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$208,260</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$2,041,075 (7)</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$766,504 (6)</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$3,015,839</w:t>
            </w:r>
          </w:p>
        </w:tc>
        <w:tc>
          <w:tcPr>
            <w:tcW w:w="206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Resignation for Good Cause</w:t>
            </w:r>
          </w:p>
        </w:tc>
        <w:tc>
          <w:tcPr>
            <w:tcW w:w="20" w:type="dxa"/>
            <w:vAlign w:val="bottom"/>
          </w:tcPr>
          <w:p>
            <w:pPr>
              <w:spacing w:after="0"/>
              <w:rPr>
                <w:sz w:val="17"/>
                <w:szCs w:val="17"/>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Following Change in Control</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7283450</wp:posOffset>
            </wp:positionH>
            <wp:positionV relativeFrom="paragraph">
              <wp:posOffset>-3551555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-3551555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-1922145</wp:posOffset>
            </wp:positionV>
            <wp:extent cx="598424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84240" cy="6350"/>
                    </a:xfrm>
                    <a:prstGeom prst="rect">
                      <a:avLst/>
                    </a:prstGeom>
                    <a:noFill/>
                  </pic:spPr>
                </pic:pic>
              </a:graphicData>
            </a:graphic>
          </wp:anchor>
        </w:drawing>
      </w:r>
    </w:p>
    <w:p>
      <w:pPr>
        <w:spacing w:after="0" w:line="180" w:lineRule="exact"/>
        <w:rPr>
          <w:sz w:val="20"/>
          <w:szCs w:val="20"/>
          <w:color w:val="auto"/>
        </w:rPr>
      </w:pPr>
    </w:p>
    <w:p>
      <w:pPr>
        <w:ind w:left="540" w:hanging="368"/>
        <w:spacing w:after="0"/>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Mr. Feiertag was employed the entire fiscal year, and therefore is entitled to full bonus. This also assumes no discretionary component is paid.</w:t>
      </w:r>
    </w:p>
    <w:p>
      <w:pPr>
        <w:spacing w:after="0" w:line="213" w:lineRule="exact"/>
        <w:rPr>
          <w:rFonts w:ascii="Times New Roman" w:cs="Times New Roman" w:eastAsia="Times New Roman" w:hAnsi="Times New Roman"/>
          <w:sz w:val="14"/>
          <w:szCs w:val="14"/>
          <w:color w:val="auto"/>
        </w:rPr>
      </w:pPr>
    </w:p>
    <w:p>
      <w:pPr>
        <w:ind w:left="540" w:hanging="368"/>
        <w:spacing w:after="0"/>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performance awards payable for the performance period ending June 30, 2007. This assumes Mr. Feiertag was employed through June 30, 2007.</w:t>
      </w:r>
    </w:p>
    <w:p>
      <w:pPr>
        <w:spacing w:after="0" w:line="213" w:lineRule="exact"/>
        <w:rPr>
          <w:rFonts w:ascii="Times New Roman" w:cs="Times New Roman" w:eastAsia="Times New Roman" w:hAnsi="Times New Roman"/>
          <w:sz w:val="14"/>
          <w:szCs w:val="14"/>
          <w:color w:val="auto"/>
        </w:rPr>
      </w:pPr>
    </w:p>
    <w:p>
      <w:pPr>
        <w:ind w:left="540" w:hanging="368"/>
        <w:spacing w:after="0"/>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values in this column assume a share or unit value of $71.91, the closing price on June 29, 2007.</w:t>
      </w:r>
    </w:p>
    <w:p>
      <w:pPr>
        <w:spacing w:after="0" w:line="202" w:lineRule="exact"/>
        <w:rPr>
          <w:rFonts w:ascii="Times New Roman" w:cs="Times New Roman" w:eastAsia="Times New Roman" w:hAnsi="Times New Roman"/>
          <w:sz w:val="14"/>
          <w:szCs w:val="14"/>
          <w:color w:val="auto"/>
        </w:rPr>
      </w:pPr>
    </w:p>
    <w:p>
      <w:pPr>
        <w:ind w:left="540" w:right="160" w:hanging="368"/>
        <w:spacing w:after="0" w:line="257" w:lineRule="auto"/>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value was calculated by adding 100% of the performance stock and performance stock unit awards payable for the performance period ending June 30, 2007 (6,000) plus two-thirds of the awards payable for the performance period ending June 30, 2008 (5,333) plus one-third of the awards payable for the performance period ending June 30, 2009 (3,125), assuming achievement of target performance levels. The total number of shares was multiplied by $71.91, the closing price of Twin Disc shares on June 29, 2007.</w:t>
      </w:r>
    </w:p>
    <w:p>
      <w:pPr>
        <w:spacing w:after="0" w:line="179" w:lineRule="exact"/>
        <w:rPr>
          <w:rFonts w:ascii="Times New Roman" w:cs="Times New Roman" w:eastAsia="Times New Roman" w:hAnsi="Times New Roman"/>
          <w:sz w:val="14"/>
          <w:szCs w:val="14"/>
          <w:color w:val="auto"/>
        </w:rPr>
      </w:pPr>
    </w:p>
    <w:p>
      <w:pPr>
        <w:ind w:left="540" w:hanging="368"/>
        <w:spacing w:after="0"/>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the value of six months of benefits under the Company’s short-term disability program for salaried employees.</w:t>
      </w:r>
    </w:p>
    <w:p>
      <w:pPr>
        <w:spacing w:after="0" w:line="202" w:lineRule="exact"/>
        <w:rPr>
          <w:rFonts w:ascii="Times New Roman" w:cs="Times New Roman" w:eastAsia="Times New Roman" w:hAnsi="Times New Roman"/>
          <w:sz w:val="14"/>
          <w:szCs w:val="14"/>
          <w:color w:val="auto"/>
        </w:rPr>
      </w:pPr>
    </w:p>
    <w:p>
      <w:pPr>
        <w:ind w:left="540" w:right="100" w:hanging="368"/>
        <w:spacing w:after="0" w:line="267" w:lineRule="auto"/>
        <w:tabs>
          <w:tab w:leader="none" w:pos="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change in control severance agreement, Mr. Feiertag is entitled to 1.5 times his base salary plus most recent bonus as severance payments ($737,490), plus benefit continuation for 24 months ($29,014).</w:t>
      </w:r>
    </w:p>
    <w:p>
      <w:pPr>
        <w:spacing w:after="0" w:line="161" w:lineRule="exact"/>
        <w:rPr>
          <w:rFonts w:ascii="Times New Roman" w:cs="Times New Roman" w:eastAsia="Times New Roman" w:hAnsi="Times New Roman"/>
          <w:sz w:val="14"/>
          <w:szCs w:val="14"/>
          <w:color w:val="auto"/>
        </w:rPr>
      </w:pPr>
    </w:p>
    <w:p>
      <w:pPr>
        <w:ind w:left="540" w:right="120" w:hanging="368"/>
        <w:spacing w:after="0" w:line="320" w:lineRule="auto"/>
        <w:tabs>
          <w:tab w:leader="none" w:pos="5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termination in the event of a change in control, performance stock and performance units immediately vest, and stock or cash is paid under the agreements as if the maximum performance objective was achieved. The value of unexercised options is paid in cash. This amount represents the total of 25,250 performance stock and performance stock unit awards valued at $71.91, the closing price of Twin Disc shares on June 29, 2007. In addition, the this figure includes 3,500 of outstanding options, measured as if they were valued at the difference of $71.91 and their exercise price.</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ectPr>
          <w:pgSz w:w="11900" w:h="16838" w:orient="portrait"/>
          <w:cols w:equalWidth="0" w:num="1">
            <w:col w:w="11480"/>
          </w:cols>
          <w:pgMar w:left="220" w:top="161" w:right="199" w:bottom="91"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auto"/>
        </w:rPr>
        <w:t>John H. Batten</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jc w:val="center"/>
              <w:ind w:left="15"/>
              <w:spacing w:after="0"/>
              <w:rPr>
                <w:sz w:val="20"/>
                <w:szCs w:val="20"/>
                <w:color w:val="auto"/>
              </w:rPr>
            </w:pPr>
            <w:r>
              <w:rPr>
                <w:rFonts w:ascii="Times New Roman" w:cs="Times New Roman" w:eastAsia="Times New Roman" w:hAnsi="Times New Roman"/>
                <w:sz w:val="14"/>
                <w:szCs w:val="14"/>
                <w:color w:val="auto"/>
                <w:w w:val="95"/>
              </w:rPr>
              <w:t>Value of Accelerated</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Restricted Stock,</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jc w:val="center"/>
              <w:ind w:left="15"/>
              <w:spacing w:after="0"/>
              <w:rPr>
                <w:sz w:val="20"/>
                <w:szCs w:val="20"/>
                <w:color w:val="auto"/>
              </w:rPr>
            </w:pPr>
            <w:r>
              <w:rPr>
                <w:rFonts w:ascii="Times New Roman" w:cs="Times New Roman" w:eastAsia="Times New Roman" w:hAnsi="Times New Roman"/>
                <w:sz w:val="14"/>
                <w:szCs w:val="14"/>
                <w:color w:val="auto"/>
                <w:w w:val="95"/>
              </w:rPr>
              <w:t>Performance Stock</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and Performance</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jc w:val="center"/>
              <w:ind w:left="18"/>
              <w:spacing w:after="0"/>
              <w:rPr>
                <w:sz w:val="20"/>
                <w:szCs w:val="20"/>
                <w:color w:val="auto"/>
              </w:rPr>
            </w:pPr>
            <w:r>
              <w:rPr>
                <w:rFonts w:ascii="Times New Roman" w:cs="Times New Roman" w:eastAsia="Times New Roman" w:hAnsi="Times New Roman"/>
                <w:sz w:val="14"/>
                <w:szCs w:val="14"/>
                <w:color w:val="auto"/>
                <w:w w:val="96"/>
              </w:rPr>
              <w:t>Non-Equity</w:t>
            </w:r>
          </w:p>
        </w:tc>
        <w:tc>
          <w:tcPr>
            <w:tcW w:w="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Stock Units, and Stock</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center"/>
              <w:ind w:left="7"/>
              <w:spacing w:after="0"/>
              <w:rPr>
                <w:sz w:val="20"/>
                <w:szCs w:val="20"/>
                <w:color w:val="auto"/>
              </w:rPr>
            </w:pPr>
            <w:r>
              <w:rPr>
                <w:rFonts w:ascii="Times New Roman" w:cs="Times New Roman" w:eastAsia="Times New Roman" w:hAnsi="Times New Roman"/>
                <w:sz w:val="14"/>
                <w:szCs w:val="14"/>
                <w:color w:val="auto"/>
                <w:w w:val="96"/>
              </w:rPr>
              <w:t>Base Salary</w:t>
            </w:r>
          </w:p>
        </w:tc>
        <w:tc>
          <w:tcPr>
            <w:tcW w:w="1420" w:type="dxa"/>
            <w:vAlign w:val="bottom"/>
          </w:tcPr>
          <w:p>
            <w:pPr>
              <w:jc w:val="center"/>
              <w:ind w:left="45"/>
              <w:spacing w:after="0"/>
              <w:rPr>
                <w:sz w:val="20"/>
                <w:szCs w:val="20"/>
                <w:color w:val="auto"/>
              </w:rPr>
            </w:pPr>
            <w:r>
              <w:rPr>
                <w:rFonts w:ascii="Times New Roman" w:cs="Times New Roman" w:eastAsia="Times New Roman" w:hAnsi="Times New Roman"/>
                <w:sz w:val="14"/>
                <w:szCs w:val="14"/>
                <w:color w:val="auto"/>
              </w:rPr>
              <w:t>Bonus</w:t>
            </w:r>
          </w:p>
        </w:tc>
        <w:tc>
          <w:tcPr>
            <w:tcW w:w="20" w:type="dxa"/>
            <w:vAlign w:val="bottom"/>
          </w:tcPr>
          <w:p>
            <w:pPr>
              <w:spacing w:after="0"/>
              <w:rPr>
                <w:sz w:val="17"/>
                <w:szCs w:val="17"/>
                <w:color w:val="auto"/>
              </w:rPr>
            </w:pPr>
          </w:p>
        </w:tc>
        <w:tc>
          <w:tcPr>
            <w:tcW w:w="1120" w:type="dxa"/>
            <w:vAlign w:val="bottom"/>
          </w:tcPr>
          <w:p>
            <w:pPr>
              <w:jc w:val="center"/>
              <w:ind w:left="18"/>
              <w:spacing w:after="0"/>
              <w:rPr>
                <w:sz w:val="20"/>
                <w:szCs w:val="20"/>
                <w:color w:val="auto"/>
              </w:rPr>
            </w:pPr>
            <w:r>
              <w:rPr>
                <w:rFonts w:ascii="Times New Roman" w:cs="Times New Roman" w:eastAsia="Times New Roman" w:hAnsi="Times New Roman"/>
                <w:sz w:val="14"/>
                <w:szCs w:val="14"/>
                <w:color w:val="auto"/>
                <w:w w:val="94"/>
              </w:rPr>
              <w:t>Incentive Plan</w:t>
            </w:r>
          </w:p>
        </w:tc>
        <w:tc>
          <w:tcPr>
            <w:tcW w:w="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Options</w:t>
            </w:r>
          </w:p>
        </w:tc>
        <w:tc>
          <w:tcPr>
            <w:tcW w:w="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Other Benefits</w:t>
            </w:r>
          </w:p>
        </w:tc>
        <w:tc>
          <w:tcPr>
            <w:tcW w:w="1140" w:type="dxa"/>
            <w:vAlign w:val="bottom"/>
          </w:tcPr>
          <w:p>
            <w:pPr>
              <w:jc w:val="center"/>
              <w:ind w:left="44"/>
              <w:spacing w:after="0"/>
              <w:rPr>
                <w:sz w:val="20"/>
                <w:szCs w:val="20"/>
                <w:color w:val="auto"/>
              </w:rPr>
            </w:pPr>
            <w:r>
              <w:rPr>
                <w:rFonts w:ascii="Times New Roman" w:cs="Times New Roman" w:eastAsia="Times New Roman" w:hAnsi="Times New Roman"/>
                <w:sz w:val="14"/>
                <w:szCs w:val="14"/>
                <w:color w:val="auto"/>
                <w:w w:val="94"/>
              </w:rPr>
              <w:t>Total</w:t>
            </w:r>
          </w:p>
        </w:tc>
      </w:tr>
      <w:tr>
        <w:trPr>
          <w:trHeight w:val="197"/>
        </w:trPr>
        <w:tc>
          <w:tcPr>
            <w:tcW w:w="1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Termination Event</w:t>
            </w:r>
          </w:p>
        </w:tc>
        <w:tc>
          <w:tcPr>
            <w:tcW w:w="76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525"/>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center"/>
              <w:ind w:left="44"/>
              <w:spacing w:after="0"/>
              <w:rPr>
                <w:sz w:val="20"/>
                <w:szCs w:val="20"/>
                <w:color w:val="auto"/>
              </w:rPr>
            </w:pPr>
            <w:r>
              <w:rPr>
                <w:rFonts w:ascii="Times New Roman" w:cs="Times New Roman" w:eastAsia="Times New Roman" w:hAnsi="Times New Roman"/>
                <w:sz w:val="14"/>
                <w:szCs w:val="14"/>
                <w:color w:val="auto"/>
                <w:w w:val="97"/>
              </w:rPr>
              <w:t>($)</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84"/>
              <w:spacing w:after="0"/>
              <w:rPr>
                <w:sz w:val="20"/>
                <w:szCs w:val="20"/>
                <w:color w:val="auto"/>
              </w:rPr>
            </w:pPr>
            <w:r>
              <w:rPr>
                <w:rFonts w:ascii="Times New Roman" w:cs="Times New Roman" w:eastAsia="Times New Roman" w:hAnsi="Times New Roman"/>
                <w:sz w:val="14"/>
                <w:szCs w:val="14"/>
                <w:color w:val="auto"/>
              </w:rPr>
              <w:t>($)</w:t>
            </w:r>
          </w:p>
        </w:tc>
      </w:tr>
      <w:tr>
        <w:trPr>
          <w:trHeight w:val="101"/>
        </w:trPr>
        <w:tc>
          <w:tcPr>
            <w:tcW w:w="1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472"/>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Normal Retirement prior to a</w:t>
            </w:r>
          </w:p>
        </w:tc>
        <w:tc>
          <w:tcPr>
            <w:tcW w:w="20" w:type="dxa"/>
            <w:vAlign w:val="bottom"/>
          </w:tcPr>
          <w:p>
            <w:pPr>
              <w:spacing w:after="0"/>
              <w:rPr>
                <w:sz w:val="24"/>
                <w:szCs w:val="24"/>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Not Eligible on</w:t>
            </w:r>
          </w:p>
        </w:tc>
        <w:tc>
          <w:tcPr>
            <w:tcW w:w="142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Not Eligible on</w:t>
            </w:r>
          </w:p>
        </w:tc>
        <w:tc>
          <w:tcPr>
            <w:tcW w:w="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Not Eligible on 6/30/07</w:t>
            </w:r>
          </w:p>
        </w:tc>
        <w:tc>
          <w:tcPr>
            <w:tcW w:w="2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Not Eligible on 6/30/07</w:t>
            </w:r>
          </w:p>
        </w:tc>
        <w:tc>
          <w:tcPr>
            <w:tcW w:w="2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Not Eligible on 6/30/07</w:t>
            </w:r>
          </w:p>
        </w:tc>
        <w:tc>
          <w:tcPr>
            <w:tcW w:w="11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Not Eligible on 6/30/07</w:t>
            </w:r>
          </w:p>
        </w:tc>
      </w:tr>
      <w:tr>
        <w:trPr>
          <w:trHeight w:val="197"/>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6/30/07</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6/30/07</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8"/>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Death</w:t>
            </w:r>
          </w:p>
        </w:tc>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$200,475</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$910,237 (4)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$1,110,712</w:t>
            </w:r>
          </w:p>
        </w:tc>
      </w:tr>
      <w:tr>
        <w:trPr>
          <w:trHeight w:val="187"/>
        </w:trPr>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8"/>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Disability</w:t>
            </w:r>
          </w:p>
        </w:tc>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$200,475</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$910,237 (4)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$106,731 (5)</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$1,217,443</w:t>
            </w:r>
          </w:p>
        </w:tc>
      </w:tr>
      <w:tr>
        <w:trPr>
          <w:trHeight w:val="187"/>
        </w:trPr>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405"/>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Termination for Cause</w:t>
            </w: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$200,475</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$302,022 (2)</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$502,497</w:t>
            </w:r>
          </w:p>
        </w:tc>
      </w:tr>
      <w:tr>
        <w:trPr>
          <w:trHeight w:val="187"/>
        </w:trPr>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8"/>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Voluntary Termination Prior to</w:t>
            </w:r>
          </w:p>
        </w:tc>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$200,475</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$302,022 (2)</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$502,497</w:t>
            </w:r>
          </w:p>
        </w:tc>
      </w:tr>
      <w:tr>
        <w:trPr>
          <w:trHeight w:val="197"/>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Retirement</w:t>
            </w:r>
          </w:p>
        </w:tc>
        <w:tc>
          <w:tcPr>
            <w:tcW w:w="20" w:type="dxa"/>
            <w:vAlign w:val="bottom"/>
          </w:tcPr>
          <w:p>
            <w:pPr>
              <w:spacing w:after="0"/>
              <w:rPr>
                <w:sz w:val="17"/>
                <w:szCs w:val="17"/>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8"/>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Involuntary Termination or</w:t>
            </w:r>
          </w:p>
        </w:tc>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$200,475</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$1,551,458 (7)</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$680,963 (6)</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$2,432,896</w:t>
            </w:r>
          </w:p>
        </w:tc>
      </w:tr>
      <w:tr>
        <w:trPr>
          <w:trHeight w:val="197"/>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Resignation for Good Cause</w:t>
            </w:r>
          </w:p>
        </w:tc>
        <w:tc>
          <w:tcPr>
            <w:tcW w:w="20" w:type="dxa"/>
            <w:vAlign w:val="bottom"/>
          </w:tcPr>
          <w:p>
            <w:pPr>
              <w:spacing w:after="0"/>
              <w:rPr>
                <w:sz w:val="17"/>
                <w:szCs w:val="17"/>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Following Change in Control</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-1967865</wp:posOffset>
            </wp:positionV>
            <wp:extent cx="598424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84240" cy="6350"/>
                    </a:xfrm>
                    <a:prstGeom prst="rect">
                      <a:avLst/>
                    </a:prstGeom>
                    <a:noFill/>
                  </pic:spPr>
                </pic:pic>
              </a:graphicData>
            </a:graphic>
          </wp:anchor>
        </w:drawing>
      </w:r>
    </w:p>
    <w:p>
      <w:pPr>
        <w:spacing w:after="0" w:line="180" w:lineRule="exact"/>
        <w:rPr>
          <w:sz w:val="20"/>
          <w:szCs w:val="20"/>
          <w:color w:val="auto"/>
        </w:rPr>
      </w:pPr>
    </w:p>
    <w:p>
      <w:pPr>
        <w:ind w:left="520" w:hanging="368"/>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Mr. Batten was employed the entire fiscal year, and therefore is entitled to full bonus. This also assumes no discretionary component is paid.</w:t>
      </w:r>
    </w:p>
    <w:p>
      <w:pPr>
        <w:spacing w:after="0" w:line="213" w:lineRule="exact"/>
        <w:rPr>
          <w:rFonts w:ascii="Times New Roman" w:cs="Times New Roman" w:eastAsia="Times New Roman" w:hAnsi="Times New Roman"/>
          <w:sz w:val="14"/>
          <w:szCs w:val="14"/>
          <w:color w:val="auto"/>
        </w:rPr>
      </w:pPr>
    </w:p>
    <w:p>
      <w:pPr>
        <w:ind w:left="520" w:hanging="368"/>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performance awards payable for the performance period ending June 30, 2007. This assumes Mr. Batten was employed through June 30, 2007.</w:t>
      </w:r>
    </w:p>
    <w:p>
      <w:pPr>
        <w:spacing w:after="0" w:line="213" w:lineRule="exact"/>
        <w:rPr>
          <w:rFonts w:ascii="Times New Roman" w:cs="Times New Roman" w:eastAsia="Times New Roman" w:hAnsi="Times New Roman"/>
          <w:sz w:val="14"/>
          <w:szCs w:val="14"/>
          <w:color w:val="auto"/>
        </w:rPr>
      </w:pPr>
    </w:p>
    <w:p>
      <w:pPr>
        <w:ind w:left="520" w:hanging="368"/>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values in this column assume a share or unit value of $71.91, the closing price on June 29, 2007.</w:t>
      </w:r>
    </w:p>
    <w:p>
      <w:pPr>
        <w:spacing w:after="0" w:line="202" w:lineRule="exact"/>
        <w:rPr>
          <w:rFonts w:ascii="Times New Roman" w:cs="Times New Roman" w:eastAsia="Times New Roman" w:hAnsi="Times New Roman"/>
          <w:sz w:val="14"/>
          <w:szCs w:val="14"/>
          <w:color w:val="auto"/>
        </w:rPr>
      </w:pPr>
    </w:p>
    <w:p>
      <w:pPr>
        <w:ind w:left="520" w:hanging="368"/>
        <w:spacing w:after="0" w:line="25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value was calculated by adding 100% of the performance stock and performance stock unit awards payable for the performance period ending June 30, 2007 (4,200) plus two-thirds of the awards payable for the performance period ending June 30, 2008 (5,333) plus one-third of the awards payable for the performance period ending June 30, 2009 (3,125), assuming achievement of target performance levels. The total number of shares was multiplied by $71.91, the closing price of Twin Disc shares on June 29, 2007.</w:t>
      </w:r>
    </w:p>
    <w:p>
      <w:pPr>
        <w:spacing w:after="0" w:line="168" w:lineRule="exact"/>
        <w:rPr>
          <w:rFonts w:ascii="Times New Roman" w:cs="Times New Roman" w:eastAsia="Times New Roman" w:hAnsi="Times New Roman"/>
          <w:sz w:val="14"/>
          <w:szCs w:val="14"/>
          <w:color w:val="auto"/>
        </w:rPr>
      </w:pPr>
    </w:p>
    <w:p>
      <w:pPr>
        <w:ind w:left="520" w:right="120" w:hanging="368"/>
        <w:spacing w:after="0" w:line="26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the value of six months of benefits under the Company’s short-term disability program for Salaried employees. Any benefits payable after six months are provided by a fully- insured disability carrier.</w:t>
      </w:r>
    </w:p>
    <w:p>
      <w:pPr>
        <w:spacing w:after="0" w:line="161" w:lineRule="exact"/>
        <w:rPr>
          <w:rFonts w:ascii="Times New Roman" w:cs="Times New Roman" w:eastAsia="Times New Roman" w:hAnsi="Times New Roman"/>
          <w:sz w:val="14"/>
          <w:szCs w:val="14"/>
          <w:color w:val="auto"/>
        </w:rPr>
      </w:pPr>
    </w:p>
    <w:p>
      <w:pPr>
        <w:ind w:left="520" w:right="60" w:hanging="368"/>
        <w:spacing w:after="0" w:line="26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change in control severance agreement, Mr. Batten is entitled to 1.5 times his base salary plus most recent bonus as severance payments ($638,213) plus benefit continuation for 24 months ($42,750).</w:t>
      </w:r>
    </w:p>
    <w:p>
      <w:pPr>
        <w:spacing w:after="0" w:line="161" w:lineRule="exact"/>
        <w:rPr>
          <w:rFonts w:ascii="Times New Roman" w:cs="Times New Roman" w:eastAsia="Times New Roman" w:hAnsi="Times New Roman"/>
          <w:sz w:val="14"/>
          <w:szCs w:val="14"/>
          <w:color w:val="auto"/>
        </w:rPr>
      </w:pPr>
    </w:p>
    <w:p>
      <w:pPr>
        <w:ind w:left="520" w:right="220" w:hanging="368"/>
        <w:spacing w:after="0" w:line="352" w:lineRule="auto"/>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termination in the event of a change in control, performance stock and performance units immediately vest, and stock or cash is paid under the agreements as if the maximum performance objective was achieved. This amount represents the total of 21,575 performance stock and performance stock unit awards valued at $71.91, the closing price of Twin Disc shares on June 29, 2007.</w:t>
      </w: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110490</wp:posOffset>
            </wp:positionV>
            <wp:extent cx="729742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H. Claude Fabry</w:t>
      </w:r>
    </w:p>
    <w:p>
      <w:pPr>
        <w:spacing w:after="0" w:line="200" w:lineRule="exact"/>
        <w:rPr>
          <w:sz w:val="20"/>
          <w:szCs w:val="20"/>
          <w:color w:val="auto"/>
        </w:rPr>
      </w:pPr>
    </w:p>
    <w:p>
      <w:pPr>
        <w:spacing w:after="0" w:line="23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color w:val="auto"/>
        </w:rPr>
        <w:t>(3)</w:t>
      </w:r>
    </w:p>
    <w:p>
      <w:pPr>
        <w:spacing w:after="0" w:line="36"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4"/>
          <w:szCs w:val="14"/>
          <w:color w:val="auto"/>
        </w:rPr>
        <w:t>Value of Accelerated</w:t>
      </w:r>
    </w:p>
    <w:p>
      <w:pPr>
        <w:spacing w:after="0" w:line="36"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4"/>
          <w:szCs w:val="14"/>
          <w:color w:val="auto"/>
        </w:rPr>
        <w:t>Restricted Stock,</w:t>
      </w:r>
    </w:p>
    <w:p>
      <w:pPr>
        <w:spacing w:after="0" w:line="3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Performance Stock</w:t>
      </w:r>
    </w:p>
    <w:p>
      <w:pPr>
        <w:spacing w:after="0" w:line="36" w:lineRule="exact"/>
        <w:rPr>
          <w:sz w:val="20"/>
          <w:szCs w:val="20"/>
          <w:color w:val="auto"/>
        </w:rPr>
      </w:pPr>
    </w:p>
    <w:p>
      <w:pPr>
        <w:ind w:left="5760" w:hanging="1283"/>
        <w:spacing w:after="0"/>
        <w:tabs>
          <w:tab w:leader="none" w:pos="5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Performance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jc w:val="center"/>
              <w:ind w:left="23"/>
              <w:spacing w:after="0"/>
              <w:rPr>
                <w:sz w:val="20"/>
                <w:szCs w:val="20"/>
                <w:color w:val="auto"/>
              </w:rPr>
            </w:pPr>
            <w:r>
              <w:rPr>
                <w:rFonts w:ascii="Times New Roman" w:cs="Times New Roman" w:eastAsia="Times New Roman" w:hAnsi="Times New Roman"/>
                <w:sz w:val="14"/>
                <w:szCs w:val="14"/>
                <w:color w:val="auto"/>
                <w:w w:val="96"/>
              </w:rPr>
              <w:t>Non-Equity</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Stock Units, and Stock</w:t>
            </w: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7"/>
        </w:trPr>
        <w:tc>
          <w:tcPr>
            <w:tcW w:w="1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Termination Event</w:t>
            </w:r>
          </w:p>
        </w:tc>
        <w:tc>
          <w:tcPr>
            <w:tcW w:w="20" w:type="dxa"/>
            <w:vAlign w:val="bottom"/>
          </w:tcPr>
          <w:p>
            <w:pPr>
              <w:spacing w:after="0"/>
              <w:rPr>
                <w:sz w:val="17"/>
                <w:szCs w:val="17"/>
                <w:color w:val="auto"/>
              </w:rPr>
            </w:pPr>
          </w:p>
        </w:tc>
        <w:tc>
          <w:tcPr>
            <w:tcW w:w="1100" w:type="dxa"/>
            <w:vAlign w:val="bottom"/>
          </w:tcPr>
          <w:p>
            <w:pPr>
              <w:jc w:val="center"/>
              <w:ind w:left="7"/>
              <w:spacing w:after="0"/>
              <w:rPr>
                <w:sz w:val="20"/>
                <w:szCs w:val="20"/>
                <w:color w:val="auto"/>
              </w:rPr>
            </w:pPr>
            <w:r>
              <w:rPr>
                <w:rFonts w:ascii="Times New Roman" w:cs="Times New Roman" w:eastAsia="Times New Roman" w:hAnsi="Times New Roman"/>
                <w:sz w:val="14"/>
                <w:szCs w:val="14"/>
                <w:color w:val="auto"/>
                <w:w w:val="96"/>
              </w:rPr>
              <w:t>Base Salary</w:t>
            </w:r>
          </w:p>
        </w:tc>
        <w:tc>
          <w:tcPr>
            <w:tcW w:w="1100" w:type="dxa"/>
            <w:vAlign w:val="bottom"/>
          </w:tcPr>
          <w:p>
            <w:pPr>
              <w:jc w:val="right"/>
              <w:ind w:right="284"/>
              <w:spacing w:after="0"/>
              <w:rPr>
                <w:sz w:val="20"/>
                <w:szCs w:val="20"/>
                <w:color w:val="auto"/>
              </w:rPr>
            </w:pPr>
            <w:r>
              <w:rPr>
                <w:rFonts w:ascii="Times New Roman" w:cs="Times New Roman" w:eastAsia="Times New Roman" w:hAnsi="Times New Roman"/>
                <w:sz w:val="14"/>
                <w:szCs w:val="14"/>
                <w:color w:val="auto"/>
              </w:rPr>
              <w:t>Bonus</w:t>
            </w:r>
          </w:p>
        </w:tc>
        <w:tc>
          <w:tcPr>
            <w:tcW w:w="1280" w:type="dxa"/>
            <w:vAlign w:val="bottom"/>
          </w:tcPr>
          <w:p>
            <w:pPr>
              <w:jc w:val="center"/>
              <w:ind w:left="3"/>
              <w:spacing w:after="0"/>
              <w:rPr>
                <w:sz w:val="20"/>
                <w:szCs w:val="20"/>
                <w:color w:val="auto"/>
              </w:rPr>
            </w:pPr>
            <w:r>
              <w:rPr>
                <w:rFonts w:ascii="Times New Roman" w:cs="Times New Roman" w:eastAsia="Times New Roman" w:hAnsi="Times New Roman"/>
                <w:sz w:val="14"/>
                <w:szCs w:val="14"/>
                <w:color w:val="auto"/>
                <w:w w:val="96"/>
              </w:rPr>
              <w:t>Incentive Plan</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Options</w:t>
            </w:r>
          </w:p>
        </w:tc>
        <w:tc>
          <w:tcPr>
            <w:tcW w:w="20" w:type="dxa"/>
            <w:vAlign w:val="bottom"/>
          </w:tcPr>
          <w:p>
            <w:pPr>
              <w:spacing w:after="0"/>
              <w:rPr>
                <w:sz w:val="17"/>
                <w:szCs w:val="17"/>
                <w:color w:val="auto"/>
              </w:rPr>
            </w:pPr>
          </w:p>
        </w:tc>
        <w:tc>
          <w:tcPr>
            <w:tcW w:w="116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7"/>
              </w:rPr>
              <w:t>Other Benefits</w:t>
            </w:r>
          </w:p>
        </w:tc>
        <w:tc>
          <w:tcPr>
            <w:tcW w:w="20" w:type="dxa"/>
            <w:vAlign w:val="bottom"/>
          </w:tcPr>
          <w:p>
            <w:pPr>
              <w:spacing w:after="0"/>
              <w:rPr>
                <w:sz w:val="17"/>
                <w:szCs w:val="17"/>
                <w:color w:val="auto"/>
              </w:rPr>
            </w:pPr>
          </w:p>
        </w:tc>
        <w:tc>
          <w:tcPr>
            <w:tcW w:w="7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Total</w:t>
            </w:r>
          </w:p>
        </w:tc>
      </w:tr>
      <w:tr>
        <w:trPr>
          <w:trHeight w:val="197"/>
        </w:trPr>
        <w:tc>
          <w:tcPr>
            <w:tcW w:w="172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(9)</w:t>
            </w:r>
          </w:p>
        </w:tc>
        <w:tc>
          <w:tcPr>
            <w:tcW w:w="1120" w:type="dxa"/>
            <w:vAlign w:val="bottom"/>
            <w:gridSpan w:val="2"/>
          </w:tcPr>
          <w:p>
            <w:pPr>
              <w:jc w:val="right"/>
              <w:ind w:right="387"/>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84"/>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ind w:left="23"/>
              <w:spacing w:after="0"/>
              <w:rPr>
                <w:sz w:val="20"/>
                <w:szCs w:val="20"/>
                <w:color w:val="auto"/>
              </w:rPr>
            </w:pPr>
            <w:r>
              <w:rPr>
                <w:rFonts w:ascii="Times New Roman" w:cs="Times New Roman" w:eastAsia="Times New Roman" w:hAnsi="Times New Roman"/>
                <w:sz w:val="14"/>
                <w:szCs w:val="14"/>
                <w:color w:val="auto"/>
                <w:w w:val="97"/>
              </w:rPr>
              <w:t>($)</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180" w:type="dxa"/>
            <w:vAlign w:val="bottom"/>
            <w:gridSpan w:val="2"/>
          </w:tcPr>
          <w:p>
            <w:pPr>
              <w:jc w:val="right"/>
              <w:ind w:right="39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r>
      <w:tr>
        <w:trPr>
          <w:trHeight w:val="101"/>
        </w:trPr>
        <w:tc>
          <w:tcPr>
            <w:tcW w:w="1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r>
      <w:tr>
        <w:trPr>
          <w:trHeight w:val="472"/>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Normal Retirement prior to a</w:t>
            </w:r>
          </w:p>
        </w:tc>
        <w:tc>
          <w:tcPr>
            <w:tcW w:w="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100" w:type="dxa"/>
            <w:vAlign w:val="bottom"/>
          </w:tcPr>
          <w:p>
            <w:pPr>
              <w:jc w:val="right"/>
              <w:ind w:right="464"/>
              <w:spacing w:after="0"/>
              <w:rPr>
                <w:sz w:val="20"/>
                <w:szCs w:val="20"/>
                <w:color w:val="auto"/>
              </w:rPr>
            </w:pPr>
            <w:r>
              <w:rPr>
                <w:rFonts w:ascii="Times New Roman" w:cs="Times New Roman" w:eastAsia="Times New Roman" w:hAnsi="Times New Roman"/>
                <w:sz w:val="10"/>
                <w:szCs w:val="10"/>
                <w:color w:val="auto"/>
              </w:rPr>
              <w:t>$0</w:t>
            </w: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0"/>
                <w:szCs w:val="10"/>
                <w:color w:val="auto"/>
              </w:rPr>
              <w:t>$142,573</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$549,536 (4)</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$692,109</w:t>
            </w:r>
          </w:p>
        </w:tc>
      </w:tr>
      <w:tr>
        <w:trPr>
          <w:trHeight w:val="197"/>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20" w:type="dxa"/>
            <w:vAlign w:val="bottom"/>
          </w:tcPr>
          <w:p>
            <w:pPr>
              <w:spacing w:after="0"/>
              <w:rPr>
                <w:sz w:val="17"/>
                <w:szCs w:val="17"/>
                <w:color w:val="auto"/>
              </w:rPr>
            </w:pPr>
          </w:p>
        </w:tc>
        <w:tc>
          <w:tcPr>
            <w:tcW w:w="110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Death</w:t>
            </w:r>
          </w:p>
        </w:tc>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100" w:type="dxa"/>
            <w:vAlign w:val="bottom"/>
          </w:tcPr>
          <w:p>
            <w:pPr>
              <w:jc w:val="right"/>
              <w:ind w:right="464"/>
              <w:spacing w:after="0"/>
              <w:rPr>
                <w:sz w:val="20"/>
                <w:szCs w:val="20"/>
                <w:color w:val="auto"/>
              </w:rPr>
            </w:pPr>
            <w:r>
              <w:rPr>
                <w:rFonts w:ascii="Times New Roman" w:cs="Times New Roman" w:eastAsia="Times New Roman" w:hAnsi="Times New Roman"/>
                <w:sz w:val="10"/>
                <w:szCs w:val="10"/>
                <w:color w:val="auto"/>
              </w:rPr>
              <w:t>$0</w:t>
            </w: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0"/>
                <w:szCs w:val="10"/>
                <w:color w:val="auto"/>
              </w:rPr>
              <w:t>$142,573</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$549,536 (4)</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$692,109</w:t>
            </w:r>
          </w:p>
        </w:tc>
      </w:tr>
      <w:tr>
        <w:trPr>
          <w:trHeight w:val="187"/>
        </w:trPr>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Disability</w:t>
            </w:r>
          </w:p>
        </w:tc>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100" w:type="dxa"/>
            <w:vAlign w:val="bottom"/>
          </w:tcPr>
          <w:p>
            <w:pPr>
              <w:jc w:val="right"/>
              <w:ind w:right="464"/>
              <w:spacing w:after="0"/>
              <w:rPr>
                <w:sz w:val="20"/>
                <w:szCs w:val="20"/>
                <w:color w:val="auto"/>
              </w:rPr>
            </w:pPr>
            <w:r>
              <w:rPr>
                <w:rFonts w:ascii="Times New Roman" w:cs="Times New Roman" w:eastAsia="Times New Roman" w:hAnsi="Times New Roman"/>
                <w:sz w:val="10"/>
                <w:szCs w:val="10"/>
                <w:color w:val="auto"/>
              </w:rPr>
              <w:t>$0</w:t>
            </w: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0"/>
                <w:szCs w:val="10"/>
                <w:color w:val="auto"/>
              </w:rPr>
              <w:t>$142,573</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$549,536 (4)</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$16,740 (5)</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$708,579</w:t>
            </w:r>
          </w:p>
        </w:tc>
      </w:tr>
      <w:tr>
        <w:trPr>
          <w:trHeight w:val="187"/>
        </w:trPr>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Termination for Cause</w:t>
            </w:r>
          </w:p>
        </w:tc>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100" w:type="dxa"/>
            <w:vAlign w:val="bottom"/>
          </w:tcPr>
          <w:p>
            <w:pPr>
              <w:jc w:val="right"/>
              <w:ind w:right="464"/>
              <w:spacing w:after="0"/>
              <w:rPr>
                <w:sz w:val="20"/>
                <w:szCs w:val="20"/>
                <w:color w:val="auto"/>
              </w:rPr>
            </w:pPr>
            <w:r>
              <w:rPr>
                <w:rFonts w:ascii="Times New Roman" w:cs="Times New Roman" w:eastAsia="Times New Roman" w:hAnsi="Times New Roman"/>
                <w:sz w:val="10"/>
                <w:szCs w:val="10"/>
                <w:color w:val="auto"/>
              </w:rPr>
              <w:t>$0</w:t>
            </w: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0"/>
                <w:szCs w:val="10"/>
                <w:color w:val="auto"/>
              </w:rPr>
              <w:t>$142,573</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$302,022 (2)</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$506,623 (6)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$951,218</w:t>
            </w:r>
          </w:p>
        </w:tc>
      </w:tr>
      <w:tr>
        <w:trPr>
          <w:trHeight w:val="187"/>
        </w:trPr>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w w:val="96"/>
              </w:rPr>
              <w:t>Voluntary Termination Prior to</w:t>
            </w:r>
          </w:p>
        </w:tc>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100" w:type="dxa"/>
            <w:vAlign w:val="bottom"/>
          </w:tcPr>
          <w:p>
            <w:pPr>
              <w:jc w:val="right"/>
              <w:ind w:right="464"/>
              <w:spacing w:after="0"/>
              <w:rPr>
                <w:sz w:val="20"/>
                <w:szCs w:val="20"/>
                <w:color w:val="auto"/>
              </w:rPr>
            </w:pPr>
            <w:r>
              <w:rPr>
                <w:rFonts w:ascii="Times New Roman" w:cs="Times New Roman" w:eastAsia="Times New Roman" w:hAnsi="Times New Roman"/>
                <w:sz w:val="10"/>
                <w:szCs w:val="10"/>
                <w:color w:val="auto"/>
              </w:rPr>
              <w:t>$0</w:t>
            </w: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0"/>
                <w:szCs w:val="10"/>
                <w:color w:val="auto"/>
              </w:rPr>
              <w:t>$142,573</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$302,022 (2)</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$444,595</w:t>
            </w:r>
          </w:p>
        </w:tc>
      </w:tr>
      <w:tr>
        <w:trPr>
          <w:trHeight w:val="197"/>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Retirement</w:t>
            </w:r>
          </w:p>
        </w:tc>
        <w:tc>
          <w:tcPr>
            <w:tcW w:w="20" w:type="dxa"/>
            <w:vAlign w:val="bottom"/>
          </w:tcPr>
          <w:p>
            <w:pPr>
              <w:spacing w:after="0"/>
              <w:rPr>
                <w:sz w:val="17"/>
                <w:szCs w:val="17"/>
                <w:color w:val="auto"/>
              </w:rPr>
            </w:pPr>
          </w:p>
        </w:tc>
        <w:tc>
          <w:tcPr>
            <w:tcW w:w="110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Involuntary Termination or</w:t>
            </w:r>
          </w:p>
        </w:tc>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Paid through last</w:t>
            </w:r>
          </w:p>
        </w:tc>
        <w:tc>
          <w:tcPr>
            <w:tcW w:w="1100" w:type="dxa"/>
            <w:vAlign w:val="bottom"/>
          </w:tcPr>
          <w:p>
            <w:pPr>
              <w:jc w:val="right"/>
              <w:ind w:right="464"/>
              <w:spacing w:after="0"/>
              <w:rPr>
                <w:sz w:val="20"/>
                <w:szCs w:val="20"/>
                <w:color w:val="auto"/>
              </w:rPr>
            </w:pPr>
            <w:r>
              <w:rPr>
                <w:rFonts w:ascii="Times New Roman" w:cs="Times New Roman" w:eastAsia="Times New Roman" w:hAnsi="Times New Roman"/>
                <w:sz w:val="10"/>
                <w:szCs w:val="10"/>
                <w:color w:val="auto"/>
              </w:rPr>
              <w:t>$0</w:t>
            </w: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0"/>
                <w:szCs w:val="10"/>
                <w:color w:val="auto"/>
              </w:rPr>
              <w:t>$142,573</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$830,561 (8)</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$515,851 (7)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rPr>
              <w:t>$1,488,985</w:t>
            </w:r>
          </w:p>
        </w:tc>
      </w:tr>
      <w:tr>
        <w:trPr>
          <w:trHeight w:val="197"/>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Resignation for Good Cause</w:t>
            </w:r>
          </w:p>
        </w:tc>
        <w:tc>
          <w:tcPr>
            <w:tcW w:w="20" w:type="dxa"/>
            <w:vAlign w:val="bottom"/>
          </w:tcPr>
          <w:p>
            <w:pPr>
              <w:spacing w:after="0"/>
              <w:rPr>
                <w:sz w:val="17"/>
                <w:szCs w:val="17"/>
                <w:color w:val="auto"/>
              </w:rPr>
            </w:pPr>
          </w:p>
        </w:tc>
        <w:tc>
          <w:tcPr>
            <w:tcW w:w="1100" w:type="dxa"/>
            <w:vAlign w:val="bottom"/>
          </w:tcPr>
          <w:p>
            <w:pPr>
              <w:jc w:val="center"/>
              <w:ind w:right="7"/>
              <w:spacing w:after="0"/>
              <w:rPr>
                <w:sz w:val="20"/>
                <w:szCs w:val="20"/>
                <w:color w:val="auto"/>
              </w:rPr>
            </w:pPr>
            <w:r>
              <w:rPr>
                <w:rFonts w:ascii="Times New Roman" w:cs="Times New Roman" w:eastAsia="Times New Roman" w:hAnsi="Times New Roman"/>
                <w:sz w:val="10"/>
                <w:szCs w:val="10"/>
                <w:color w:val="auto"/>
              </w:rPr>
              <w:t>day worked</w:t>
            </w: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7"/>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Following Change in Control</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-1849120</wp:posOffset>
            </wp:positionV>
            <wp:extent cx="577342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73420" cy="6350"/>
                    </a:xfrm>
                    <a:prstGeom prst="rect">
                      <a:avLst/>
                    </a:prstGeom>
                    <a:noFill/>
                  </pic:spPr>
                </pic:pic>
              </a:graphicData>
            </a:graphic>
          </wp:anchor>
        </w:drawing>
      </w:r>
    </w:p>
    <w:p>
      <w:pPr>
        <w:spacing w:after="0" w:line="180" w:lineRule="exact"/>
        <w:rPr>
          <w:sz w:val="20"/>
          <w:szCs w:val="20"/>
          <w:color w:val="auto"/>
        </w:rPr>
      </w:pPr>
    </w:p>
    <w:p>
      <w:pPr>
        <w:ind w:left="520" w:hanging="368"/>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Mr. Fabry was employed the entire fiscal year, and therefore is entitled to full bonus. This also assumes no discretionary component is paid.</w:t>
      </w:r>
    </w:p>
    <w:p>
      <w:pPr>
        <w:spacing w:after="0" w:line="213" w:lineRule="exact"/>
        <w:rPr>
          <w:rFonts w:ascii="Times New Roman" w:cs="Times New Roman" w:eastAsia="Times New Roman" w:hAnsi="Times New Roman"/>
          <w:sz w:val="14"/>
          <w:szCs w:val="14"/>
          <w:color w:val="auto"/>
        </w:rPr>
      </w:pPr>
    </w:p>
    <w:p>
      <w:pPr>
        <w:ind w:left="520" w:hanging="368"/>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performance awards payable for the performance period ending June 30, 2007. This assumes Mr. Fabry was employed through June 30, 2007</w:t>
      </w:r>
    </w:p>
    <w:p>
      <w:pPr>
        <w:spacing w:after="0" w:line="213" w:lineRule="exact"/>
        <w:rPr>
          <w:rFonts w:ascii="Times New Roman" w:cs="Times New Roman" w:eastAsia="Times New Roman" w:hAnsi="Times New Roman"/>
          <w:sz w:val="14"/>
          <w:szCs w:val="14"/>
          <w:color w:val="auto"/>
        </w:rPr>
      </w:pPr>
    </w:p>
    <w:p>
      <w:pPr>
        <w:ind w:left="520" w:hanging="368"/>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values in this column assume a share or unit value of $71.91, the closing price on June 29, 2007.</w:t>
      </w:r>
    </w:p>
    <w:p>
      <w:pPr>
        <w:spacing w:after="0" w:line="202" w:lineRule="exact"/>
        <w:rPr>
          <w:rFonts w:ascii="Times New Roman" w:cs="Times New Roman" w:eastAsia="Times New Roman" w:hAnsi="Times New Roman"/>
          <w:sz w:val="14"/>
          <w:szCs w:val="14"/>
          <w:color w:val="auto"/>
        </w:rPr>
      </w:pPr>
    </w:p>
    <w:p>
      <w:pPr>
        <w:ind w:left="520" w:hanging="368"/>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value was calculated by adding 100% of the performance stock and performance stock unit awards payable for the performance period ending June 30, 2007 (4,200) plus two-thirds of the awards</w:t>
      </w:r>
    </w:p>
    <w:p>
      <w:pPr>
        <w:sectPr>
          <w:pgSz w:w="11900" w:h="16838" w:orient="portrait"/>
          <w:cols w:equalWidth="0" w:num="1">
            <w:col w:w="11300"/>
          </w:cols>
          <w:pgMar w:left="240" w:top="115" w:right="359" w:bottom="0" w:gutter="0" w:footer="0" w:header="0"/>
        </w:sectPr>
      </w:pPr>
    </w:p>
    <w:bookmarkStart w:id="17" w:name="page18"/>
    <w:bookmarkEnd w:id="17"/>
    <w:p>
      <w:pPr>
        <w:ind w:left="540" w:right="500"/>
        <w:spacing w:after="0" w:line="267" w:lineRule="auto"/>
        <w:rPr>
          <w:sz w:val="20"/>
          <w:szCs w:val="20"/>
          <w:color w:val="auto"/>
        </w:rPr>
      </w:pPr>
      <w:r>
        <w:rPr>
          <w:rFonts w:ascii="Times New Roman" w:cs="Times New Roman" w:eastAsia="Times New Roman" w:hAnsi="Times New Roman"/>
          <w:sz w:val="14"/>
          <w:szCs w:val="14"/>
          <w:color w:val="auto"/>
        </w:rPr>
        <w:t>payable for the performance period ending June 30, 2008 (2,400) plus one-third of the awards payable for the performance period ending June 30, 2009 (1,042), assuming achievement of target performance levels. The total number of shares was multiplied by $71.91, the closing price of Twin Disc shares on June 29, 2007</w:t>
      </w:r>
    </w:p>
    <w:p>
      <w:pPr>
        <w:spacing w:after="0" w:line="172" w:lineRule="exact"/>
        <w:rPr>
          <w:sz w:val="20"/>
          <w:szCs w:val="20"/>
          <w:color w:val="auto"/>
        </w:rPr>
      </w:pPr>
    </w:p>
    <w:p>
      <w:pPr>
        <w:ind w:left="540" w:hanging="368"/>
        <w:spacing w:after="0"/>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one-month’s salary under the Belgian subsidiary’s disability program.</w:t>
      </w:r>
    </w:p>
    <w:p>
      <w:pPr>
        <w:spacing w:after="0" w:line="213" w:lineRule="exact"/>
        <w:rPr>
          <w:rFonts w:ascii="Times New Roman" w:cs="Times New Roman" w:eastAsia="Times New Roman" w:hAnsi="Times New Roman"/>
          <w:sz w:val="14"/>
          <w:szCs w:val="14"/>
          <w:color w:val="auto"/>
        </w:rPr>
      </w:pPr>
    </w:p>
    <w:p>
      <w:pPr>
        <w:ind w:left="540" w:hanging="368"/>
        <w:spacing w:after="0"/>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of severance indemnity benefit required by Belgian law.</w:t>
      </w:r>
    </w:p>
    <w:p>
      <w:pPr>
        <w:spacing w:after="0" w:line="202" w:lineRule="exact"/>
        <w:rPr>
          <w:rFonts w:ascii="Times New Roman" w:cs="Times New Roman" w:eastAsia="Times New Roman" w:hAnsi="Times New Roman"/>
          <w:sz w:val="14"/>
          <w:szCs w:val="14"/>
          <w:color w:val="auto"/>
        </w:rPr>
      </w:pPr>
    </w:p>
    <w:p>
      <w:pPr>
        <w:ind w:left="540" w:right="220" w:hanging="368"/>
        <w:spacing w:after="0" w:line="267" w:lineRule="auto"/>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change in control severance agreement, Mr. Fabry is entitled to 1.5 times his base salary plus most recent bonus as severance payments ($515,180), plus benefit continuation for 24 months ($671). The Belgian operation provides Mr. Fabry with supplemental hospitalization benefits.</w:t>
      </w:r>
    </w:p>
    <w:p>
      <w:pPr>
        <w:spacing w:after="0" w:line="161" w:lineRule="exact"/>
        <w:rPr>
          <w:rFonts w:ascii="Times New Roman" w:cs="Times New Roman" w:eastAsia="Times New Roman" w:hAnsi="Times New Roman"/>
          <w:sz w:val="14"/>
          <w:szCs w:val="14"/>
          <w:color w:val="auto"/>
        </w:rPr>
      </w:pPr>
    </w:p>
    <w:p>
      <w:pPr>
        <w:ind w:left="540" w:right="360" w:hanging="368"/>
        <w:spacing w:after="0" w:line="352" w:lineRule="auto"/>
        <w:tabs>
          <w:tab w:leader="none" w:pos="5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termination in the event of a change in control, performance stock and performance units immediately vest, and stock or cash is paid under the agreements as if the maximum performance objective was achieved. This amount represents the total of 11,550 performance stock and performance stock unit awards valued at $71.91, the closing price of Twin Disc shares on June 29, 2007.</w:t>
      </w:r>
    </w:p>
    <w:p>
      <w:pPr>
        <w:spacing w:after="0" w:line="125" w:lineRule="exact"/>
        <w:rPr>
          <w:rFonts w:ascii="Times New Roman" w:cs="Times New Roman" w:eastAsia="Times New Roman" w:hAnsi="Times New Roman"/>
          <w:sz w:val="12"/>
          <w:szCs w:val="12"/>
          <w:color w:val="auto"/>
        </w:rPr>
      </w:pPr>
    </w:p>
    <w:p>
      <w:pPr>
        <w:ind w:left="540" w:hanging="368"/>
        <w:spacing w:after="0"/>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benefits payable in Euro have been translated to dollars at the average currency exchange rate for fiscal 2007 of 1.30573.</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following table summarizes information regarding the compensation received by each of our non-executive directors during fiscal 2007:</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Change in</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7"/>
        </w:trPr>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Pension</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0"/>
              </w:rPr>
              <w:t>Value and</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Fees</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Nonqualified</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Earned</w:t>
            </w:r>
          </w:p>
        </w:tc>
        <w:tc>
          <w:tcPr>
            <w:tcW w:w="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Stock</w:t>
            </w:r>
          </w:p>
        </w:tc>
        <w:tc>
          <w:tcPr>
            <w:tcW w:w="2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Non-Equity</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Deferred</w:t>
            </w:r>
          </w:p>
        </w:tc>
        <w:tc>
          <w:tcPr>
            <w:tcW w:w="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All Other</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or Paid</w:t>
            </w:r>
          </w:p>
        </w:tc>
        <w:tc>
          <w:tcPr>
            <w:tcW w:w="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Awards</w:t>
            </w:r>
          </w:p>
        </w:tc>
        <w:tc>
          <w:tcPr>
            <w:tcW w:w="20" w:type="dxa"/>
            <w:vAlign w:val="bottom"/>
          </w:tcPr>
          <w:p>
            <w:pPr>
              <w:spacing w:after="0"/>
              <w:rPr>
                <w:sz w:val="17"/>
                <w:szCs w:val="17"/>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Awards</w:t>
            </w:r>
          </w:p>
        </w:tc>
        <w:tc>
          <w:tcPr>
            <w:tcW w:w="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Incentive Plan</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Compensation</w:t>
            </w:r>
          </w:p>
        </w:tc>
        <w:tc>
          <w:tcPr>
            <w:tcW w:w="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Compensation</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Name</w:t>
            </w:r>
          </w:p>
        </w:tc>
        <w:tc>
          <w:tcPr>
            <w:tcW w:w="20" w:type="dxa"/>
            <w:vAlign w:val="bottom"/>
          </w:tcPr>
          <w:p>
            <w:pPr>
              <w:spacing w:after="0"/>
              <w:rPr>
                <w:sz w:val="17"/>
                <w:szCs w:val="17"/>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Year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 Cash</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58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7"/>
                <w:szCs w:val="17"/>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Compensation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Earnings</w:t>
            </w:r>
          </w:p>
        </w:tc>
        <w:tc>
          <w:tcPr>
            <w:tcW w:w="1000" w:type="dxa"/>
            <w:vAlign w:val="bottom"/>
            <w:gridSpan w:val="2"/>
          </w:tcPr>
          <w:p>
            <w:pPr>
              <w:jc w:val="right"/>
              <w:ind w:right="352"/>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7"/>
              </w:rPr>
              <w:t>Total</w:t>
            </w:r>
          </w:p>
        </w:tc>
      </w:tr>
      <w:tr>
        <w:trPr>
          <w:trHeight w:val="95"/>
        </w:trPr>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69"/>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John Mellowes</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2007</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$42,000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$13,606</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$6,747</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$10,899</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2"/>
              </w:rPr>
              <w:t>$73,252</w:t>
            </w:r>
          </w:p>
        </w:tc>
      </w:tr>
      <w:tr>
        <w:trPr>
          <w:trHeight w:val="95"/>
        </w:trPr>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69"/>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Malcolm Moore</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2007</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$30,000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$8,479</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$7,812</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2"/>
              </w:rPr>
              <w:t>$46,291</w:t>
            </w:r>
          </w:p>
        </w:tc>
      </w:tr>
      <w:tr>
        <w:trPr>
          <w:trHeight w:val="95"/>
        </w:trPr>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69"/>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David Rayburn</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2007</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$46,500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$13,606</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$6,747</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2"/>
              </w:rPr>
              <w:t>$11,763</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2"/>
              </w:rPr>
              <w:t>$78,616</w:t>
            </w:r>
          </w:p>
        </w:tc>
      </w:tr>
      <w:tr>
        <w:trPr>
          <w:trHeight w:val="95"/>
        </w:trPr>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69"/>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Harold Stratton II</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2007</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$48,750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$13,606</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$6,747</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$10,962</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2"/>
              </w:rPr>
              <w:t>$80,065</w:t>
            </w:r>
          </w:p>
        </w:tc>
      </w:tr>
      <w:tr>
        <w:trPr>
          <w:trHeight w:val="95"/>
        </w:trPr>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69"/>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David Swift</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2007</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$40,500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$13,606</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$6,747</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$7,475</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2"/>
              </w:rPr>
              <w:t>$68,328</w:t>
            </w:r>
          </w:p>
        </w:tc>
      </w:tr>
      <w:tr>
        <w:trPr>
          <w:trHeight w:val="95"/>
        </w:trPr>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69"/>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w w:val="97"/>
              </w:rPr>
              <w:t>George Wardeberg</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2007</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$15,750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$5,127</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$6,747</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2"/>
              </w:rPr>
              <w:t>$27,624</w:t>
            </w:r>
          </w:p>
        </w:tc>
      </w:tr>
      <w:tr>
        <w:trPr>
          <w:trHeight w:val="95"/>
        </w:trPr>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69"/>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David Zimmer</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2007</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$48,000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$13,606</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$6,747</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2"/>
              </w:rPr>
              <w:t>$11,861</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2"/>
              </w:rPr>
              <w:t>$80,214</w:t>
            </w:r>
          </w:p>
        </w:tc>
      </w:tr>
      <w:tr>
        <w:trPr>
          <w:trHeight w:val="95"/>
        </w:trPr>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bl>
    <w:p>
      <w:pPr>
        <w:spacing w:after="0" w:line="281" w:lineRule="exact"/>
        <w:rPr>
          <w:sz w:val="20"/>
          <w:szCs w:val="20"/>
          <w:color w:val="auto"/>
        </w:rPr>
      </w:pPr>
    </w:p>
    <w:p>
      <w:pPr>
        <w:ind w:left="580" w:hanging="408"/>
        <w:spacing w:after="0"/>
        <w:tabs>
          <w:tab w:leader="none" w:pos="5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Values computed in accordance with Financial Accounting Standards Board Statement No. 123(R), Share- Based Payment (“FAS 123R”).</w:t>
      </w:r>
    </w:p>
    <w:p>
      <w:pPr>
        <w:spacing w:after="0" w:line="213" w:lineRule="exact"/>
        <w:rPr>
          <w:rFonts w:ascii="Times New Roman" w:cs="Times New Roman" w:eastAsia="Times New Roman" w:hAnsi="Times New Roman"/>
          <w:sz w:val="14"/>
          <w:szCs w:val="14"/>
          <w:color w:val="auto"/>
        </w:rPr>
      </w:pPr>
    </w:p>
    <w:p>
      <w:pPr>
        <w:ind w:left="580" w:hanging="374"/>
        <w:spacing w:after="0"/>
        <w:tabs>
          <w:tab w:leader="none" w:pos="5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compensation is comprised of spousal travel.</w:t>
      </w:r>
    </w:p>
    <w:p>
      <w:pPr>
        <w:spacing w:after="0" w:line="369"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4"/>
          <w:szCs w:val="14"/>
          <w:color w:val="auto"/>
        </w:rPr>
        <w:t>Outside Directors of the Corporation (i.e., non-Corporation employees) are paid an annual retainer of $18,000. In addition, outside Directors receive a $1,500 fee for each board meeting and each committee meeting attended and $3,000 per year for serving as a committee chairman. Directors who are officers do not receive any fees in addition to their remuneration as officers.</w:t>
      </w:r>
    </w:p>
    <w:p>
      <w:pPr>
        <w:spacing w:after="0" w:line="14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Outside Directors are eligible to participate in the 1988 Non-Qualified Stock Option Plan for Officers, Key Employees and Directors, the 1998 Stock Option Plan for Non-Employee Directors and the 2004 Stock Incentive Plan for Non-Employee Directors. Under the 2004 Plan, each outside Director who is elected or reelected to the Board at an annual meeting, and each outside Director who continues to serve on the Board following an annual meeting, receives a grant of 600 options and 600 shares of restricted stock as of the annual meeting date. The restricted stock grants vest in equal 1/3 increments from the date of grant. Options are granted with an exercise price equal to the closing price per share of the Company’s common stock as of the date of grant.</w:t>
      </w:r>
    </w:p>
    <w:p>
      <w:pPr>
        <w:spacing w:after="0" w:line="150"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4"/>
          <w:szCs w:val="14"/>
          <w:color w:val="auto"/>
        </w:rPr>
        <w:t>Outside Directors who reach the age of 71 or who retire from full-time employment may be required to retire from the Board of Directors effective as of the completion of their current term. Retired outside directors are entitled to an annual retirement benefit equal to the sum of:</w:t>
      </w:r>
    </w:p>
    <w:p>
      <w:pPr>
        <w:spacing w:after="0" w:line="151" w:lineRule="exact"/>
        <w:rPr>
          <w:sz w:val="20"/>
          <w:szCs w:val="20"/>
          <w:color w:val="auto"/>
        </w:rPr>
      </w:pPr>
    </w:p>
    <w:p>
      <w:pPr>
        <w:ind w:left="500" w:hanging="328"/>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retainer at the time of retirement.</w:t>
      </w:r>
    </w:p>
    <w:p>
      <w:pPr>
        <w:spacing w:after="0" w:line="213" w:lineRule="exact"/>
        <w:rPr>
          <w:rFonts w:ascii="Times New Roman" w:cs="Times New Roman" w:eastAsia="Times New Roman" w:hAnsi="Times New Roman"/>
          <w:sz w:val="14"/>
          <w:szCs w:val="14"/>
          <w:color w:val="auto"/>
        </w:rPr>
      </w:pPr>
    </w:p>
    <w:p>
      <w:pPr>
        <w:ind w:left="500" w:hanging="328"/>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monthly fees for Director Meetings at the rate prevailing at the time of retirement.</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benefit is payable for a term equal to the Director’s years of service or life, whichever is shorter.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4"/>
          <w:szCs w:val="14"/>
          <w:color w:val="auto"/>
        </w:rPr>
        <w:t>There are no compensation committee interlocks between the Company and other entities involving our executive officers and directors who serve as executive officers or directors of such other entities. During the last completed fiscal year, no member of the Compensation Committee was a current or former officer or employee.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 Report</w:t>
      </w:r>
    </w:p>
    <w:p>
      <w:pPr>
        <w:spacing w:after="0" w:line="176" w:lineRule="exact"/>
        <w:rPr>
          <w:sz w:val="20"/>
          <w:szCs w:val="20"/>
          <w:color w:val="auto"/>
        </w:rPr>
      </w:pPr>
    </w:p>
    <w:p>
      <w:pPr>
        <w:ind w:right="440"/>
        <w:spacing w:after="0" w:line="352" w:lineRule="auto"/>
        <w:rPr>
          <w:sz w:val="20"/>
          <w:szCs w:val="20"/>
          <w:color w:val="auto"/>
        </w:rPr>
      </w:pPr>
      <w:r>
        <w:rPr>
          <w:rFonts w:ascii="Times New Roman" w:cs="Times New Roman" w:eastAsia="Times New Roman" w:hAnsi="Times New Roman"/>
          <w:sz w:val="12"/>
          <w:szCs w:val="12"/>
          <w:color w:val="auto"/>
        </w:rPr>
        <w:t>The Compensation Committee of the Board of Directors has reviewed and discussed the Compensation Discussion and Analysis with management. Based on that review and discussion, the Compensation Committee recommended to the Board of Directors that the Compensation Discussion and Analysis be included in the Company’s proxy statement and the Company’s annual report on Form 10-K.</w:t>
      </w:r>
    </w:p>
    <w:p>
      <w:pPr>
        <w:spacing w:after="0" w:line="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Members of the Compensation Committee:</w:t>
      </w:r>
    </w:p>
    <w:p>
      <w:pPr>
        <w:spacing w:after="0" w:line="17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David L. Swift, Chair</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John A. Mellowes</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David B. Rayburn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Committee Report</w:t>
      </w:r>
    </w:p>
    <w:p>
      <w:pPr>
        <w:spacing w:after="0" w:line="17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The following Report of the Audit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ectPr>
          <w:pgSz w:w="11900" w:h="16838" w:orient="portrait"/>
          <w:cols w:equalWidth="0" w:num="1">
            <w:col w:w="11460"/>
          </w:cols>
          <w:pgMar w:left="220" w:top="130" w:right="219" w:bottom="0" w:gutter="0" w:footer="0" w:header="0"/>
        </w:sectPr>
      </w:pPr>
    </w:p>
    <w:bookmarkStart w:id="18" w:name="page19"/>
    <w:bookmarkEnd w:id="18"/>
    <w:p>
      <w:pPr>
        <w:ind w:right="200"/>
        <w:spacing w:after="0" w:line="267" w:lineRule="auto"/>
        <w:rPr>
          <w:sz w:val="20"/>
          <w:szCs w:val="20"/>
          <w:color w:val="auto"/>
        </w:rPr>
      </w:pPr>
      <w:r>
        <w:rPr>
          <w:rFonts w:ascii="Times New Roman" w:cs="Times New Roman" w:eastAsia="Times New Roman" w:hAnsi="Times New Roman"/>
          <w:sz w:val="14"/>
          <w:szCs w:val="14"/>
          <w:color w:val="auto"/>
        </w:rPr>
        <w:t>The Audit Committee charter reflects standards set forth in SEC regulations and NASDAQ Stock Market rules. All members of the Audit Committee are independent, as defined in Rules 4200 and 4350 of the listing standards of the NASDAQ Stock Market.</w:t>
      </w:r>
    </w:p>
    <w:p>
      <w:pPr>
        <w:spacing w:after="0" w:line="141"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4"/>
          <w:szCs w:val="14"/>
          <w:color w:val="auto"/>
        </w:rPr>
        <w:t>The Committee has implemented procedures to ensure that during the course of each fiscal year it devotes the attention that it deems necessary or appropriate to each of the matters assigned to it under the Committee's charter. To carry out its responsibilities, the Committee met eight times during fiscal 2007.</w:t>
      </w:r>
    </w:p>
    <w:p>
      <w:pPr>
        <w:spacing w:after="0" w:line="14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Statement on Auditing Standards No. 61 (Communication with Audit Committee).</w:t>
      </w:r>
    </w:p>
    <w:p>
      <w:pPr>
        <w:spacing w:after="0" w:line="15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The Committee received the written disclosures and the letter required from the independent accountants as required by the Independence Standards Board Standard No. 1 (Independence Discussions with Audit Committee). The Committee also discussed with PricewaterhouseCoopers LLP matters relating to its independence.</w:t>
      </w:r>
    </w:p>
    <w:p>
      <w:pPr>
        <w:spacing w:after="0" w:line="141"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4"/>
          <w:szCs w:val="14"/>
          <w:color w:val="auto"/>
        </w:rPr>
        <w:t>On the basis of these reviews and discussions, the Committee recommended to the Board of Directors that the Board approve the inclusion of the Corporation's audited financial statements in the Corporation's Annual</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Report on Form 10-K for the fiscal year ended June 30, 2007, for filing with the Securities and Exchange Commission.</w:t>
      </w:r>
    </w:p>
    <w:p>
      <w:pPr>
        <w:spacing w:after="0" w:line="17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Audit Committee</w:t>
      </w:r>
    </w:p>
    <w:p>
      <w:pPr>
        <w:spacing w:after="0" w:line="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David R. Zimmer, Chair</w:t>
      </w:r>
    </w:p>
    <w:p>
      <w:pPr>
        <w:spacing w:after="0" w:line="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Malcolm F. Moore</w:t>
      </w:r>
    </w:p>
    <w:p>
      <w:pPr>
        <w:spacing w:after="0" w:line="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David B. Rayburn</w:t>
      </w:r>
    </w:p>
    <w:p>
      <w:pPr>
        <w:spacing w:after="0" w:line="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Harold M. Stratton II</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July 27, 2007</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16 (a) BENEFICIAL OWNERSHIP REPORTING COMPLIANCE</w:t>
      </w:r>
    </w:p>
    <w:p>
      <w:pPr>
        <w:spacing w:after="0" w:line="176" w:lineRule="exact"/>
        <w:rPr>
          <w:sz w:val="20"/>
          <w:szCs w:val="20"/>
          <w:color w:val="auto"/>
        </w:rPr>
      </w:pPr>
    </w:p>
    <w:p>
      <w:pPr>
        <w:ind w:right="60"/>
        <w:spacing w:after="0" w:line="320" w:lineRule="auto"/>
        <w:rPr>
          <w:sz w:val="20"/>
          <w:szCs w:val="20"/>
          <w:color w:val="auto"/>
        </w:rPr>
      </w:pPr>
      <w:r>
        <w:rPr>
          <w:rFonts w:ascii="Times New Roman" w:cs="Times New Roman" w:eastAsia="Times New Roman" w:hAnsi="Times New Roman"/>
          <w:sz w:val="12"/>
          <w:szCs w:val="12"/>
          <w:color w:val="auto"/>
        </w:rPr>
        <w:t>Section 16 of the Securities Exchange Act of 1934 requires the Company’s directors, executive officers and 10% shareholders to file reports of ownership and changes in ownership of Twin Disc stock. Based solely on a review of the copies of such forms furnished to the Corporation and representations from executive officers and Directors, the Corporation believes that during the period from July 1, 2006 to June 30, 2007, all Section 16(a) filing requirements applicable to its executive officers, Directors and greater than ten (10%) beneficial owners were properly filed with the Securities and Exchange Commission.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w:t>
      </w:r>
    </w:p>
    <w:p>
      <w:pPr>
        <w:spacing w:after="0" w:line="176"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4"/>
          <w:szCs w:val="14"/>
          <w:color w:val="auto"/>
        </w:rPr>
        <w:t>The firm of PricewaterhouseCoopers LLP has audited the Corporation’s books annually since 1928. Representatives of PricewaterhouseCoopers LLP are expected to be present at the meeting and, while no formal statement will be made by them, they will be available to respond to appropriate questions.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FEES TO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Fees</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Aggregate fees billed, including out-of-pocket expenses, for professional services rendered by PricewaterhouseCoopers LLP (“PricewaterhouseCoopers”) in connection with (i) the audit of the Company’s consolidated financial statements as of and for the years ended June 30, 2007 and June 30, 2006, including statutory audits of the financial statements of the Company’s affiliates, and (ii) the limited reviews of the Company’s quarterly financial statements were $648,000 and $788,000,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Audit-Related Fees</w:t>
      </w:r>
    </w:p>
    <w:p>
      <w:pPr>
        <w:spacing w:after="0" w:line="17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Aggregate fees billed, for professional services rendered by PricewaterhouseCoopers for assurance and services reasonably related to the performance of the audit or review of the Company’s financial statements not included in audit fees above were $212,000 and $156,000 for the years ended June 30, 2007 and 2006,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Fees</w:t>
      </w:r>
    </w:p>
    <w:p>
      <w:pPr>
        <w:spacing w:after="0" w:line="17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4"/>
          <w:szCs w:val="14"/>
          <w:color w:val="auto"/>
        </w:rPr>
        <w:t>In addition to the other fees described above, aggregate fees billed, including out-of-pocket expenses,of $505,000 and $276,000 were paid to PricewaterhouseCoopers during the years ended June 30, 2007 and 2006, primarily for tax related services. Included in this amount are fees for tax compliance services of</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9742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$110,000 and $116,000 during the years ended June 30, 2007 and 2006, respectively.</w:t>
      </w:r>
    </w:p>
    <w:p>
      <w:pPr>
        <w:spacing w:after="0" w:line="17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4"/>
          <w:szCs w:val="14"/>
          <w:color w:val="auto"/>
        </w:rPr>
        <w:t>The Audit Committee has determined that the provision of services for (a) financial information systems design and implementation fees listed above, if any, and (b) all other fees listed above, is compatible with maintaining PricewaterhouseCoopers LLP’s independence.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 Other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June 30, 2007 and 2006, PricewaterhouseCoopers rendered no professional services to the Company other than those listed under audit fees, audit related fees and tax fees.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PRE-APPROVAL POLICIES AND PROCEDURES</w:t>
      </w:r>
    </w:p>
    <w:p>
      <w:pPr>
        <w:spacing w:after="0" w:line="176" w:lineRule="exact"/>
        <w:rPr>
          <w:sz w:val="20"/>
          <w:szCs w:val="20"/>
          <w:color w:val="auto"/>
        </w:rPr>
      </w:pPr>
    </w:p>
    <w:p>
      <w:pPr>
        <w:ind w:right="520"/>
        <w:spacing w:after="0" w:line="267" w:lineRule="auto"/>
        <w:rPr>
          <w:sz w:val="20"/>
          <w:szCs w:val="20"/>
          <w:color w:val="auto"/>
        </w:rPr>
      </w:pPr>
      <w:r>
        <w:rPr>
          <w:rFonts w:ascii="Times New Roman" w:cs="Times New Roman" w:eastAsia="Times New Roman" w:hAnsi="Times New Roman"/>
          <w:sz w:val="14"/>
          <w:szCs w:val="14"/>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For the year ended June 30, 2007, 100% of audit-related, tax and non-audit fees were pre-approved.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6"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4"/>
          <w:szCs w:val="14"/>
          <w:color w:val="auto"/>
        </w:rPr>
        <w:t>The Corporation will bear the cost of the solicitation of proxies. The firm of Georgeson Shareholder Communications Inc., New York, NY has been retained to assist in solicitation of proxies for the Annual Meeting at a fee not to exceed $7,500 plus expenses.</w:t>
      </w:r>
    </w:p>
    <w:p>
      <w:pPr>
        <w:spacing w:after="0" w:line="14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4"/>
          <w:szCs w:val="14"/>
          <w:color w:val="auto"/>
        </w:rPr>
        <w:t>Management does not know of any other business to come before the meeting. However, if any other matters properly come before the meeting, it is the intention of the persons named in the accompanying form of proxy to vote upon such matters in their discretion in accordance with the authorization of the proxy.</w:t>
      </w:r>
    </w:p>
    <w:p>
      <w:pPr>
        <w:spacing w:after="0" w:line="14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4"/>
          <w:szCs w:val="14"/>
          <w:color w:val="auto"/>
        </w:rPr>
        <w:t xml:space="preserve">If you do not contemplate attending in person, we respectfully request that you fill in, sign and return the accompanying proxy at your earliest convenience. However, remember that in order to have your proxy validated, it must be delivered to the Secretary either in person, by mail, or by messenger, and it must be received by the Secretary not less than forty-eight (48) hours prior to the date of the meeting. Alternatively, shareholders may vote via the Internet by accessing </w:t>
      </w:r>
      <w:r>
        <w:rPr>
          <w:rFonts w:ascii="Times New Roman" w:cs="Times New Roman" w:eastAsia="Times New Roman" w:hAnsi="Times New Roman"/>
          <w:sz w:val="14"/>
          <w:szCs w:val="14"/>
          <w:u w:val="single" w:color="auto"/>
          <w:color w:val="0000FF"/>
        </w:rPr>
        <w:t>www.proxyvoting.com/twin</w:t>
      </w:r>
      <w:r>
        <w:rPr>
          <w:rFonts w:ascii="Times New Roman" w:cs="Times New Roman" w:eastAsia="Times New Roman" w:hAnsi="Times New Roman"/>
          <w:sz w:val="14"/>
          <w:szCs w:val="14"/>
          <w:color w:val="auto"/>
        </w:rPr>
        <w:t xml:space="preserve"> or by telephone at 1-866-540-5760.</w:t>
      </w:r>
    </w:p>
    <w:p>
      <w:pPr>
        <w:sectPr>
          <w:pgSz w:w="11900" w:h="16838" w:orient="portrait"/>
          <w:cols w:equalWidth="0" w:num="1">
            <w:col w:w="11460"/>
          </w:cols>
          <w:pgMar w:left="220" w:top="130" w:right="219"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729742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7420" cy="19050"/>
                    </a:xfrm>
                    <a:prstGeom prst="rect">
                      <a:avLst/>
                    </a:prstGeom>
                    <a:noFill/>
                  </pic:spPr>
                </pic:pic>
              </a:graphicData>
            </a:graphic>
          </wp:anchor>
        </w:drawing>
      </w:r>
    </w:p>
    <w:sectPr>
      <w:pgSz w:w="11900" w:h="16838" w:orient="portrait"/>
      <w:cols w:equalWidth="0" w:num="1">
        <w:col w:w="11460"/>
      </w:cols>
      <w:pgMar w:left="220" w:top="130"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ebdings">
    <w:panose1 w:val="05030102010509060703"/>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lvl w:ilvl="1">
      <w:lvlJc w:val="left"/>
      <w:lvlText w:val="%2)"/>
      <w:numFmt w:val="decimal"/>
      <w:start w:val="1"/>
    </w:lvl>
  </w:abstractNum>
  <w:abstractNum w:abstractNumId="2">
    <w:nsid w:val="431BD7B7"/>
    <w:multiLevelType w:val="hybridMultilevel"/>
    <w:lvl w:ilvl="0">
      <w:lvlJc w:val="left"/>
      <w:lvlText w:val="["/>
      <w:numFmt w:val="bullet"/>
      <w:start w:val="1"/>
    </w:lvl>
    <w:lvl w:ilvl="1">
      <w:lvlJc w:val="left"/>
      <w:lvlText w:val="%2)"/>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lvl w:ilvl="1">
      <w:lvlJc w:val="left"/>
      <w:lvlText w:val="-"/>
      <w:numFmt w:val="bullet"/>
      <w:start w:val="1"/>
    </w:lvl>
  </w:abstractNum>
  <w:abstractNum w:abstractNumId="8">
    <w:nsid w:val="628C895D"/>
    <w:multiLevelType w:val="hybridMultilevel"/>
    <w:lvl w:ilvl="0">
      <w:lvlJc w:val="left"/>
      <w:lvlText w:val="-"/>
      <w:numFmt w:val="bullet"/>
      <w:start w:val="1"/>
    </w:lvl>
    <w:lvl w:ilvl="1">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lowerLetter"/>
      <w:start w:val="1"/>
    </w:lvl>
    <w:lvl w:ilvl="1">
      <w:lvlJc w:val="left"/>
      <w:lvlText w:val="%2."/>
      <w:numFmt w:val="lowerRoman"/>
      <w:start w:val="1"/>
    </w:lvl>
  </w:abstractNum>
  <w:abstractNum w:abstractNumId="11">
    <w:nsid w:val="2443A858"/>
    <w:multiLevelType w:val="hybridMultilevel"/>
    <w:lvl w:ilvl="0">
      <w:lvlJc w:val="left"/>
      <w:lvlText w:val="%1."/>
      <w:numFmt w:val="lowerRoman"/>
      <w:start w:val="6"/>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2"/>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2"/>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2"/>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lowerLetter"/>
      <w:start w:val="4"/>
    </w:lvl>
  </w:abstractNum>
  <w:abstractNum w:abstractNumId="22">
    <w:nsid w:val="2CA88611"/>
    <w:multiLevelType w:val="hybridMultilevel"/>
    <w:lvl w:ilvl="0">
      <w:lvlJc w:val="left"/>
      <w:lvlText w:val="·"/>
      <w:numFmt w:val="bullet"/>
      <w:start w:val="1"/>
    </w:lvl>
    <w:lvl w:ilvl="1">
      <w:lvlJc w:val="left"/>
      <w:lvlText w:val="·"/>
      <w:numFmt w:val="bullet"/>
      <w:start w:val="1"/>
    </w:lvl>
  </w:abstractNum>
  <w:abstractNum w:abstractNumId="23">
    <w:nsid w:val="836C40E"/>
    <w:multiLevelType w:val="hybridMultilevel"/>
    <w:lvl w:ilvl="0">
      <w:lvlJc w:val="left"/>
      <w:lvlText w:val="o"/>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5"/>
    </w:lvl>
  </w:abstractNum>
  <w:abstractNum w:abstractNumId="31">
    <w:nsid w:val="22221A70"/>
    <w:multiLevelType w:val="hybridMultilevel"/>
    <w:lvl w:ilvl="0">
      <w:lvlJc w:val="left"/>
      <w:lvlText w:val="(%1)"/>
      <w:numFmt w:val="decimal"/>
      <w:start w:val="1"/>
    </w:lvl>
    <w:lvl w:ilvl="1">
      <w:lvlJc w:val="left"/>
      <w:lvlText w:val="(%2)"/>
      <w:numFmt w:val="decimal"/>
      <w:start w:val="2"/>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2019-12-13T07:47:10Z</dcterms:created>
  <dcterms:modified xsi:type="dcterms:W3CDTF">2019-12-13T07:47:10Z</dcterms:modified>
</cp:coreProperties>
</file>