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win20260903_def14a.htm"/>
      <w:bookmarkStart w:id="1" w:name="kstwin20260903_def14a"/>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Under Section 240.14a-2.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u w:val="single"/>
        </w:rPr>
      </w:pPr>
      <w:r>
        <w:rPr>
          <w:rFonts w:ascii="Times New Roman" w:hAnsi="Times New Roman"/>
          <w:b/>
          <w:caps w:val="false"/>
          <w:smallCaps w:val="false"/>
          <w:sz w:val="28"/>
          <w:u w:val="single"/>
        </w:rPr>
        <w:t>Twin Disc,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TWIN DISC, INCORPORATED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1289050" cy="596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9050" cy="59690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222 East Erie Street, Suite 400, Milwaukee, Wisconsin 53202</w:t>
      </w:r>
    </w:p>
    <w:p>
      <w:pPr>
        <w:pStyle w:val="TextBody"/>
        <w:bidi w:val="0"/>
        <w:ind w:left="0" w:right="0" w:hanging="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NOTICE OF ANNUAL MEETING OF SHAREHOLDERS </w:t>
      </w:r>
      <w:r>
        <w:rPr>
          <w:rFonts w:ascii="Times New Roman" w:hAnsi="Times New Roman"/>
          <w:caps w:val="false"/>
          <w:smallCaps w:val="false"/>
          <w:sz w:val="20"/>
        </w:rPr>
        <w:t xml:space="preserve">– </w:t>
      </w:r>
      <w:r>
        <w:rPr>
          <w:rFonts w:ascii="Times New Roman" w:hAnsi="Times New Roman"/>
          <w:b/>
          <w:caps w:val="false"/>
          <w:smallCaps w:val="false"/>
          <w:sz w:val="20"/>
        </w:rPr>
        <w:t>OCTOBER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IS HEREBY GIVEN TO THE SHAREHOLDERS OF 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Annual Meeting of Shareholders (the “Annual Meeting”) of Twin Disc, Incorporated, a Wisconsin corporation (the “Corporation”), will be held at 2:00 P.M. (Central Time) on Thursday, October 29, 2026, at the offices of von Briesen &amp; Roper, s.c., 411 East Wisconsin Avenue, Suite 1000, Milwaukee, Wisconsin 53202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elect two Directors to serve until the Annual Meeting of Shareholders in 2029.</w:t>
            </w:r>
          </w:p>
        </w:tc>
      </w:tr>
    </w:tbl>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60"/>
        <w:gridCol w:w="170"/>
        <w:gridCol w:w="8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consider an advisory vote to approve the compensation of the Corporation’s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ratify the appointment of RSM US LLP, an independent registered public accounting firm, as our independent auditors for the fiscal year ending June 30, 2027.</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60"/>
        <w:gridCol w:w="170"/>
        <w:gridCol w:w="7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7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approve the Twin Disc, Incorporated Amended and Restated 2021 Omnibus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0"/>
        <w:gridCol w:w="170"/>
        <w:gridCol w:w="6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6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transact any other business that may properly come before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Only holders of record of shares of common stock of the Corporation at the close of business on August 21, 2026, shall be entitled to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tbl>
      <w:tblPr>
        <w:tblW w:w="1550" w:type="dxa"/>
        <w:jc w:val="left"/>
        <w:tblInd w:w="0" w:type="dxa"/>
        <w:tblLayout w:type="fixed"/>
        <w:tblCellMar>
          <w:top w:w="0" w:type="dxa"/>
          <w:left w:w="0" w:type="dxa"/>
          <w:bottom w:w="0" w:type="dxa"/>
          <w:right w:w="0" w:type="dxa"/>
        </w:tblCellMar>
      </w:tblPr>
      <w:tblGrid>
        <w:gridCol w:w="60"/>
        <w:gridCol w:w="1490"/>
      </w:tblGrid>
      <w:tr>
        <w:trPr/>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Important Notice Regarding the Availability of Proxy Materials for the Shareholder Meeting to be Held on October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proxy materials, including the Proxy Statement and 2026 Annual Report on Form 10-K, are available over the internet at </w:t>
      </w:r>
      <w:r>
        <w:rPr>
          <w:rFonts w:ascii="Times New Roman" w:hAnsi="Times New Roman"/>
          <w:b/>
          <w:caps w:val="false"/>
          <w:smallCaps w:val="false"/>
          <w:sz w:val="20"/>
        </w:rPr>
        <w:t>http://ir.twindisc.com/proxy</w:t>
      </w:r>
      <w:r>
        <w:rPr>
          <w:rFonts w:ascii="Times New Roman" w:hAnsi="Times New Roman"/>
          <w:caps w:val="false"/>
          <w:smallCaps w:val="false"/>
          <w:sz w:val="20"/>
        </w:rPr>
        <w:t>, and most of our stockholders will receive only a notice (“Notice”) containing instructions on how to access the proxy materials over the internet and vote online. If you receive this Notice but would still like to receive paper copies of the proxy materials, please follow the instructions on the Notice or on the website referred to on the Notice.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YOUR VOTE IS IMPORTANT! WHETHER OR NOT YOU PLAN TO ATTEND THE ANNUAL MEETING OF SHAREHOLDERS IN PERSON, WE ASK YOU TO PLEASE TAKE ADVANTAGE OF ONE OF THE OPTIONS YOU HAVE FOR VOTING YOUR SHARES IN ADVANCE OF THE ANNUAL MEETING. MOST SHAREHOLDERS HAVE THREE OPTIONS FOR SUBMITTING THEIR VOTE: (1) VIA THE INTERNET; (2) BY TELEPHONE; OR (3) IF YOU RECEIVED PAPER COPIES OF THE PROXY MATERIALS, BY SIGNING AND RETURNING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2026 Proxy Statement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TWIN DISC,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DATE, TIME AND PLACE OF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proxy statement is furnished in connection with the solicitation by the Board of Directors of the Corporation of proxies for use at the Annual Meeting of Shareholders to be held at 2:00 P.M. (Central Time), at the offices of von Briesen &amp; Roper, s.c., 411 East Wisconsin Avenue, Suite 1000, Milwaukee, Wisconsin, 53202 on Thursday, October 29, 2026, or any adjournment thereof. Holders of common stock of record at the close of business on August 21, 2026 (the “Record Date”),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intends to commence distribution of this proxy statement and accompanying form of proxy to shareholders on or about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TO VOTE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Shareholders may vote their shares by properly appointing a proxy, voting in advance of the Annual Meeting via the Internet or by phone, or attending and voting during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Registered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Registered shareholders of the Corporation (shareholders who hold shares through the Corporation’s transfer agent, Computershare) may appoint a proxy by delivering, either in person, by mail or by messenger, the enclosed proxy appointment form. Appointment forms must be received by the Secretary of the Corporation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Registered shareholders may also vote via the Internet by accessing </w:t>
      </w:r>
      <w:r>
        <w:rPr>
          <w:rFonts w:ascii="Times New Roman" w:hAnsi="Times New Roman"/>
          <w:b/>
          <w:caps w:val="false"/>
          <w:smallCaps w:val="false"/>
          <w:sz w:val="20"/>
        </w:rPr>
        <w:t>www.investorvote.com/twin</w:t>
      </w:r>
      <w:r>
        <w:rPr>
          <w:rFonts w:ascii="Times New Roman" w:hAnsi="Times New Roman"/>
          <w:caps w:val="false"/>
          <w:smallCaps w:val="false"/>
          <w:sz w:val="20"/>
        </w:rPr>
        <w:t xml:space="preserve"> or by telephone at 1-800-652-8683. The telephone and Internet voting procedures are designed to authenticate the shareholder’s identity, to allow the shareholder to give voting instructions and to confirm that such instructions have been properly recorded. Registered shareholders may vote via the Internet or by telephone up to 11:59 PM Eastern Time on October 28, 2026. Shareholders that vote via the Internet should understand that there might be costs associated with electronic access that they must bear, such as usage charges from Internet access providers and telecommunications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Street Name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Street name shareholders (shareholders whose shares are registered in the name of a bank or brokerage firm) will receive instructions from the bank or broker that they must follow to have their shares voted. Street name shareholders may be eligible to vote their shares electronically via the Internet or by telephone. If the bank or brokerage firm is participating in the Broadridge Investor Communication Services’ program, the voting form will provide instructions about how to vote shares electronically.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TO REVOKE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attending the Annual Meeting and voting the shares, or by delivering a signed written statement revoking the proxy to the Secretary prior to the date of the Annual Meeting. ANY ATTEMPTED REVOCATIONS NOT MEETING THE ABOVE REQUIREMENTS WILL BE RULED INVALID.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RECORD DATE AND QUORUM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record date with respect to this solicitation is August 21, 2026. On that date, there were outstanding 14,538,916 shares of common stock of the Corporation entitled to vote at the Annual Meeting. There also are 200,000 shares of no-par preferred stock authorized, of which 150,000 shares have been designated Series A Junior Preferred Stock, but none are outstanding. The presence of a majority of the outstanding shares of common stock of the Corporation, either represented by a signed proxy appointment or electronic proxy vote or present in person, will constitute a quorum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SHAREHOLDER PROPOSALS FOR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shareholder wishes to present a proposal for consideration for inclusion in the Notice of the Meeting and Proxy Statement for the 2027 Annual Meeting of Shareholders, the proposal must be received at the Corporation’s principal executive offices no later than May 17, 2027. Shareholder proposals received later than July 16, 2027 will be considered untimely, and will not be considered at the Corporation’s 2027 Annual Meeting. Any such proposal must comply with the requirements of Section (14)(a) of the Corporation’s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shareholder wishes to nominate a person for election to the Board of Directors of the Corporation, such nomination shall be made pursuant to timely notice in writing to the Secretary of the Corporation. To be timely for the 2027 Annual Meeting, such notice must be delivered to or mailed and received at the principal executive offices of the Corporation no later than July 16, 2027. Any such notice must comply with the requirements of Section (14)(b) of the Corporation’s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satisfying the foregoing requirements under the Corporation’s Restated Bylaws, to comply with the universal proxy rules for the 2027 Annual Meeting of Shareholders, shareholders who intend to solicit proxies in support of director nominees other than the Corporation’s nominees must provide notice that complies with Rule 14a-19 under the Exchange Act by August 30,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PERSONS MAKING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VOTES REQUIRED FOR PROPOSALS AND HOW VOTES WILL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advisory vote on the compensation of the Corporation’s Named Executive Officers (Proposal No. 2), votes may be cast “For” or “Against” or a shareholder may abstain from casting a vote. Votes “For” must exceed votes “Against” in order for the resolution on compensation of the Named Executive Officers to be considered approved by the shareholders. Abstentions and broker non-votes, as defined below, will not be counted as votes cast in connection with this proposal, and will have no effect on the outcome of the approval of this proposal. This vote is not binding on the Corporation. The Compensation and Human Capital Committee of the Board of Directors will take the results of the vote into consideration in addressing future compensation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ratification of the appointment of independent auditors (Proposal No. 3), votes may be cast “For” or “Against” or a shareholder may abstain from casting a vote. Abstentions will not be counted as votes cast in connection with this proposal, and will have no effect on the outcome of the approval of this proposal. The appointment will be ratified if a majority of the shares present and entitled to vote on the matter are voted “For” ratification. If the appointment of the independent auditors is not ratified, the Audit Committee will reconsider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approval of the Twin Disc, Incorporated Amended and Restated 2021 Omnibus Incentive Plan (Proposal No. 4), votes may be cast “For” or “Against” or a shareholder may abstain from casting a vote. Abstentions and broker non-votes, as defined below, will not be counted as votes cast in connection with this proposal, and will have no effect on the outcome of the approval of this proposal. The proposal will be approved if a majority of the shares present and entitled to vote on the matter are voted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may be specified on all proposals submitted to shareholders, other than for the election of Directors. In accordance with Wisconsin law and the Corporation’s Restated Bylaws, abstentions will be counted for purposes of determining the presence or absence of a quorum for the transaction of business at the Annual Meeting, but will not be counted as votes cast with respect to any of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Brokers and other nominees may vote on the ratification of the appointment of RSM US LLP as our independent auditors for the fiscal year ending June 30, 2027 (Proposal No. 3) without specific instructions from beneficial owners. Therefore, no broker non-votes are expected to exist in connection with this proposal. However, brokers or other nominees may not vote on the election of Directors (Proposal No. 1) or the advisory vote on Named Executive Officer compensation (Proposal No. 2), or the approval of the Twin Disc, Incorporated Amended and Restated 2021 Omnibus Incentive Plan (Proposal No. 4) without specific instructions from the beneficial owners of the shares. Therefore, an undetermined number of broker non-votes may occur on Proposals No. 1, 2 and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SHAREHOLDERS,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records of the Corporation, filings with the Securities and Exchange Commission as of August 14, 2026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pStyle w:val="TextBody"/>
        <w:bidi w:val="0"/>
        <w:spacing w:before="0" w:after="0"/>
        <w:ind w:left="0" w:right="0" w:hanging="0"/>
        <w:jc w:val="left"/>
        <w:rPr>
          <w:caps w:val="false"/>
          <w:smallCaps w:val="false"/>
        </w:rPr>
      </w:pPr>
      <w:r>
        <w:rPr>
          <w:caps w:val="false"/>
          <w:smallCaps w:val="false"/>
        </w:rPr>
        <w:t> </w:t>
      </w:r>
    </w:p>
    <w:tbl>
      <w:tblPr>
        <w:tblW w:w="7204" w:type="dxa"/>
        <w:jc w:val="left"/>
        <w:tblInd w:w="0" w:type="dxa"/>
        <w:tblLayout w:type="fixed"/>
        <w:tblCellMar>
          <w:top w:w="0" w:type="dxa"/>
          <w:left w:w="0" w:type="dxa"/>
          <w:bottom w:w="28" w:type="dxa"/>
          <w:right w:w="0" w:type="dxa"/>
        </w:tblCellMar>
      </w:tblPr>
      <w:tblGrid>
        <w:gridCol w:w="1910"/>
        <w:gridCol w:w="1790"/>
        <w:gridCol w:w="1325"/>
        <w:gridCol w:w="60"/>
        <w:gridCol w:w="60"/>
        <w:gridCol w:w="845"/>
        <w:gridCol w:w="245"/>
        <w:gridCol w:w="60"/>
        <w:gridCol w:w="92"/>
        <w:gridCol w:w="587"/>
        <w:gridCol w:w="230"/>
      </w:tblGrid>
      <w:tr>
        <w:trPr/>
        <w:tc>
          <w:tcPr>
            <w:tcW w:w="191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79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w:t>
            </w:r>
          </w:p>
        </w:tc>
        <w:tc>
          <w:tcPr>
            <w:tcW w:w="13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Nature of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Beneficial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Ownership</w:t>
            </w:r>
          </w:p>
        </w:tc>
        <w:tc>
          <w:tcPr>
            <w:tcW w:w="60" w:type="dxa"/>
            <w:tcBorders>
              <w:bottom w:val="single" w:sz="2" w:space="0" w:color="000000"/>
            </w:tcBorders>
            <w:vAlign w:val="center"/>
          </w:tcPr>
          <w:p>
            <w:pPr>
              <w:pStyle w:val="TableContents"/>
              <w:bidi w:val="0"/>
              <w:spacing w:before="0" w:after="283"/>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Owned</w:t>
            </w:r>
          </w:p>
        </w:tc>
        <w:tc>
          <w:tcPr>
            <w:tcW w:w="2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79"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of Class</w:t>
            </w:r>
          </w:p>
        </w:tc>
        <w:tc>
          <w:tcPr>
            <w:tcW w:w="230"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 w:type="dxa"/>
            <w:tcBorders/>
            <w:tcMar>
              <w:bottom w:w="0" w:type="dxa"/>
            </w:tcMar>
            <w:vAlign w:val="center"/>
          </w:tcPr>
          <w:p>
            <w:pPr>
              <w:pStyle w:val="TableContents"/>
              <w:bidi w:val="0"/>
              <w:spacing w:before="0" w:after="283"/>
              <w:jc w:val="left"/>
              <w:rPr/>
            </w:pPr>
            <w:r>
              <w:rPr/>
              <w:t> </w:t>
            </w:r>
          </w:p>
        </w:tc>
        <w:tc>
          <w:tcPr>
            <w:tcW w:w="587" w:type="dxa"/>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H. Batten</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704 Waters Edge Rd.</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vote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1,969,694</w:t>
            </w:r>
          </w:p>
        </w:tc>
        <w:tc>
          <w:tcPr>
            <w:tcW w:w="245" w:type="dxa"/>
            <w:tcBorders/>
            <w:shd w:fill="CCEE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Racine, WI</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522,875</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GAMCO Investors, Inc.</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Corporate Center</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vote &amp;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2,152,160</w:t>
            </w:r>
          </w:p>
        </w:tc>
        <w:tc>
          <w:tcPr>
            <w:tcW w:w="245" w:type="dxa"/>
            <w:tcBorders/>
            <w:shd w:fill="CCEE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1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Rye, NY</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dispose of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Juniper Investment</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555 Madison Avenue</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vote &amp;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1,024,954</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7.0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LLC</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w:t>
            </w:r>
          </w:p>
        </w:tc>
        <w:tc>
          <w:tcPr>
            <w:tcW w:w="13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dispose of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245"/>
        <w:gridCol w:w="71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 as trustee under various trusts and as guardian for a non-immediate family member.</w:t>
            </w:r>
          </w:p>
        </w:tc>
      </w:tr>
    </w:tbl>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shares held by various entities which are directly or indirectly controlled by Mario J. Gabelli and for which he acts as chief investment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records of the Corporation, filings with the Securities and Exchange Commission as of August 14, 2026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pStyle w:val="TextBody"/>
        <w:bidi w:val="0"/>
        <w:spacing w:before="0" w:after="0"/>
        <w:ind w:left="0" w:right="0" w:hanging="0"/>
        <w:jc w:val="left"/>
        <w:rPr>
          <w:caps w:val="false"/>
          <w:smallCaps w:val="false"/>
        </w:rPr>
      </w:pPr>
      <w:r>
        <w:rPr>
          <w:caps w:val="false"/>
          <w:smallCaps w:val="false"/>
        </w:rPr>
        <w:t> </w:t>
      </w:r>
    </w:p>
    <w:tbl>
      <w:tblPr>
        <w:tblW w:w="8528" w:type="dxa"/>
        <w:jc w:val="left"/>
        <w:tblInd w:w="0" w:type="dxa"/>
        <w:tblLayout w:type="fixed"/>
        <w:tblCellMar>
          <w:top w:w="0" w:type="dxa"/>
          <w:left w:w="0" w:type="dxa"/>
          <w:bottom w:w="28" w:type="dxa"/>
          <w:right w:w="0" w:type="dxa"/>
        </w:tblCellMar>
      </w:tblPr>
      <w:tblGrid>
        <w:gridCol w:w="4745"/>
        <w:gridCol w:w="60"/>
        <w:gridCol w:w="151"/>
        <w:gridCol w:w="2163"/>
        <w:gridCol w:w="245"/>
        <w:gridCol w:w="60"/>
        <w:gridCol w:w="124"/>
        <w:gridCol w:w="795"/>
        <w:gridCol w:w="185"/>
      </w:tblGrid>
      <w:tr>
        <w:trPr/>
        <w:tc>
          <w:tcPr>
            <w:tcW w:w="47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Name of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Beneficial Owner</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and Nature</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Beneficial Ownership (1)</w:t>
            </w:r>
          </w:p>
        </w:tc>
        <w:tc>
          <w:tcPr>
            <w:tcW w:w="24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Percent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Class</w:t>
            </w:r>
          </w:p>
        </w:tc>
        <w:tc>
          <w:tcPr>
            <w:tcW w:w="185" w:type="dxa"/>
            <w:tcBorders/>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H. Batten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21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2,492,569</w:t>
            </w:r>
          </w:p>
        </w:tc>
        <w:tc>
          <w:tcPr>
            <w:tcW w:w="245" w:type="dxa"/>
            <w:tcBorders/>
            <w:shd w:fill="CCEE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7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S. Knutson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21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181,577</w:t>
            </w:r>
          </w:p>
        </w:tc>
        <w:tc>
          <w:tcPr>
            <w:tcW w:w="245" w:type="dxa"/>
            <w:tcBorders/>
            <w:shd w:fill="FFFF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7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Doar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21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130,363</w:t>
            </w:r>
          </w:p>
        </w:tc>
        <w:tc>
          <w:tcPr>
            <w:tcW w:w="245" w:type="dxa"/>
            <w:tcBorders/>
            <w:shd w:fill="CCEE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7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Janet P. Giesselman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21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51,735</w:t>
            </w:r>
          </w:p>
        </w:tc>
        <w:tc>
          <w:tcPr>
            <w:tcW w:w="245" w:type="dxa"/>
            <w:tcBorders/>
            <w:shd w:fill="FFFF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7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W. Johnson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21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75,280</w:t>
            </w:r>
          </w:p>
        </w:tc>
        <w:tc>
          <w:tcPr>
            <w:tcW w:w="245" w:type="dxa"/>
            <w:tcBorders/>
            <w:shd w:fill="CCEE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7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C. Smiley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21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74,746</w:t>
            </w:r>
          </w:p>
        </w:tc>
        <w:tc>
          <w:tcPr>
            <w:tcW w:w="245" w:type="dxa"/>
            <w:tcBorders/>
            <w:shd w:fill="FFFF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7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Juliann Larimer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21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28,607</w:t>
            </w:r>
          </w:p>
        </w:tc>
        <w:tc>
          <w:tcPr>
            <w:tcW w:w="245" w:type="dxa"/>
            <w:tcBorders/>
            <w:shd w:fill="CCEE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7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Kevin M. Olsen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21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26,066</w:t>
            </w:r>
          </w:p>
        </w:tc>
        <w:tc>
          <w:tcPr>
            <w:tcW w:w="245" w:type="dxa"/>
            <w:tcBorders/>
            <w:shd w:fill="FFFF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7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ind w:left="0" w:right="0" w:hanging="0"/>
              <w:jc w:val="left"/>
              <w:rPr/>
            </w:pPr>
            <w:r>
              <w:rPr/>
              <w:t> </w:t>
            </w:r>
          </w:p>
        </w:tc>
        <w:tc>
          <w:tcPr>
            <w:tcW w:w="2163" w:type="dxa"/>
            <w:tcBorders/>
            <w:shd w:fill="CCEEFF" w:val="clear"/>
            <w:tcMar>
              <w:bottom w:w="0" w:type="dxa"/>
            </w:tcMar>
            <w:vAlign w:val="center"/>
          </w:tcPr>
          <w:p>
            <w:pPr>
              <w:pStyle w:val="TableContents"/>
              <w:bidi w:val="0"/>
              <w:spacing w:before="0" w:after="283"/>
              <w:ind w:left="0" w:right="0" w:hanging="0"/>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ind w:left="0" w:right="0" w:hanging="0"/>
              <w:jc w:val="left"/>
              <w:rPr/>
            </w:pPr>
            <w:r>
              <w:rPr/>
              <w:t> </w:t>
            </w:r>
          </w:p>
        </w:tc>
        <w:tc>
          <w:tcPr>
            <w:tcW w:w="795" w:type="dxa"/>
            <w:tcBorders/>
            <w:shd w:fill="CCEEFF" w:val="clear"/>
            <w:tcMar>
              <w:bottom w:w="0" w:type="dxa"/>
            </w:tcMar>
            <w:vAlign w:val="center"/>
          </w:tcPr>
          <w:p>
            <w:pPr>
              <w:pStyle w:val="TableContents"/>
              <w:bidi w:val="0"/>
              <w:spacing w:before="0" w:after="283"/>
              <w:ind w:left="0" w:right="0" w:hanging="0"/>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Directors and Executive Officers as a group (8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ind w:left="0" w:right="0" w:hanging="0"/>
              <w:jc w:val="left"/>
              <w:rPr/>
            </w:pPr>
            <w:r>
              <w:rPr/>
              <w:t> </w:t>
            </w:r>
          </w:p>
        </w:tc>
        <w:tc>
          <w:tcPr>
            <w:tcW w:w="216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3,060,943</w:t>
            </w:r>
          </w:p>
        </w:tc>
        <w:tc>
          <w:tcPr>
            <w:tcW w:w="245" w:type="dxa"/>
            <w:tcBorders/>
            <w:shd w:fill="FFFFFF" w:val="clear"/>
            <w:tcMar>
              <w:bottom w:w="0" w:type="dxa"/>
            </w:tcM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ind w:left="0" w:right="0" w:hanging="0"/>
              <w:jc w:val="left"/>
              <w:rPr/>
            </w:pPr>
            <w:r>
              <w:rPr/>
              <w:t> </w:t>
            </w:r>
          </w:p>
        </w:tc>
        <w:tc>
          <w:tcPr>
            <w:tcW w:w="7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Denotes ownership of less than one percent of shares outstanding.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listed include any shares owned by a spouse, minor children and immediate relatives who share the same household as a Director or officer. Inclusion of any such shares is not to be considered an admission of beneficial ownership.</w:t>
            </w:r>
          </w:p>
        </w:tc>
      </w:tr>
    </w:tbl>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1,969,694 shares held by Mr. Batten as trustee under various family trusts and as guardian for non-immediate family member. Also includes restricted stock grants of 44,321 shares that vest in fiscal 2029 and 18,756 shares that vest in fiscal 2030.</w:t>
            </w:r>
          </w:p>
        </w:tc>
      </w:tr>
    </w:tbl>
    <w:tbl>
      <w:tblPr>
        <w:tblW w:w="9415" w:type="dxa"/>
        <w:jc w:val="left"/>
        <w:tblInd w:w="0" w:type="dxa"/>
        <w:tblLayout w:type="fixed"/>
        <w:tblCellMar>
          <w:top w:w="0" w:type="dxa"/>
          <w:left w:w="0" w:type="dxa"/>
          <w:bottom w:w="0" w:type="dxa"/>
          <w:right w:w="0" w:type="dxa"/>
        </w:tblCellMar>
      </w:tblPr>
      <w:tblGrid>
        <w:gridCol w:w="60"/>
        <w:gridCol w:w="245"/>
        <w:gridCol w:w="91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1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restricted stock grants of 21,762 shares that vest in fiscal 2029 and 8,734 shares that vest in fiscal 2030.</w:t>
            </w:r>
          </w:p>
        </w:tc>
      </w:tr>
    </w:tbl>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Included above are unvested restricted shares as follows: Mr. Doar 8,232, Ms. Giesselman 5,378, Mr. Johnson 6,300, Mr. Smiley 5,378, Ms. Larimer 5,378 and Mr. Olsen 5,378.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1: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of Directors has nominated the following persons to serve as Directors for the Corporation, each for a term to expire at the Annual Meeting of Shareholders following the fiscal year ending June 30, 2029, as indicated below. Shares of common stock represented by properly executed proxy appointments will be voted for the two nominees listed unless authority to do so is withheld.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2"/>
        <w:gridCol w:w="60"/>
        <w:gridCol w:w="4278"/>
        <w:gridCol w:w="60"/>
        <w:gridCol w:w="3784"/>
        <w:gridCol w:w="60"/>
        <w:gridCol w:w="1211"/>
      </w:tblGrid>
      <w:tr>
        <w:trPr/>
        <w:tc>
          <w:tcPr>
            <w:tcW w:w="752"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Age</w:t>
            </w:r>
          </w:p>
        </w:tc>
        <w:tc>
          <w:tcPr>
            <w:tcW w:w="60" w:type="dxa"/>
            <w:tcBorders>
              <w:bottom w:val="single" w:sz="2" w:space="0" w:color="000000"/>
            </w:tcBorders>
            <w:vAlign w:val="center"/>
          </w:tcPr>
          <w:p>
            <w:pPr>
              <w:pStyle w:val="TableContents"/>
              <w:bidi w:val="0"/>
              <w:spacing w:before="0" w:after="283"/>
              <w:jc w:val="left"/>
              <w:rPr/>
            </w:pPr>
            <w:r>
              <w:rPr/>
              <w:t> </w:t>
            </w:r>
          </w:p>
        </w:tc>
        <w:tc>
          <w:tcPr>
            <w:tcW w:w="427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Occupation and Other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Public Company Directorships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Held Within Past Five Years</w:t>
            </w:r>
          </w:p>
        </w:tc>
        <w:tc>
          <w:tcPr>
            <w:tcW w:w="60" w:type="dxa"/>
            <w:tcBorders>
              <w:bottom w:val="single" w:sz="2" w:space="0" w:color="000000"/>
            </w:tcBorders>
            <w:vAlign w:val="center"/>
          </w:tcPr>
          <w:p>
            <w:pPr>
              <w:pStyle w:val="TableContents"/>
              <w:bidi w:val="0"/>
              <w:spacing w:before="0" w:after="283"/>
              <w:jc w:val="left"/>
              <w:rPr/>
            </w:pPr>
            <w:r>
              <w:rPr/>
              <w:t> </w:t>
            </w:r>
          </w:p>
        </w:tc>
        <w:tc>
          <w:tcPr>
            <w:tcW w:w="378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Skills and Qualifications</w:t>
            </w:r>
          </w:p>
        </w:tc>
        <w:tc>
          <w:tcPr>
            <w:tcW w:w="60" w:type="dxa"/>
            <w:tcBorders>
              <w:bottom w:val="single" w:sz="2" w:space="0" w:color="000000"/>
            </w:tcBorders>
            <w:vAlign w:val="center"/>
          </w:tcPr>
          <w:p>
            <w:pPr>
              <w:pStyle w:val="TableContents"/>
              <w:bidi w:val="0"/>
              <w:spacing w:before="0" w:after="283"/>
              <w:jc w:val="left"/>
              <w:rPr/>
            </w:pPr>
            <w:r>
              <w:rPr/>
              <w:t> </w:t>
            </w:r>
          </w:p>
        </w:tc>
        <w:tc>
          <w:tcPr>
            <w:tcW w:w="1211"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Served as Director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Continuously Since</w:t>
            </w:r>
          </w:p>
        </w:tc>
      </w:tr>
      <w:tr>
        <w:trPr/>
        <w:tc>
          <w:tcPr>
            <w:tcW w:w="10205" w:type="dxa"/>
            <w:gridSpan w:val="7"/>
            <w:tcBorders/>
            <w:tcMar>
              <w:bottom w:w="0" w:type="dxa"/>
            </w:tcMar>
            <w:vAlign w:val="center"/>
          </w:tcPr>
          <w:p>
            <w:pPr>
              <w:pStyle w:val="TableContents"/>
              <w:bidi w:val="0"/>
              <w:spacing w:before="0" w:after="283"/>
              <w:jc w:val="left"/>
              <w:rPr/>
            </w:pPr>
            <w:r>
              <w:rPr/>
              <w:t> </w:t>
            </w:r>
          </w:p>
        </w:tc>
      </w:tr>
      <w:tr>
        <w:trPr/>
        <w:tc>
          <w:tcPr>
            <w:tcW w:w="10205" w:type="dxa"/>
            <w:gridSpan w:val="7"/>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TERMS EXPIRE IN 2026:</w:t>
            </w:r>
          </w:p>
        </w:tc>
      </w:tr>
      <w:tr>
        <w:trPr/>
        <w:tc>
          <w:tcPr>
            <w:tcW w:w="10205" w:type="dxa"/>
            <w:gridSpan w:val="7"/>
            <w:tcBorders/>
            <w:shd w:fill="FFFFFF" w:val="clear"/>
            <w:tcMar>
              <w:bottom w:w="0" w:type="dxa"/>
            </w:tcMar>
            <w:vAlign w:val="center"/>
          </w:tcPr>
          <w:p>
            <w:pPr>
              <w:pStyle w:val="TableContents"/>
              <w:bidi w:val="0"/>
              <w:spacing w:before="0" w:after="283"/>
              <w:jc w:val="left"/>
              <w:rPr/>
            </w:pPr>
            <w:r>
              <w:rPr/>
              <w:t> </w:t>
            </w:r>
          </w:p>
        </w:tc>
      </w:tr>
      <w:tr>
        <w:trPr/>
        <w:tc>
          <w:tcPr>
            <w:tcW w:w="752"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Michael Doar</w:t>
            </w:r>
          </w:p>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Age 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Chairman and former Chairman and Chief Executive Officer, Hurco Companies, Inc., Indianapolis, Indiana (A global manufacturer of machine tools)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8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Doar is Executive Chairman and former CEO of a public company. His experience includes strategic planning, financial oversight, compensation and organizational competencies.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2008</w:t>
            </w:r>
          </w:p>
        </w:tc>
      </w:tr>
      <w:tr>
        <w:trPr/>
        <w:tc>
          <w:tcPr>
            <w:tcW w:w="75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8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left"/>
              <w:rPr/>
            </w:pPr>
            <w:r>
              <w:rPr/>
              <w:t> </w:t>
            </w:r>
          </w:p>
        </w:tc>
      </w:tr>
      <w:tr>
        <w:trPr/>
        <w:tc>
          <w:tcPr>
            <w:tcW w:w="752"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Michael C. Smiley</w:t>
            </w:r>
          </w:p>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Age 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Former Chief Financial Officer, Zebra Technologies Corp., Lincolnshire, Illinois (A global provider of enterprise asset intelligence solutions to identify, track and manage the deployment of critical assets for improved business efficiency). Mr. Smiley was previously a Director of the Corporation from 2010–2018.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8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Smiley is a former CFO of a public company. His competencies include strategic planning, financial oversight, mergers and acquisitions, extensive domestic and international experience in complex manufacturing and engineered and technology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2019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THAT YOU VOTE IN FAVOR OF ELECTING THE NOMINEES LISTED ABOVE AS DIRECTORS. UNLESS YOU INDICATE OTHERWISE ON YOUR PROXY, YOUR SHARES WILL BE VOTED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ELECTION OF EACH OF THESE NOMINEES AS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Directors whose terms are continuing, and the classes to which they have been elected, are set forth below. Each Director whose term is continuing was elected to his or her present term of office by a vote of shareholders at a meeting for which proxies were solicited.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4"/>
        <w:gridCol w:w="60"/>
        <w:gridCol w:w="4764"/>
        <w:gridCol w:w="60"/>
        <w:gridCol w:w="3243"/>
        <w:gridCol w:w="60"/>
        <w:gridCol w:w="1184"/>
      </w:tblGrid>
      <w:tr>
        <w:trPr/>
        <w:tc>
          <w:tcPr>
            <w:tcW w:w="83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and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Age</w:t>
            </w:r>
          </w:p>
        </w:tc>
        <w:tc>
          <w:tcPr>
            <w:tcW w:w="60" w:type="dxa"/>
            <w:tcBorders>
              <w:bottom w:val="single" w:sz="2" w:space="0" w:color="000000"/>
            </w:tcBorders>
            <w:vAlign w:val="center"/>
          </w:tcPr>
          <w:p>
            <w:pPr>
              <w:pStyle w:val="TableContents"/>
              <w:bidi w:val="0"/>
              <w:spacing w:before="0" w:after="283"/>
              <w:jc w:val="left"/>
              <w:rPr/>
            </w:pPr>
            <w:r>
              <w:rPr/>
              <w:t> </w:t>
            </w:r>
          </w:p>
        </w:tc>
        <w:tc>
          <w:tcPr>
            <w:tcW w:w="476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Occupation and Other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Public Company Directorships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Held Within Past Five Years</w:t>
            </w:r>
          </w:p>
        </w:tc>
        <w:tc>
          <w:tcPr>
            <w:tcW w:w="60" w:type="dxa"/>
            <w:tcBorders>
              <w:bottom w:val="single" w:sz="2" w:space="0" w:color="000000"/>
            </w:tcBorders>
            <w:vAlign w:val="center"/>
          </w:tcPr>
          <w:p>
            <w:pPr>
              <w:pStyle w:val="TableContents"/>
              <w:bidi w:val="0"/>
              <w:spacing w:before="0" w:after="283"/>
              <w:jc w:val="left"/>
              <w:rPr/>
            </w:pPr>
            <w:r>
              <w:rPr/>
              <w:t> </w:t>
            </w:r>
          </w:p>
        </w:tc>
        <w:tc>
          <w:tcPr>
            <w:tcW w:w="324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Skills and Qualifications</w:t>
            </w:r>
          </w:p>
        </w:tc>
        <w:tc>
          <w:tcPr>
            <w:tcW w:w="60" w:type="dxa"/>
            <w:tcBorders>
              <w:bottom w:val="single" w:sz="2" w:space="0" w:color="000000"/>
            </w:tcBorders>
            <w:vAlign w:val="center"/>
          </w:tcPr>
          <w:p>
            <w:pPr>
              <w:pStyle w:val="TableContents"/>
              <w:bidi w:val="0"/>
              <w:spacing w:before="0" w:after="283"/>
              <w:jc w:val="left"/>
              <w:rPr/>
            </w:pPr>
            <w:r>
              <w:rPr/>
              <w:t> </w:t>
            </w:r>
          </w:p>
        </w:tc>
        <w:tc>
          <w:tcPr>
            <w:tcW w:w="1184"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Served as Director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Continuously Since</w:t>
            </w:r>
          </w:p>
        </w:tc>
      </w:tr>
      <w:tr>
        <w:trPr/>
        <w:tc>
          <w:tcPr>
            <w:tcW w:w="10205" w:type="dxa"/>
            <w:gridSpan w:val="7"/>
            <w:tcBorders/>
            <w:tcMar>
              <w:bottom w:w="0" w:type="dxa"/>
            </w:tcMar>
            <w:vAlign w:val="center"/>
          </w:tcPr>
          <w:p>
            <w:pPr>
              <w:pStyle w:val="TableContents"/>
              <w:bidi w:val="0"/>
              <w:spacing w:before="0" w:after="283"/>
              <w:jc w:val="left"/>
              <w:rPr/>
            </w:pPr>
            <w:r>
              <w:rPr/>
              <w:t> </w:t>
            </w:r>
          </w:p>
        </w:tc>
      </w:tr>
      <w:tr>
        <w:trPr/>
        <w:tc>
          <w:tcPr>
            <w:tcW w:w="10205" w:type="dxa"/>
            <w:gridSpan w:val="7"/>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CONTINUING DIRECTORS WHOSE TERMS EXPIRE IN 2027:</w:t>
            </w:r>
          </w:p>
        </w:tc>
      </w:tr>
      <w:tr>
        <w:trPr/>
        <w:tc>
          <w:tcPr>
            <w:tcW w:w="10205" w:type="dxa"/>
            <w:gridSpan w:val="7"/>
            <w:tcBorders/>
            <w:shd w:fill="FFFFFF" w:val="clear"/>
            <w:tcMar>
              <w:bottom w:w="0" w:type="dxa"/>
            </w:tcMar>
            <w:vAlign w:val="center"/>
          </w:tcPr>
          <w:p>
            <w:pPr>
              <w:pStyle w:val="TableContents"/>
              <w:bidi w:val="0"/>
              <w:spacing w:before="0" w:after="283"/>
              <w:jc w:val="left"/>
              <w:rPr/>
            </w:pPr>
            <w:r>
              <w:rPr/>
              <w:t> </w:t>
            </w:r>
          </w:p>
        </w:tc>
      </w:tr>
      <w:tr>
        <w:trPr/>
        <w:tc>
          <w:tcPr>
            <w:tcW w:w="834"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Janet P. Giesselman</w:t>
            </w:r>
          </w:p>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Age 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Retired President of Dow Oil &amp; Gas, a business unit of The Dow Chemical Company, Midland, Michigan. Also Former Chair of the Board, Ag Growth International (A global provider of grain handling and storage equipment), Director, Corteva Agriscience (The only major agriscience company dedicated to agriculture), Former Director, Avicanna, Inc. (A biopharmaceutical company), Former Director, GCP (A construction company) and Former Director, Omnova Solutions (A global provider of emulsion polymers and specialty chemicals).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 Giesselman is a retired senior executive of a global public company. Her background includes strategic planning, financial oversight, sales, marketing, start-ups, mergers and acquisitions and global regulatory expertise. Ms. Giesselman has extensive international experience and a broad background in the oil and gas and the agricultural sectors.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2015</w:t>
            </w:r>
          </w:p>
        </w:tc>
      </w:tr>
      <w:tr>
        <w:trPr/>
        <w:tc>
          <w:tcPr>
            <w:tcW w:w="8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4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r>
      <w:tr>
        <w:trPr/>
        <w:tc>
          <w:tcPr>
            <w:tcW w:w="834"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David W. Johnson</w:t>
            </w:r>
          </w:p>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Age 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6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Chief Financial Officer, Johnson Outdoors, Inc., Racine, Wisconsin (A global provider of outdoor recreation 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Johnson is a sitting CFO of a public company. His strengths include financial leadership, new business development, operational restructuring, cost savings and strategic analysis.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2"/>
        <w:gridCol w:w="60"/>
        <w:gridCol w:w="4039"/>
        <w:gridCol w:w="60"/>
        <w:gridCol w:w="4347"/>
        <w:gridCol w:w="60"/>
        <w:gridCol w:w="897"/>
      </w:tblGrid>
      <w:tr>
        <w:trPr/>
        <w:tc>
          <w:tcPr>
            <w:tcW w:w="10205" w:type="dxa"/>
            <w:gridSpan w:val="7"/>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CONTINUING DIRECTORS WHOSE TERMS EXPIRE IN 2028:</w:t>
            </w:r>
          </w:p>
        </w:tc>
      </w:tr>
      <w:tr>
        <w:trPr/>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r>
      <w:tr>
        <w:trPr/>
        <w:tc>
          <w:tcPr>
            <w:tcW w:w="7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Age 61</w:t>
            </w:r>
          </w:p>
        </w:tc>
        <w:tc>
          <w:tcPr>
            <w:tcW w:w="60" w:type="dxa"/>
            <w:tcBorders/>
            <w:shd w:fill="CCEEFF" w:val="clear"/>
            <w:vAlign w:val="center"/>
          </w:tcPr>
          <w:p>
            <w:pPr>
              <w:pStyle w:val="TableContents"/>
              <w:bidi w:val="0"/>
              <w:spacing w:before="0" w:after="283"/>
              <w:jc w:val="left"/>
              <w:rPr/>
            </w:pPr>
            <w:r>
              <w:rPr/>
              <w:t> </w:t>
            </w:r>
          </w:p>
        </w:tc>
        <w:tc>
          <w:tcPr>
            <w:tcW w:w="40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Twin Disc, Incorporated since May 2019; formerly President and CEO since July 2013; formerly President and Chief Operating Officer since July 2008, and Executive Vice President since October 2004.</w:t>
            </w:r>
          </w:p>
        </w:tc>
        <w:tc>
          <w:tcPr>
            <w:tcW w:w="60" w:type="dxa"/>
            <w:tcBorders/>
            <w:shd w:fill="CCEEFF" w:val="clear"/>
            <w:vAlign w:val="center"/>
          </w:tcPr>
          <w:p>
            <w:pPr>
              <w:pStyle w:val="TableContents"/>
              <w:bidi w:val="0"/>
              <w:spacing w:before="0" w:after="283"/>
              <w:jc w:val="left"/>
              <w:rPr/>
            </w:pPr>
            <w:r>
              <w:rPr/>
              <w:t> </w:t>
            </w:r>
          </w:p>
        </w:tc>
        <w:tc>
          <w:tcPr>
            <w:tcW w:w="43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Batten is a sitting CEO of a public company. His skill sets include strategic and operational planning, financial oversight, and organizational development as well as extensive domestic and international experience in engineered products and a complex manufacturing environment.</w:t>
            </w:r>
          </w:p>
        </w:tc>
        <w:tc>
          <w:tcPr>
            <w:tcW w:w="6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2002</w:t>
            </w:r>
          </w:p>
        </w:tc>
      </w:tr>
      <w:tr>
        <w:trPr/>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r>
      <w:tr>
        <w:trPr/>
        <w:tc>
          <w:tcPr>
            <w:tcW w:w="7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Juliann Larimer</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Age 60</w:t>
            </w:r>
          </w:p>
        </w:tc>
        <w:tc>
          <w:tcPr>
            <w:tcW w:w="60" w:type="dxa"/>
            <w:tcBorders/>
            <w:shd w:fill="CCEEFF" w:val="clear"/>
            <w:vAlign w:val="center"/>
          </w:tcPr>
          <w:p>
            <w:pPr>
              <w:pStyle w:val="TableContents"/>
              <w:bidi w:val="0"/>
              <w:spacing w:before="0" w:after="283"/>
              <w:jc w:val="left"/>
              <w:rPr/>
            </w:pPr>
            <w:r>
              <w:rPr/>
              <w:t> </w:t>
            </w:r>
          </w:p>
        </w:tc>
        <w:tc>
          <w:tcPr>
            <w:tcW w:w="40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Former Chair of the Board and President and Chief Executive Officer, Peak Technologies, Linthicum Heights, Maryland (A provider of end-to-end mobility and digital supply chain solutions for performance-driven organizations).</w:t>
            </w:r>
          </w:p>
        </w:tc>
        <w:tc>
          <w:tcPr>
            <w:tcW w:w="60" w:type="dxa"/>
            <w:tcBorders/>
            <w:shd w:fill="CCEEFF" w:val="clear"/>
            <w:vAlign w:val="center"/>
          </w:tcPr>
          <w:p>
            <w:pPr>
              <w:pStyle w:val="TableContents"/>
              <w:bidi w:val="0"/>
              <w:spacing w:before="0" w:after="283"/>
              <w:jc w:val="left"/>
              <w:rPr/>
            </w:pPr>
            <w:r>
              <w:rPr/>
              <w:t> </w:t>
            </w:r>
          </w:p>
        </w:tc>
        <w:tc>
          <w:tcPr>
            <w:tcW w:w="43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 Larimer is former Board Chair and CEO of a technology company and former Vice President of Sales for multiple global public companies, (Zebra Technologies and Motorola Solutions). She is skilled in strategic planning, global sales strategy and management of diverse teams.</w:t>
            </w:r>
          </w:p>
        </w:tc>
        <w:tc>
          <w:tcPr>
            <w:tcW w:w="6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2022</w:t>
            </w:r>
          </w:p>
        </w:tc>
      </w:tr>
      <w:tr>
        <w:trPr/>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r>
      <w:tr>
        <w:trPr/>
        <w:tc>
          <w:tcPr>
            <w:tcW w:w="7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M. Olsen</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Age 55</w:t>
            </w:r>
          </w:p>
        </w:tc>
        <w:tc>
          <w:tcPr>
            <w:tcW w:w="60" w:type="dxa"/>
            <w:tcBorders/>
            <w:shd w:fill="CCEEFF" w:val="clear"/>
            <w:vAlign w:val="center"/>
          </w:tcPr>
          <w:p>
            <w:pPr>
              <w:pStyle w:val="TableContents"/>
              <w:bidi w:val="0"/>
              <w:spacing w:before="0" w:after="283"/>
              <w:jc w:val="left"/>
              <w:rPr/>
            </w:pPr>
            <w:r>
              <w:rPr/>
              <w:t> </w:t>
            </w:r>
          </w:p>
        </w:tc>
        <w:tc>
          <w:tcPr>
            <w:tcW w:w="403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 Dorman Products, Colmar Pennsylvania (A supplier of replacement parts for the global automotive aftermarket industry).</w:t>
            </w:r>
          </w:p>
        </w:tc>
        <w:tc>
          <w:tcPr>
            <w:tcW w:w="60" w:type="dxa"/>
            <w:tcBorders/>
            <w:shd w:fill="CCEEFF" w:val="clear"/>
            <w:vAlign w:val="center"/>
          </w:tcPr>
          <w:p>
            <w:pPr>
              <w:pStyle w:val="TableContents"/>
              <w:bidi w:val="0"/>
              <w:spacing w:before="0" w:after="283"/>
              <w:jc w:val="left"/>
              <w:rPr/>
            </w:pPr>
            <w:r>
              <w:rPr/>
              <w:t> </w:t>
            </w:r>
          </w:p>
        </w:tc>
        <w:tc>
          <w:tcPr>
            <w:tcW w:w="43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Olsen is a sitting CEO of a public company, and former CFO. His skills include executive leadership, financial management and strategic planning.</w:t>
            </w:r>
          </w:p>
        </w:tc>
        <w:tc>
          <w:tcPr>
            <w:tcW w:w="6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PROPOSAL 2: ADVISORY VOTE ON THE COMPENSATION OF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CORPORATION</w:t>
      </w:r>
      <w:r>
        <w:rPr>
          <w:rFonts w:ascii="Times New Roman" w:hAnsi="Times New Roman"/>
          <w:caps w:val="false"/>
          <w:smallCaps w:val="false"/>
          <w:sz w:val="20"/>
        </w:rPr>
        <w:t>’</w:t>
      </w:r>
      <w:r>
        <w:rPr>
          <w:rFonts w:ascii="Times New Roman" w:hAnsi="Times New Roman"/>
          <w:b/>
          <w:caps w:val="false"/>
          <w:smallCaps w:val="false"/>
          <w:sz w:val="20"/>
        </w:rPr>
        <w:t>S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2026 compensation practices and programs for the Named Executive Officers by voting on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1080" w:hanging="0"/>
        <w:jc w:val="left"/>
        <w:rPr>
          <w:rFonts w:ascii="Times New Roman" w:hAnsi="Times New Roman"/>
          <w:caps w:val="false"/>
          <w:smallCaps w:val="false"/>
          <w:sz w:val="20"/>
        </w:rPr>
      </w:pPr>
      <w:r>
        <w:rPr>
          <w:rFonts w:ascii="Times New Roman" w:hAnsi="Times New Roman"/>
          <w:b/>
          <w:caps w:val="false"/>
          <w:smallCaps w:val="false"/>
          <w:sz w:val="20"/>
        </w:rPr>
        <w:t>RESOLVED</w:t>
      </w:r>
      <w:r>
        <w:rPr>
          <w:rFonts w:ascii="Times New Roman" w:hAnsi="Times New Roman"/>
          <w:caps w:val="false"/>
          <w:smallCaps w:val="false"/>
          <w:sz w:val="20"/>
        </w:rPr>
        <w:t xml:space="preserve">, that the compensation paid to the Corporation’s Named Executive Officers, as disclosed pursuant to Item 402 of Regulation S-K including the executive compensation disclosures, is hereby </w:t>
      </w:r>
      <w:r>
        <w:rPr>
          <w:rFonts w:ascii="Times New Roman" w:hAnsi="Times New Roman"/>
          <w:b/>
          <w:caps w:val="false"/>
          <w:smallCaps w:val="false"/>
          <w:sz w:val="20"/>
        </w:rPr>
        <w:t>APPROVED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in the “Executive Compensation” section of this Proxy Statement, and in particular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awards were granted in 2023 subject to three-year objectives for return on invested capital and cumulative EBITDA. Based on the cumulative performance of the Corporation over the past three fiscal years with respect to these two performance measures, the performance stock awards vested at 159.3% of the target level in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shareholder vote is advisory, and therefore not binding on the Corporation. However, the Board of Directors and its Compensation and Human Capital Committee will take the results of the vote into consideration in addressing future compensation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BOARD OF DIRECTORS RECOMMENDS THAT YOU VOTE IN FAVOR OF THE RESOLUTION TO APPROVE THE COMPENSATION PAID TO THE CORPORATION</w:t>
      </w:r>
      <w:r>
        <w:rPr>
          <w:rFonts w:ascii="Times New Roman" w:hAnsi="Times New Roman"/>
          <w:caps w:val="false"/>
          <w:smallCaps w:val="false"/>
          <w:sz w:val="20"/>
        </w:rPr>
        <w:t>’</w:t>
      </w:r>
      <w:r>
        <w:rPr>
          <w:rFonts w:ascii="Times New Roman" w:hAnsi="Times New Roman"/>
          <w:b/>
          <w:caps w:val="false"/>
          <w:smallCaps w:val="false"/>
          <w:sz w:val="20"/>
        </w:rPr>
        <w:t xml:space="preserve">S NAMED EXECUTIVE OFFICERS. UNLESS YOU INDICATE OTHERWISE ON YOUR PROXY, YOUR SHARES WILL BE VOTED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RESOLUTION TO APPROVE THE COMPENSATION PAID TO THE CORPORATION</w:t>
      </w:r>
      <w:r>
        <w:rPr>
          <w:rFonts w:ascii="Times New Roman" w:hAnsi="Times New Roman"/>
          <w:caps w:val="false"/>
          <w:smallCaps w:val="false"/>
          <w:sz w:val="20"/>
        </w:rPr>
        <w:t>’</w:t>
      </w:r>
      <w:r>
        <w:rPr>
          <w:rFonts w:ascii="Times New Roman" w:hAnsi="Times New Roman"/>
          <w:b/>
          <w:caps w:val="false"/>
          <w:smallCaps w:val="false"/>
          <w:sz w:val="20"/>
        </w:rPr>
        <w:t>S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 3: RATIFICATION OF APPOINTMENT OF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has selected RSM US LLP (“RSM”) as our independent registered public accounting firm for the fiscal year ending June 30, 2027, including service to our consolidated subsidiaries. RSM has acted in this capacity since fiscal 2018, following a competitive bidding process. A representative of RSM will attend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Fees to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Audit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fees billed or expected to be billed for professional services rendered by RSM in connection with (i) the audit of the Corporation’s consolidated financial statements as of and for the years ended June 30, 2026 and June 30, 2025, including statutory audits of the financial statements of the Corporation’s affiliates, and (ii) the reviews of the Corporation’s quarterly financial statements were $1,607,661 and $1,654,296,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Audit-Related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Aggregate fees billed for professional services rendered by RSM for assurance and services reasonably related to the performance of the audit or review of the Corporation’s financial statements not included in audit fees above were $0 and $0 for the years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Tax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fees billed by RSM during the years ended June 30, 2026 and 2025, respectively, pertaining to tax compliance, tax advice, and tax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All Other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years ended June 30, 2026 and 2025, there were no fees billed by RSM for products and services other than those listed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has determined that the provision of services rendered above that were not related to its audit of the Corporation’s financial statements were at all times compatible with maintaining RSM’s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2026, 100% of audit-related, tax and other fees were pre-approved.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THAT YOU VOTE TO RATIFY THE SELECTION OF RSM US LLP AS OUR INDEPENDENT AUDITORS FOR THE FISCAL YEAR ENDING JUNE 30, 2027. UNLESS YOU INDICATE OTHERWISE, YOUR PROXY WILL BE VOTED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RATIFICATION.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PROPOSAL 4: APPROVAL OF THE TWIN DISC, INCORPORATED AMENDED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RESTATED 2021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of Directors has presented for approval the Twin Disc, Incorporated Amended and Restated 2021 Omnibus Incentive Plan (the “Omnibus Plan”), as amended and restated on August 5, 2026 (the “2026 Restatement”). It is the judgment of the Board of Directors that the long-term incentive grants made under the Corporation’s previous long-term incentive plans have been effective and useful in attracting, retaining and motivating directors, officers and other key employees of the Corporation, as well as in encouraging them to increase their stock ownership in the Corporation. The 2026 Restatement of the Omnibus Plan is expected to benefit the Corporation and its shareholders by enabling the Corporation to continue to be competitive in its search for and retention of outstanding directors, employees, and consultants, and to encourage them to increase their proprietary interests in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Omnibus Plan, originally named the Twin Disc, Incorporated 2021 Long-Term Incentive Compensation Plan (the “2021 Plan”), was adopted by the Corporation’s Board of Directors on August 4, 2021, and approved by the Corporation’s shareholders at the 2021 Annual Meeting of Shareholders held October 28, 2021. The 2021 Plan reserved 715,000 shares of the Corporation’s common stock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 2024, the Corporation’s Board of Directors amended and restated the 2021 Plan (the “2024 Restatement”) and renamed it the Twin Disc, Incorporated Amended and Restated 2021 Omnibus Incentive Plan. The 2024 Restatement replaced the Twin Disc, Incorporated 2020 Stock Incentive Plan for Non-Employee Directors (the “2020 Directors’ Plan”), combined the Corporation’s equity compensation plans for employees, consultants, and non-employee directors into a single plan, and aggregated the available shares for issuance to employees, consultants, and non-employee directors into a single pool of shares available for awards. The 2024 Restatement also increased the number of shares of the Corporation’s common stock reserved for issuance under the Omnibus Plan to 1,636,550 shares, which consisted of the previously-approved 715,000 shares of common stock reserved for issuance under the 2021 Plan prior to the 2024 Restatement (of which no shares remained available for issuance); 521,550 shares of common stock that remained available for issuance under the 2020 Directors’ Plan; and 400,000 newly authorized shares of common stock. The 2024 Restatement was approved by the Corporation’s shareholders at the 2024 Annual Meeting of Shareholders held October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2026 Restatement of the Omnibus Plan, if approved by the Corporation’s shareholders, would increase the aggregate number of shares of the Corporation’s common stock reserved for issuance under the Omnibus Plan from 1,636,550 to 2,336,550, for an increase of 700,000 shares. Because this is an amendment and restatement of the Omnibus Plan, shares available for issuance under the Omnibus Plan may be used to satisfy awards already made under the Omnibus Plan that have not yet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Differences Between the 2024 Restatement of the Omnibus Plan and the 2026 Restatement of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only material difference between the 2024 Restatement of the Omnibus Plan and the 2026 Restatement of the Omnibus Plan is the increase in the aggregate number of shares of the Corporation’s common stock reserved for issuance. The aggregate number of shares of the Corporation’s common stock reserved for issuance under the 2026 Restatement of the Omnibus Plan is 2,336,550 shares, which consists of the previously-approved 1,636,550 shares of common stock reserved for issuance under the 2024 Restatement of the Omnibus Plan, and 700,000 newly 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2026 Restatement of the Omnibus Plan retains certain best practices for equity compensation plans,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Share Recycling. </w:t>
            </w:r>
            <w:r>
              <w:rPr>
                <w:rFonts w:ascii="Times New Roman;Times;serif" w:hAnsi="Times New Roman;Times;serif"/>
                <w:caps w:val="false"/>
                <w:smallCaps w:val="false"/>
                <w:sz w:val="20"/>
              </w:rPr>
              <w:t>The Omnibus Plan provides that shares received by the Corporation in connection with the exercise of an award, including shares tendered in payment of a stock option’s or stock appreciation right’s exercise price or shares tendered to the Corporation for the satisfaction of any tax liability or the satisfaction of a tax withholding obligation, may not be made subject to issuance pursuant to a later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Minimum Vesting of Awards. </w:t>
            </w:r>
            <w:r>
              <w:rPr>
                <w:rFonts w:ascii="Times New Roman;Times;serif" w:hAnsi="Times New Roman;Times;serif"/>
                <w:caps w:val="false"/>
                <w:smallCaps w:val="false"/>
                <w:sz w:val="20"/>
              </w:rPr>
              <w:t>All awards issued under the Omnibus Plan must have a minimum one-year vesting schedule from the date on which the award is granted (or, in the case of awards issued to non-employee directors on the date of an annual meeting of the Corporation’s shareholders, continued service up to the date of the following annual meeting of the Corporation’s shareholders); provided, however, that awards that result in the issuance of an aggregate of up to five percent (5%) of the shares of the Corporation’s common stock available under the Omnibus Plan may be granted to participants without regard to the minimum vesting requirement.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No Evergreen Provisions. </w:t>
            </w:r>
            <w:r>
              <w:rPr>
                <w:rFonts w:ascii="Times New Roman;Times;serif" w:hAnsi="Times New Roman;Times;serif"/>
                <w:caps w:val="false"/>
                <w:smallCaps w:val="false"/>
                <w:sz w:val="20"/>
              </w:rPr>
              <w:t>The Omnibus Plan does not contain a provision for automatic funding additions over the life of the Omnibus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Double Trigger for Payouts Relating to a Change in Control. </w:t>
            </w:r>
            <w:r>
              <w:rPr>
                <w:rFonts w:ascii="Times New Roman;Times;serif" w:hAnsi="Times New Roman;Times;serif"/>
                <w:caps w:val="false"/>
                <w:smallCaps w:val="false"/>
                <w:sz w:val="20"/>
              </w:rPr>
              <w:t>The Omnibus Plan does not automatically vest and pay out awards to employees or consultants following a change in control of the Corporation. Rather, awards will only vest and be paid out based on a change in control if the participant is involuntarily terminated or resigns for good reason (as defined) following a change in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i/>
                <w:caps w:val="false"/>
                <w:smallCaps w:val="false"/>
                <w:sz w:val="20"/>
              </w:rPr>
              <w:t>Change in Control</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 xml:space="preserve">Definition. </w:t>
            </w:r>
            <w:r>
              <w:rPr>
                <w:rFonts w:ascii="Times New Roman;Times;serif" w:hAnsi="Times New Roman;Times;serif"/>
                <w:caps w:val="false"/>
                <w:smallCaps w:val="false"/>
                <w:sz w:val="20"/>
              </w:rPr>
              <w:t>The “Change in Control” definition, as it pertains to involuntary termination following a change in control, provides that a change in control occurs upon the consummation of a merger, consolidation, liquidation, or sale of substantially all of the Corporation’s assets, rather than upon shareholder approval of such events.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Clawback Provisions. </w:t>
            </w:r>
            <w:r>
              <w:rPr>
                <w:rFonts w:ascii="Times New Roman;Times;serif" w:hAnsi="Times New Roman;Times;serif"/>
                <w:caps w:val="false"/>
                <w:smallCaps w:val="false"/>
                <w:sz w:val="20"/>
              </w:rPr>
              <w:t>Awards under the Omnibus Plan are subject to the Corporation’s mandatory and discretionary clawback policies, as well as any additional clawback policies adopted by the Board of Directors or the Compensation and Human Development Committee, any applicable law, and the listing standards of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Meaningful Limits on Director Compensation. </w:t>
            </w:r>
            <w:r>
              <w:rPr>
                <w:rFonts w:ascii="Times New Roman;Times;serif" w:hAnsi="Times New Roman;Times;serif"/>
                <w:caps w:val="false"/>
                <w:smallCaps w:val="false"/>
                <w:sz w:val="20"/>
              </w:rPr>
              <w:t>The Omnibus Plan is designed to place a meaningful limit on the aggregate compensation payable to each non-employee director in any fiscal year. Specifically, the aggregate grant date fair value (as determined in accordance with FASB ASC Topic 718 or any successor provision) of awards granted during any fiscal year of the Corporation to any non-employee director may not, when added to the cash compensation received by the non-employee director during the fiscal year, exceed $500,000.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above statements about the Omnibus Plan are qualified by and subject to the actual provisions of the Omnibus Plan, which is attached as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Usage in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21, 2026, there were 68,170 shares of common stock that remained available for future issuance under the Omnibus Plan, assuming that all outstanding restricted stock unit awards vest in full, and outstanding performance stock awards vest at target. If the 2026 Restatement of the Omnibus Plan is approved, any shares issuable pursuant to outstanding awards under the Omnibus Plan that are forfeited after August 21, 2026, will be added back to the number of shares available for future grants under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outstanding equity outstanding as of August 21, 2026, for all of the Corporation’s equity award plans. These figures include awards made under the Omnibus Plan, which is subject to shareholder approval. The figures represent an update to those provided in our Form 10-K for the fiscal year ended June 30, 2026, filed on September 4, 2026, and in the section of this proxy statement entitled “Equity Compensation Plan Information.”</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28" w:type="dxa"/>
          <w:left w:w="0" w:type="dxa"/>
          <w:bottom w:w="0" w:type="dxa"/>
          <w:right w:w="0" w:type="dxa"/>
        </w:tblCellMar>
      </w:tblPr>
      <w:tblGrid>
        <w:gridCol w:w="6260"/>
        <w:gridCol w:w="60"/>
        <w:gridCol w:w="60"/>
        <w:gridCol w:w="950"/>
        <w:gridCol w:w="60"/>
      </w:tblGrid>
      <w:tr>
        <w:trPr/>
        <w:tc>
          <w:tcPr>
            <w:tcW w:w="6260" w:type="dxa"/>
            <w:tcBorders>
              <w:top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options/SARs</w:t>
            </w:r>
          </w:p>
        </w:tc>
        <w:tc>
          <w:tcPr>
            <w:tcW w:w="60" w:type="dxa"/>
            <w:tcBorders>
              <w:top w:val="single" w:sz="2" w:space="0" w:color="000000"/>
            </w:tcBorders>
            <w:shd w:fill="CCEEFF" w:val="clear"/>
            <w:vAlign w:val="center"/>
          </w:tcPr>
          <w:p>
            <w:pPr>
              <w:pStyle w:val="TableContents"/>
              <w:bidi w:val="0"/>
              <w:spacing w:before="0" w:after="283"/>
              <w:jc w:val="left"/>
              <w:rPr/>
            </w:pPr>
            <w:r>
              <w:rPr/>
              <w:t> </w:t>
            </w:r>
          </w:p>
        </w:tc>
        <w:tc>
          <w:tcPr>
            <w:tcW w:w="60" w:type="dxa"/>
            <w:tcBorders>
              <w:top w:val="single" w:sz="2" w:space="0" w:color="000000"/>
            </w:tcBorders>
            <w:shd w:fill="CCEEFF" w:val="clear"/>
            <w:vAlign w:val="center"/>
          </w:tcPr>
          <w:p>
            <w:pPr>
              <w:pStyle w:val="TableContents"/>
              <w:bidi w:val="0"/>
              <w:spacing w:before="0" w:after="283"/>
              <w:ind w:left="0" w:right="0" w:hanging="0"/>
              <w:jc w:val="left"/>
              <w:rPr/>
            </w:pPr>
            <w:r>
              <w:rPr/>
              <w:t> </w:t>
            </w:r>
          </w:p>
        </w:tc>
        <w:tc>
          <w:tcPr>
            <w:tcW w:w="950" w:type="dxa"/>
            <w:tcBorders>
              <w:top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0" w:type="dxa"/>
            <w:tcBorders>
              <w:top w:val="single" w:sz="2" w:space="0" w:color="000000"/>
            </w:tcBorders>
            <w:shd w:fill="CCEEFF" w:val="clear"/>
            <w:vAlign w:val="center"/>
          </w:tcPr>
          <w:p>
            <w:pPr>
              <w:pStyle w:val="TableContents"/>
              <w:bidi w:val="0"/>
              <w:spacing w:before="0" w:after="283"/>
              <w:jc w:val="left"/>
              <w:rPr/>
            </w:pPr>
            <w:r>
              <w:rPr/>
              <w:t> </w:t>
            </w:r>
          </w:p>
        </w:tc>
      </w:tr>
      <w:tr>
        <w:trPr/>
        <w:tc>
          <w:tcPr>
            <w:tcW w:w="6260" w:type="dxa"/>
            <w:tcBorders/>
            <w:shd w:fill="FFFF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restricted stock, restricted stock units, and performance stock (1)</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950" w:type="dxa"/>
            <w:tcBorders/>
            <w:shd w:fill="FFFFFF" w:val="clear"/>
            <w:tcMar>
              <w:top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619,330</w:t>
            </w:r>
          </w:p>
        </w:tc>
        <w:tc>
          <w:tcPr>
            <w:tcW w:w="60" w:type="dxa"/>
            <w:tcBorders/>
            <w:shd w:fill="FFFFFF" w:val="clear"/>
            <w:tcMar>
              <w:top w:w="0" w:type="dxa"/>
            </w:tcMar>
            <w:vAlign w:val="center"/>
          </w:tcPr>
          <w:p>
            <w:pPr>
              <w:pStyle w:val="TableContents"/>
              <w:bidi w:val="0"/>
              <w:spacing w:before="0" w:after="283"/>
              <w:jc w:val="left"/>
              <w:rPr/>
            </w:pPr>
            <w:r>
              <w:rPr/>
              <w:t> </w:t>
            </w:r>
          </w:p>
        </w:tc>
      </w:tr>
      <w:tr>
        <w:trPr/>
        <w:tc>
          <w:tcPr>
            <w:tcW w:w="6260" w:type="dxa"/>
            <w:tcBorders>
              <w:bottom w:val="single" w:sz="2"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ordinary shares outstanding</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top w:w="0" w:type="dxa"/>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14,538,916</w:t>
            </w:r>
          </w:p>
        </w:tc>
        <w:tc>
          <w:tcPr>
            <w:tcW w:w="60" w:type="dxa"/>
            <w:tcBorders>
              <w:bottom w:val="single" w:sz="2" w:space="0" w:color="000000"/>
            </w:tcBorders>
            <w:shd w:fill="CCEEFF"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Assumes performance-based units are paid out at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these figures represented approximately 4.26% of ordinary shares outstanding as of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sum of the shares that remained available for issuance under the Omnibus Plan, outstanding awards, and the newly authorized shares under the Omnibus Plan as of August 21, 2026:</w:t>
      </w:r>
    </w:p>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28" w:type="dxa"/>
          <w:left w:w="0" w:type="dxa"/>
          <w:bottom w:w="0" w:type="dxa"/>
          <w:right w:w="0" w:type="dxa"/>
        </w:tblCellMar>
      </w:tblPr>
      <w:tblGrid>
        <w:gridCol w:w="6260"/>
        <w:gridCol w:w="60"/>
        <w:gridCol w:w="60"/>
        <w:gridCol w:w="845"/>
        <w:gridCol w:w="60"/>
      </w:tblGrid>
      <w:tr>
        <w:trPr/>
        <w:tc>
          <w:tcPr>
            <w:tcW w:w="6260" w:type="dxa"/>
            <w:tcBorders>
              <w:top w:val="single" w:sz="2" w:space="0" w:color="000000"/>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remaining available for issuance (1)</w:t>
            </w:r>
          </w:p>
        </w:tc>
        <w:tc>
          <w:tcPr>
            <w:tcW w:w="60" w:type="dxa"/>
            <w:tcBorders>
              <w:top w:val="single" w:sz="2" w:space="0" w:color="000000"/>
            </w:tcBorders>
            <w:shd w:fill="CCEEFF" w:val="clear"/>
            <w:vAlign w:val="center"/>
          </w:tcPr>
          <w:p>
            <w:pPr>
              <w:pStyle w:val="TableContents"/>
              <w:bidi w:val="0"/>
              <w:spacing w:before="0" w:after="283"/>
              <w:jc w:val="left"/>
              <w:rPr/>
            </w:pPr>
            <w:r>
              <w:rPr/>
              <w:t> </w:t>
            </w:r>
          </w:p>
        </w:tc>
        <w:tc>
          <w:tcPr>
            <w:tcW w:w="60" w:type="dxa"/>
            <w:tcBorders>
              <w:top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top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68,170</w:t>
            </w:r>
          </w:p>
        </w:tc>
        <w:tc>
          <w:tcPr>
            <w:tcW w:w="60" w:type="dxa"/>
            <w:tcBorders>
              <w:top w:val="single" w:sz="2" w:space="0" w:color="000000"/>
            </w:tcBorders>
            <w:shd w:fill="CCEEFF" w:val="clear"/>
            <w:vAlign w:val="center"/>
          </w:tcPr>
          <w:p>
            <w:pPr>
              <w:pStyle w:val="TableContents"/>
              <w:bidi w:val="0"/>
              <w:spacing w:before="0" w:after="283"/>
              <w:jc w:val="left"/>
              <w:rPr/>
            </w:pPr>
            <w:r>
              <w:rPr/>
              <w:t> </w:t>
            </w:r>
          </w:p>
        </w:tc>
      </w:tr>
      <w:tr>
        <w:trPr/>
        <w:tc>
          <w:tcPr>
            <w:tcW w:w="6260"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options/SARs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45" w:type="dxa"/>
            <w:tcBorders/>
            <w:shd w:fill="FFFFFF" w:val="clear"/>
            <w:tcMar>
              <w:top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0" w:type="dxa"/>
            <w:tcBorders/>
            <w:shd w:fill="FFFFFF" w:val="clear"/>
            <w:tcMar>
              <w:top w:w="0" w:type="dxa"/>
            </w:tcMar>
            <w:vAlign w:val="center"/>
          </w:tcPr>
          <w:p>
            <w:pPr>
              <w:pStyle w:val="TableContents"/>
              <w:bidi w:val="0"/>
              <w:spacing w:before="0" w:after="283"/>
              <w:jc w:val="left"/>
              <w:rPr/>
            </w:pPr>
            <w:r>
              <w:rPr/>
              <w:t> </w:t>
            </w:r>
          </w:p>
        </w:tc>
      </w:tr>
      <w:tr>
        <w:trPr/>
        <w:tc>
          <w:tcPr>
            <w:tcW w:w="6260" w:type="dxa"/>
            <w:tcBorders/>
            <w:shd w:fill="CCEEFF" w:val="clear"/>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restricted stock, restricted stock units, and performance stock (1)</w:t>
            </w:r>
          </w:p>
        </w:tc>
        <w:tc>
          <w:tcPr>
            <w:tcW w:w="6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ind w:left="0" w:right="0" w:hanging="0"/>
              <w:jc w:val="left"/>
              <w:rPr/>
            </w:pPr>
            <w:r>
              <w:rPr/>
              <w:t> </w:t>
            </w:r>
          </w:p>
        </w:tc>
        <w:tc>
          <w:tcPr>
            <w:tcW w:w="845" w:type="dxa"/>
            <w:tcBorders/>
            <w:shd w:fill="CCEEFF" w:val="clear"/>
            <w:tcMar>
              <w:top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619,330</w:t>
            </w:r>
          </w:p>
        </w:tc>
        <w:tc>
          <w:tcPr>
            <w:tcW w:w="60" w:type="dxa"/>
            <w:tcBorders/>
            <w:shd w:fill="CCEEFF" w:val="clear"/>
            <w:tcMar>
              <w:top w:w="0" w:type="dxa"/>
            </w:tcMar>
            <w:vAlign w:val="center"/>
          </w:tcPr>
          <w:p>
            <w:pPr>
              <w:pStyle w:val="TableContents"/>
              <w:bidi w:val="0"/>
              <w:spacing w:before="0" w:after="283"/>
              <w:jc w:val="left"/>
              <w:rPr/>
            </w:pPr>
            <w:r>
              <w:rPr/>
              <w:t> </w:t>
            </w:r>
          </w:p>
        </w:tc>
      </w:tr>
      <w:tr>
        <w:trPr/>
        <w:tc>
          <w:tcPr>
            <w:tcW w:w="6260"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Newly authorized shares</w:t>
            </w:r>
          </w:p>
        </w:tc>
        <w:tc>
          <w:tcPr>
            <w:tcW w:w="6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ind w:left="0" w:right="0" w:hanging="0"/>
              <w:jc w:val="left"/>
              <w:rPr/>
            </w:pPr>
            <w:r>
              <w:rPr/>
              <w:t> </w:t>
            </w:r>
          </w:p>
        </w:tc>
        <w:tc>
          <w:tcPr>
            <w:tcW w:w="845" w:type="dxa"/>
            <w:tcBorders/>
            <w:shd w:fill="FFFFFF" w:val="clear"/>
            <w:tcMar>
              <w:top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700,000</w:t>
            </w:r>
          </w:p>
        </w:tc>
        <w:tc>
          <w:tcPr>
            <w:tcW w:w="60" w:type="dxa"/>
            <w:tcBorders/>
            <w:shd w:fill="FFFFFF" w:val="clear"/>
            <w:tcMar>
              <w:top w:w="0" w:type="dxa"/>
            </w:tcMar>
            <w:vAlign w:val="center"/>
          </w:tcPr>
          <w:p>
            <w:pPr>
              <w:pStyle w:val="TableContents"/>
              <w:bidi w:val="0"/>
              <w:spacing w:before="0" w:after="283"/>
              <w:jc w:val="left"/>
              <w:rPr/>
            </w:pPr>
            <w:r>
              <w:rPr/>
              <w:t> </w:t>
            </w:r>
          </w:p>
        </w:tc>
      </w:tr>
      <w:tr>
        <w:trPr/>
        <w:tc>
          <w:tcPr>
            <w:tcW w:w="6260"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1,387,500</w:t>
            </w:r>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Assumes performance-based units are paid out at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Combined, these figures represented approximately 9.54% of ordinary shares outstanding as of August 21, 2026. The Company’s grant history over the past three fiscal years under the Omnibus Plan was as follows:</w:t>
      </w:r>
    </w:p>
    <w:p>
      <w:pPr>
        <w:pStyle w:val="TextBody"/>
        <w:bidi w:val="0"/>
        <w:spacing w:before="0" w:after="0"/>
        <w:ind w:left="0" w:right="0" w:hanging="0"/>
        <w:jc w:val="left"/>
        <w:rPr>
          <w:caps w:val="false"/>
          <w:smallCaps w:val="false"/>
        </w:rPr>
      </w:pPr>
      <w:r>
        <w:rPr>
          <w:caps w:val="false"/>
          <w:smallCaps w:val="false"/>
        </w:rPr>
        <w:t> </w:t>
      </w:r>
    </w:p>
    <w:tbl>
      <w:tblPr>
        <w:tblW w:w="9870" w:type="dxa"/>
        <w:jc w:val="left"/>
        <w:tblInd w:w="0" w:type="dxa"/>
        <w:tblLayout w:type="fixed"/>
        <w:tblCellMar>
          <w:top w:w="0" w:type="dxa"/>
          <w:left w:w="0" w:type="dxa"/>
          <w:bottom w:w="28" w:type="dxa"/>
          <w:right w:w="0" w:type="dxa"/>
        </w:tblCellMar>
      </w:tblPr>
      <w:tblGrid>
        <w:gridCol w:w="755"/>
        <w:gridCol w:w="60"/>
        <w:gridCol w:w="120"/>
        <w:gridCol w:w="1399"/>
        <w:gridCol w:w="60"/>
        <w:gridCol w:w="60"/>
        <w:gridCol w:w="123"/>
        <w:gridCol w:w="1231"/>
        <w:gridCol w:w="60"/>
        <w:gridCol w:w="60"/>
        <w:gridCol w:w="99"/>
        <w:gridCol w:w="1165"/>
        <w:gridCol w:w="60"/>
        <w:gridCol w:w="60"/>
        <w:gridCol w:w="107"/>
        <w:gridCol w:w="1247"/>
        <w:gridCol w:w="60"/>
        <w:gridCol w:w="60"/>
        <w:gridCol w:w="104"/>
        <w:gridCol w:w="1206"/>
        <w:gridCol w:w="60"/>
        <w:gridCol w:w="60"/>
        <w:gridCol w:w="93"/>
        <w:gridCol w:w="1501"/>
        <w:gridCol w:w="60"/>
      </w:tblGrid>
      <w:tr>
        <w:trPr/>
        <w:tc>
          <w:tcPr>
            <w:tcW w:w="75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Awarded (Officers,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Key Employees,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Consultants)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Units Awarded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(Officers, Key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Employees, and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Consultants)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(Officers, Key</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Employees and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Consultants,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Target)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Vested for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Three-Year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 Ending</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(Non-Employee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Directors)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Basic Common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Outstanding</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7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FY2024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99"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79,563</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123"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31"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16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119,349</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107"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47"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142,826</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06"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38,981</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93"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501"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13,683,121</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r>
      <w:tr>
        <w:trPr/>
        <w:tc>
          <w:tcPr>
            <w:tcW w:w="7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FY2025</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12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399"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123"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31"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77,395</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99"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165"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116,091</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107"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47"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179,382</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06"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48,733</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501"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13,856,449</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r>
      <w:tr>
        <w:trPr/>
        <w:tc>
          <w:tcPr>
            <w:tcW w:w="7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FY2026</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12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399"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111,025</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123"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31"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99"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16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166,537</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107"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47"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184,240</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104"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06"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37,725</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c>
          <w:tcPr>
            <w:tcW w:w="93"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501"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14,118,795</w:t>
            </w:r>
          </w:p>
        </w:tc>
        <w:tc>
          <w:tcPr>
            <w:tcW w:w="60" w:type="dxa"/>
            <w:tcBorders>
              <w:bottom w:val="single" w:sz="2" w:space="0" w:color="000000"/>
            </w:tcBorders>
            <w:shd w:fill="CCEEFF" w:val="clear"/>
            <w:vAlign w:val="center"/>
          </w:tcPr>
          <w:p>
            <w:pPr>
              <w:pStyle w:val="TableContents"/>
              <w:bidi w:val="0"/>
              <w:spacing w:before="0" w:after="283"/>
              <w:jc w:val="center"/>
              <w:rPr/>
            </w:pPr>
            <w:r>
              <w:rPr/>
              <w:t> </w:t>
            </w:r>
          </w:p>
        </w:tc>
      </w:tr>
      <w:tr>
        <w:trPr/>
        <w:tc>
          <w:tcPr>
            <w:tcW w:w="7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12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399"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190,588</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123"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31"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77,395</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99"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165"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401,977</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107"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47"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506,448</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104"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06"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125,439</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60" w:type="dxa"/>
            <w:tcBorders>
              <w:bottom w:val="single" w:sz="2" w:space="0" w:color="000000"/>
            </w:tcBorders>
            <w:shd w:fill="FFFFFF" w:val="clear"/>
            <w:vAlign w:val="center"/>
          </w:tcPr>
          <w:p>
            <w:pPr>
              <w:pStyle w:val="TableContents"/>
              <w:bidi w:val="0"/>
              <w:spacing w:before="0" w:after="283"/>
              <w:jc w:val="center"/>
              <w:rPr/>
            </w:pPr>
            <w:r>
              <w:rPr/>
              <w:t> </w:t>
            </w:r>
          </w:p>
        </w:tc>
        <w:tc>
          <w:tcPr>
            <w:tcW w:w="93"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501"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N/A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restricted stock awarded to non-employee directors in fiscal 2024 were issued under the 2020 Directors’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stock awards that were granted in fiscal 2024 for the three-year vesting period that ended June 30, 2026 vested at 159.3% of target. Performance stock awards that were granted in fiscal 2023 with respect to the three-year fiscal period that ended June 30, 2025 vested at 164.9% of target. Performance stock awards that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were granted in fiscal 2022 with respect to the three-year fiscal period that ended June 30, 2024 vested at 148.7% of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grants of restricted stock shown above, a total of 0 shares of restricted stock granted to officers, key employees, and consultants were forfeited and 0 shares of restricted stock granted to directors were forfeited. With respect to the grants of restricted stock units shown above, a total of 1,016 shares were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Features of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the material features of the Omnibus Plan and the federal income tax consequences of the Omnibus Plan follows. Statements about the Omnibus Plan are qualified by and subject to the actual provisions of the Omnibus Plan, which is attached as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awards made to key employees and consultants of the Corporation, the Compensation and Human Capital Committee of the Board of Directors, or such other committee as the Board of Directors may designate (the “Committee”), will administer the Omnibus Plan with respect to awards made to key employees and consultants of the Corporation. The Committee has the discretionary authority to prescribe, amend and rescind rules and regulations relating to the Omnibus Plan for awards to employees and consultants, to select the eligible employees and consultants who shall receive awards under the Omnibus Plan, to grant awards to employees and consultants under the Omnibus Plan and determine the terms and conditions of such awards, and to interpret the Omnibus Plan and/or any agreement entered into under the Omnibus Plan. With respect to awards made to non-employee directors, the Board of Directors will administer the Omnibus Plan and will exercise such powers. In the discussion below, the term “Administrator” refers to the Committee with respect to awards for key employees and consultants of the Corporation, and to the Board of Directors with respect to awards for non-employee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Omnibus Plan is designed to benefit key employees (including officers) and consultants of the Corporation and its subsidiaries who, in the opinion of the Committee, are mainly responsible for the success and future growth of the Corporation and/or any of its subsidiaries. There are currently approximately 20 employees and consultants that the Corporation anticipates will receive awards under the Omnibus Plan. The Omnibus Plan is also designed to benefit non-employee directors of the Corporation. As of August 21, 2026, the Corporation has six non-employee directors, each of whom is expected to receive awards under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grant of awards under the Omnibus Plan is discretionary. No determination has been made as to which of the individuals eligible to participate in the Omnibus Plan will receive awards under the Omnibus Plan in the future and, therefore, the future benefits to be allocated to any individual or to various groups of eligible participants are not presently determinable. It is expected, however, that the Committee will make these determinations with respect to employees and consultants on the basis of the person’s responsibilities and present and potential contributions to the Corporation’s success, and that among those who may qualify as recipients of awards will be officers and other key employees and consultants of the Corporation and its majority-owned subsidiaries. It is also expected that a portion of each non-employee director’s annual retainer will be paid in the form of restricted stock. However, because shares available under the Omnibus Plan may be used to fulfill awards already made under the Omnibus Plan, the following table shows the awards that were made to the following individuals and groups of individuals under the Omnibus Plan during the fiscal year ended June 30, 2026, as well as awards under the Omnibus Plan during the Corporation’s current fiscal year. There were sufficient shares available for issuance under the Omnibus Plan to issue the shares of restricted stock shown below during the Corporation’s current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NEW PLAN BENEFITS</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Twin Disc, Incorporated Amended and Restated Omnibus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Incentive Plan</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28" w:type="dxa"/>
          <w:right w:w="0" w:type="dxa"/>
        </w:tblCellMar>
      </w:tblPr>
      <w:tblGrid>
        <w:gridCol w:w="2075"/>
        <w:gridCol w:w="1265"/>
        <w:gridCol w:w="1415"/>
        <w:gridCol w:w="1325"/>
        <w:gridCol w:w="1325"/>
      </w:tblGrid>
      <w:tr>
        <w:trPr/>
        <w:tc>
          <w:tcPr>
            <w:tcW w:w="20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 AND POSITION</w:t>
            </w:r>
          </w:p>
        </w:tc>
        <w:tc>
          <w:tcPr>
            <w:tcW w:w="12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 Value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FY26 Awards</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Subject 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FY26 Awards</w:t>
            </w:r>
          </w:p>
        </w:tc>
        <w:tc>
          <w:tcPr>
            <w:tcW w:w="13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 Value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FY27 Awards</w:t>
            </w:r>
          </w:p>
        </w:tc>
        <w:tc>
          <w:tcPr>
            <w:tcW w:w="13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Subject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 FY27 Awards</w:t>
            </w:r>
          </w:p>
        </w:tc>
      </w:tr>
      <w:tr>
        <w:trPr/>
        <w:tc>
          <w:tcPr>
            <w:tcW w:w="20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H. Batten,</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CEO</w:t>
            </w:r>
          </w:p>
        </w:tc>
        <w:tc>
          <w:tcPr>
            <w:tcW w:w="126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$1,002,767</w:t>
            </w:r>
          </w:p>
        </w:tc>
        <w:tc>
          <w:tcPr>
            <w:tcW w:w="1415" w:type="dxa"/>
            <w:tcBorders>
              <w:bottom w:val="single" w:sz="2" w:space="0" w:color="000000"/>
            </w:tcBorders>
            <w:shd w:fill="CCEEFF" w:val="cle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110,803 (1)</w:t>
            </w:r>
          </w:p>
        </w:tc>
        <w:tc>
          <w:tcPr>
            <w:tcW w:w="132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$1,116,475</w:t>
            </w:r>
          </w:p>
        </w:tc>
        <w:tc>
          <w:tcPr>
            <w:tcW w:w="1325" w:type="dxa"/>
            <w:tcBorders>
              <w:bottom w:val="single" w:sz="2" w:space="0" w:color="000000"/>
            </w:tcBorders>
            <w:shd w:fill="CCEEFF" w:val="cle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46,891 (2)</w:t>
            </w:r>
          </w:p>
        </w:tc>
      </w:tr>
      <w:tr>
        <w:trPr/>
        <w:tc>
          <w:tcPr>
            <w:tcW w:w="20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S. Knutson,</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Vice President – Finance,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Treasurer and Secretary</w:t>
            </w:r>
          </w:p>
        </w:tc>
        <w:tc>
          <w:tcPr>
            <w:tcW w:w="1265"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$492,365</w:t>
            </w:r>
          </w:p>
        </w:tc>
        <w:tc>
          <w:tcPr>
            <w:tcW w:w="1415" w:type="dxa"/>
            <w:tcBorders>
              <w:bottom w:val="single" w:sz="2" w:space="0" w:color="000000"/>
            </w:tcBorders>
            <w:shd w:fill="FFFFFF" w:val="cle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54,405 (3)</w:t>
            </w:r>
          </w:p>
        </w:tc>
        <w:tc>
          <w:tcPr>
            <w:tcW w:w="1325"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$519,868</w:t>
            </w:r>
          </w:p>
        </w:tc>
        <w:tc>
          <w:tcPr>
            <w:tcW w:w="1325" w:type="dxa"/>
            <w:tcBorders>
              <w:bottom w:val="single" w:sz="2" w:space="0" w:color="000000"/>
            </w:tcBorders>
            <w:shd w:fill="FFFFFF" w:val="cle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21,834 (4)</w:t>
            </w:r>
          </w:p>
        </w:tc>
      </w:tr>
      <w:tr>
        <w:trPr/>
        <w:tc>
          <w:tcPr>
            <w:tcW w:w="207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Non-Employee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Group</w:t>
            </w:r>
          </w:p>
        </w:tc>
        <w:tc>
          <w:tcPr>
            <w:tcW w:w="126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$576,369</w:t>
            </w:r>
          </w:p>
        </w:tc>
        <w:tc>
          <w:tcPr>
            <w:tcW w:w="1415" w:type="dxa"/>
            <w:tcBorders>
              <w:bottom w:val="single" w:sz="2" w:space="0" w:color="000000"/>
            </w:tcBorders>
            <w:shd w:fill="CCEEFF" w:val="cle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37,725 (5)</w:t>
            </w:r>
          </w:p>
        </w:tc>
        <w:tc>
          <w:tcPr>
            <w:tcW w:w="1325" w:type="dxa"/>
            <w:tcBorders>
              <w:bottom w:val="single" w:sz="2" w:space="0" w:color="000000"/>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$12,403</w:t>
            </w:r>
          </w:p>
        </w:tc>
        <w:tc>
          <w:tcPr>
            <w:tcW w:w="1325" w:type="dxa"/>
            <w:tcBorders>
              <w:bottom w:val="single" w:sz="2" w:space="0" w:color="000000"/>
            </w:tcBorders>
            <w:shd w:fill="CCEEFF" w:val="cle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536 (6)</w:t>
            </w:r>
          </w:p>
        </w:tc>
      </w:tr>
      <w:tr>
        <w:trPr/>
        <w:tc>
          <w:tcPr>
            <w:tcW w:w="207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Non-Executive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 Employee and</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Consultant Group</w:t>
            </w:r>
          </w:p>
        </w:tc>
        <w:tc>
          <w:tcPr>
            <w:tcW w:w="1265"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$1,012,731</w:t>
            </w:r>
          </w:p>
        </w:tc>
        <w:tc>
          <w:tcPr>
            <w:tcW w:w="1415" w:type="dxa"/>
            <w:tcBorders>
              <w:bottom w:val="single" w:sz="2" w:space="0" w:color="000000"/>
            </w:tcBorders>
            <w:shd w:fill="FFFFFF" w:val="cle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111,904 (7)</w:t>
            </w:r>
          </w:p>
        </w:tc>
        <w:tc>
          <w:tcPr>
            <w:tcW w:w="1325" w:type="dxa"/>
            <w:tcBorders>
              <w:bottom w:val="single" w:sz="2" w:space="0" w:color="000000"/>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$1,175,143</w:t>
            </w:r>
          </w:p>
        </w:tc>
        <w:tc>
          <w:tcPr>
            <w:tcW w:w="1325" w:type="dxa"/>
            <w:tcBorders>
              <w:bottom w:val="single" w:sz="2" w:space="0" w:color="000000"/>
            </w:tcBorders>
            <w:shd w:fill="FFFFFF" w:val="cle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49,355 (8)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44,321 shares of restricted stock and a target number of 66,482 shares of performance stock. Dollar value of awards is computed in accordance with Financial Accounting Standards Board ASC Topic 718, and is based on the closing price of Twin Disc shares on August 6, 2025 (the grant date) of $9.05.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18,756 shares of restricted stock and a target number of 28,135 shares of performance stock. Dollar value of awards is computed in accordance with Financial Accounting Standards Board ASC Topic 718, and is based on the closing price of Twin Disc shares on August 5, 2026 (the grant date) of $23.81.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21,762 shares of restricted stock and a target number of 32,643 shares of performance stock. Dollar value of awards is computed in accordance with Financial Accounting Standards Board ASC Topic 718, and is based on the closing price of Twin Disc shares on August 6, 2025 (the grant date) of $9.05.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8,734 shares of restricted stock and a target number of 13,100 shares of performance stock. Dollar value of awards is computed in accordance with Financial Accounting Standards Board ASC Topic 718, and is based on the closing price of Twin Disc shares on August 5, 2026 (the grant date) of $23.81.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37,725 shares of restricted stock. Dollar value of awards is computed in accordance with Financial Accounting Standards Board ASC Topic 718 based on the closing price of Twin Disc shares on the grant dates, ranging from $8.86 to $17.86.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536 shares of restricted stock issued in lieu of quarterly cash retainer. Dollar value of awards is computed in accordance with Financial Accounting Standards Board ASC Topic 718, and is based on the closing price of Twin Disc shares on August 3, 2026 (the grant date) of $23.14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44,492 shares of restricted stock and a target number of 67,412 shares of performance stock. Dollar value of awards is computed in accordance with Financial Accounting Standards Board ASC Topic 718, and is based on the closing price of Twin Disc shares on August 6, 2025 (the grant date) of $9.05.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9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Consists of 19,741 shares of restricted stock and a target number of 29,614 shares of performance stock. Dollar value of awards is computed in accordance with Financial Accounting Standards Board ASC Topic 718, and is based on the closing price of Twin Disc shares on August 5, 2026 (the grant date) of $23.81.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Limit on Non-Employee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grant date fair value (as determined in accordance with FASB ASC Topic 718 or any successor provision) of awards granted during any fiscal year of the Corporation to any non-employee director may not, when added to the cash compensation received by the non-employee director during the fiscal year, exceed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Awards Available Under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Benefits under the Omnibus Plan (“Benefits”) may be granted, awarded or paid in any one or a combination of stock options, stock appreciation rights, restricted stock awards, restricted stock units, cash-settled restricted stock units, performance stock awards, performance stock unit awards, performance unit awards, and dividend equivalent awards. The aggregate number of shares of the Corporation’s common stock reserved for issuance under the Omnibus Plan is 2,336,550 shares, which consists of the previously-approved 1,636,550 shares of common stock reserved for issuance under the 2024 Restatement of the Omnibus Plan, and 700,000 newly authorized shares of common stock. The aggregate amount is subject to proportionate adjustments for stock dividends, stock splits and similar changes. Shares available for issuance under the Omnibus Plan may be used to satisfy awards made under the Omnibus Plan prior to the August 5, 2026 amendment and restatement of the Omnibus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Stock Options. </w:t>
      </w:r>
      <w:r>
        <w:rPr>
          <w:rFonts w:ascii="Times New Roman" w:hAnsi="Times New Roman"/>
          <w:caps w:val="false"/>
          <w:smallCaps w:val="false"/>
          <w:sz w:val="20"/>
        </w:rPr>
        <w:t>Stock options consist of options (either incentive stock options or non-qualified stock options) to purchase shares of the Corporation’s common stock. The Administrator establishes the time(s) at which options may be exercised and whether all of the options may be exercisable at one time or in increments over time. The option price or procedure for setting the option price is set by the Administrator at the time of granting of an option. The purchase price of option shares may be paid in cash, common stock of the Corporation, a combination of both, or such other legal and appropriate forms or means as the Administrator may determine. A maximum of 100,000 options may be granted to a participant during any fiscal year. In the event of stock dividends, splits and similar capital changes, the Plan provides for appropriate adjustments in the number and option prices of shares subject to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incentive stock options, the option price may not be less than the fair market value of the Corporation’s stock on the date of grant; however, if the recipient owns more than 10% of the Corporation’s stock, the option price must be at least 110% of the fair market value on the date of grant. Incentive stock options must be exercised within ten years after the date of grant unless the recipient of the option owns more than 10% of the Corporation’s stock, in which case they must be exercised within five years of the date of grant. Under certain circumstances, extensions or other modifications of outstanding options may result in disqualification of an option as an incentive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non-qualified options, the option price may not be less than the fair market value of the Corporation’s stock on the date of grant. The option holder must also pay the Corporation, at the time of exercise, the amount of federal, state and local withholding taxes required to be withheld by the Corporation. These taxes may be settled in cash or with common stock of the Corporation, including stock that is part of the award or that is received upon exercise of the stock option that gives rise to the withholding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for certain corporate events (e.g., stock splits), repricing of options and repurchase of underwater options are expressly prohibited, unless approved by the Corporation’s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Stock Appreciation Rights. </w:t>
      </w:r>
      <w:r>
        <w:rPr>
          <w:rFonts w:ascii="Times New Roman" w:hAnsi="Times New Roman"/>
          <w:caps w:val="false"/>
          <w:smallCaps w:val="false"/>
          <w:sz w:val="20"/>
        </w:rPr>
        <w:t>Stock appreciation rights may be granted under the Omnibus Plan with respect to options granted concurrently or previously under the Omnibus Plan (“Tandem SARs”) or on a stand-alone basis (“Stand Alone SARs”).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Tandem SAR permits the holder to receive the difference between the market price (on the date of exercise) of the shares to which it relates and the option price thereof. A Tandem SAR will be exercisable at the time and to the extent the option to which it relates is exercisable. Holders of Tandem SARs will be permitted to exercise the right or the related option, but not both. Upon exercise of a Tandem SAR, rights will be paid in cash. Any exercise will reduce the shares issuable under the Omnibus Plan under which the related option was granted by the number of shares with respect to which the right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Stand Alone SAR permits the holder to receive the difference between the market price (on the date of exercise) of the shares to which it relates and the exercise price of such shares (i.e., the value specified in the agreement governing the grant of the Stand Alone SAR). The exercise price may not be less than the fair market value of the Corporation’s stock on the date of grant. Upon exercise, rights will be paid in common stock of the Corporation or cash, or a combination of both, as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for certain corporate events (e.g., stock splits), repricing of SARs and repurchase of underwater SARs are expressly prohibited, unless approved by the Corporation’s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Restricted Stock. </w:t>
      </w:r>
      <w:r>
        <w:rPr>
          <w:rFonts w:ascii="Times New Roman" w:hAnsi="Times New Roman"/>
          <w:caps w:val="false"/>
          <w:smallCaps w:val="false"/>
          <w:sz w:val="20"/>
        </w:rPr>
        <w:t>Restricted stock becomes vested only if earned by the recipient by remaining in the employment of the Corporation, subject to certain exceptions. The minimum restriction on shares of restricted stock is one year of continued service by the participant, but the Administrator may impose longer service requirements and/ or additional restrictions. Restricted stock may also be subject to vesting in installments. Until the restrictions lapse, the holder of restricted stock may not sell, assign, pledge or otherwise transfer the restricted stock. Any cash or stock dividends paid on shares of restricted stock will be automatically deferred, and will be paid to the participant only if and to the extent the underlying shares of restricted stock vest. Cash or stock dividends payable with respect to shares of restricted stock that are forfeited shall also be forfeited. Cash or stock dividends will be paid within 30 days after the restrictions on the shares of restricted stock to which such dividends relate lapse, and cash dividends shall be paid with an appropriate rate of interest, as determined by the Administrator. The Administrator does not have discretion to override this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non-employee directors of the Corporation, in addition to discretionary grants of restricted stock, the Board may designate that all, or such portion as it shall from time to time designate, of the annual retainer payable to non-employee directors for service as members of the Board (exclusive of committee chair or meeting fees) be paid in shares of restricted stock. As of the date of each annual meeting of shareholders of the Corporation, each non-employee director who is elected or re-elected to the Board at such meeting or who continues to serve on the Board after such meeting will receive an award of restricted stock equal to the portion of the annual retainer designated by the Board. The number of shares of restricted stock shall be based on the annual retainer in effect as of the date of the annual meeting, and shall be determined by dividing the dollar value of the portion of such annual retainer designated as payable in restricted stock by the fair market value of the Corporation’s common stock as of the date of the annual meeting, rounded down to the nearest whole share. Restrictions on shares of restricted stock that the Board designates shall be paid as part of the non-employee director’s annual retainer shall lapse as of the date of the annual meeting of shareholders that is subsequent to the date the restricted stock was awarded if the non-employee director continues to serve on the Board up to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Non-employee directors may also elect to receive shares of restricted stock in lieu of all or a portion of their base annual retainer that would otherwise be paid in cash. The amount that would otherwise be paid in cash shall be converted to a fixed number of shares of restricted stock by dividing the dollar value of the cash that would other-wise have been paid by the fair market value per share of common stock as of the date such payment would have been made, and rounding down to the nearest whole share. Elections to receive restricted stock in lieu of cash may be made semi-annually, and will apply to amounts earned for service during the six months after the deadline to make the election. Shares of restricted stock that are issued in lieu of cash pursuant to such an election will vest on the one-year anniversary of the date that the cash would have otherwise been paid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shares of restricted stock issued to non-employee directors shall fully vest if the director’s service on the Board terminates due to death or disability. In addition, restricted stock will be forfeited if: (1) the non-employee director’s service as a member of the Board ends prior to the vesting date; (2) the non-employee director is recommended by the Corporation to be re-elected to the Board and fails to be re-elected by the shareholders of the Corporation to the Board in that election; or (3) the non-employee director is prohibited from serving on the Board by any court of competent jurisdiction or other government authority, or in the discretion of the Board is no longer competent to serve on the Board due to the non-employee director’s violation of state or federal securities law or other rule of the Nasdaq Stock Market (or other applicable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Restricted Stock Units. </w:t>
      </w:r>
      <w:r>
        <w:rPr>
          <w:rFonts w:ascii="Times New Roman" w:hAnsi="Times New Roman"/>
          <w:caps w:val="false"/>
          <w:smallCaps w:val="false"/>
          <w:sz w:val="20"/>
        </w:rPr>
        <w:t>Restricted stock units represent a right to receive a specified number of shares of the Corporation’s common stock upon the lapse of a substantial risk of forfeiture. The minimum restriction on shares of restricted stock units is one year of continued service by the participant, but the Administrator may impose longer service requirements and/or additional restrictions. There is no purchase or exercise price associated with restricted stock units or with the shares issued in settlement of the award. Restricted stock units do not entitle participants to voting rights or rights to receive cash dividends until shares of common stock are issued in settlement of such awards. The Administrator may, however, grant dividend equivalent awards to participants who receive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Cash-Settled Restricted Stock Units. </w:t>
      </w:r>
      <w:r>
        <w:rPr>
          <w:rFonts w:ascii="Times New Roman" w:hAnsi="Times New Roman"/>
          <w:caps w:val="false"/>
          <w:smallCaps w:val="false"/>
          <w:sz w:val="20"/>
        </w:rPr>
        <w:t>A cash-settled restricted stock unit entitles the participant to a cash payment equal to the fair market value of a share of the common stock of the Corporation upon the lapse of a substantial risk of forfeiture. The minimum restriction on cash-settled restricted stock units shall be one year of continued service by the participant. Other restrictions may include continued employment by the participant for a longer period of time, satisfaction of performance goals, or any other factors that the Administrator deems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Performance Stock Awards. </w:t>
      </w:r>
      <w:r>
        <w:rPr>
          <w:rFonts w:ascii="Times New Roman" w:hAnsi="Times New Roman"/>
          <w:caps w:val="false"/>
          <w:smallCaps w:val="false"/>
          <w:sz w:val="20"/>
        </w:rPr>
        <w:t>Performance stock awards provide for artificial shares, contingently granted, and entitle the participant to actual shares of common stock at the time of payment if predetermined performance goals are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Performance Stock Units. </w:t>
      </w:r>
      <w:r>
        <w:rPr>
          <w:rFonts w:ascii="Times New Roman" w:hAnsi="Times New Roman"/>
          <w:caps w:val="false"/>
          <w:smallCaps w:val="false"/>
          <w:sz w:val="20"/>
        </w:rPr>
        <w:t>A performance stock unit entitles the participant to receive a cash payment equal to the fair market value of a share of common stock of the Corporation if predetermined performance goals are achieved. The vesting date will be the last day of the performance period in which a performance goal is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Performance Units. </w:t>
      </w:r>
      <w:r>
        <w:rPr>
          <w:rFonts w:ascii="Times New Roman" w:hAnsi="Times New Roman"/>
          <w:caps w:val="false"/>
          <w:smallCaps w:val="false"/>
          <w:sz w:val="20"/>
        </w:rPr>
        <w:t>A performance unit entitles the participant to receive a specified cash payment in the event the Corporation achieves predetermined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Dividend Equivalent Awards. </w:t>
      </w:r>
      <w:r>
        <w:rPr>
          <w:rFonts w:ascii="Times New Roman" w:hAnsi="Times New Roman"/>
          <w:caps w:val="false"/>
          <w:smallCaps w:val="false"/>
          <w:sz w:val="20"/>
        </w:rPr>
        <w:t>Dividend equivalent awards entitle the participant to receive amounts equal to ordinary dividends that are paid on the shares underlying an award while the award is outstanding. Such awards may be granted on a free-standing basis or in connection with another award, except that dividend equivalent awards may not be granted with respect to options or SARs. Dividend equivalent awards relating to an underlying award shall be paid only if, when and to the extent such underlying award vests, and payments due under stand-alone dividend equivalent awards shall be made after applicable restrictions lapse or the vesting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Material Terms of the 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performance goals for performance stock awards, performance stock unit awards, and performance unit awards may be established by the Administrator, based on one or more of the following measures, or upon such other business criteria as the Administrator shall determine in its sole discretion:</w:t>
      </w:r>
    </w:p>
    <w:p>
      <w:pPr>
        <w:pStyle w:val="TextBody"/>
        <w:bidi w:val="0"/>
        <w:spacing w:before="0" w:after="0"/>
        <w:ind w:left="0" w:right="0" w:hanging="0"/>
        <w:jc w:val="left"/>
        <w:rPr>
          <w:caps w:val="false"/>
          <w:smallCaps w:val="false"/>
        </w:rPr>
      </w:pPr>
      <w:r>
        <w:rPr>
          <w:caps w:val="false"/>
          <w:smallCaps w:val="false"/>
        </w:rPr>
        <w:t> </w:t>
      </w:r>
    </w:p>
    <w:tbl>
      <w:tblPr>
        <w:tblW w:w="8540" w:type="dxa"/>
        <w:jc w:val="left"/>
        <w:tblInd w:w="0" w:type="dxa"/>
        <w:tblLayout w:type="fixed"/>
        <w:tblCellMar>
          <w:top w:w="0" w:type="dxa"/>
          <w:left w:w="0" w:type="dxa"/>
          <w:bottom w:w="0" w:type="dxa"/>
          <w:right w:w="0" w:type="dxa"/>
        </w:tblCellMar>
      </w:tblPr>
      <w:tblGrid>
        <w:gridCol w:w="125"/>
        <w:gridCol w:w="4550"/>
        <w:gridCol w:w="110"/>
        <w:gridCol w:w="3755"/>
      </w:tblGrid>
      <w:tr>
        <w:trPr/>
        <w:tc>
          <w:tcPr>
            <w:tcW w:w="12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revenues</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w:t>
            </w:r>
          </w:p>
        </w:tc>
      </w:tr>
      <w:tr>
        <w:trPr/>
        <w:tc>
          <w:tcPr>
            <w:tcW w:w="12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asset turnover</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per share</w:t>
            </w:r>
          </w:p>
        </w:tc>
      </w:tr>
      <w:tr>
        <w:trPr/>
        <w:tc>
          <w:tcPr>
            <w:tcW w:w="12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 from operations</w:t>
            </w:r>
          </w:p>
        </w:tc>
      </w:tr>
      <w:tr>
        <w:trPr/>
        <w:tc>
          <w:tcPr>
            <w:tcW w:w="12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investment in excess of cost of capital</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operating profit after taxes as a percentage</w:t>
            </w:r>
          </w:p>
        </w:tc>
      </w:tr>
      <w:tr>
        <w:trPr/>
        <w:tc>
          <w:tcPr>
            <w:tcW w:w="12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(i.e., net operating profit after taxes minus the</w:t>
            </w:r>
          </w:p>
        </w:tc>
        <w:tc>
          <w:tcPr>
            <w:tcW w:w="1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 the Corporation’s capital charge</w:t>
            </w:r>
          </w:p>
        </w:tc>
      </w:tr>
      <w:tr>
        <w:trPr/>
        <w:tc>
          <w:tcPr>
            <w:tcW w:w="12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Corporation’s capital charge)</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r>
      <w:tr>
        <w:trPr/>
        <w:tc>
          <w:tcPr>
            <w:tcW w:w="12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profit or income</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EBITDA as a percent of sales</w:t>
            </w:r>
          </w:p>
        </w:tc>
      </w:tr>
      <w:tr>
        <w:trPr/>
        <w:tc>
          <w:tcPr>
            <w:tcW w:w="12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to EBITDA ratios (including but not limited </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income</w:t>
            </w:r>
          </w:p>
        </w:tc>
      </w:tr>
      <w:tr>
        <w:trPr/>
        <w:tc>
          <w:tcPr>
            <w:tcW w:w="12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the ratio of total funded debt to four quarter EBITDA,</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margin</w:t>
            </w:r>
          </w:p>
        </w:tc>
      </w:tr>
      <w:tr>
        <w:trPr/>
        <w:tc>
          <w:tcPr>
            <w:tcW w:w="12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defined in loan covenants of the Corporation)</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total sales</w:t>
            </w:r>
          </w:p>
        </w:tc>
      </w:tr>
      <w:tr>
        <w:trPr/>
        <w:tc>
          <w:tcPr>
            <w:tcW w:w="12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net assets</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common equity</w:t>
            </w:r>
          </w:p>
        </w:tc>
      </w:tr>
      <w:tr>
        <w:trPr/>
        <w:tc>
          <w:tcPr>
            <w:tcW w:w="12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total capital</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shareholder return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Administrator may establish targets under one or more of these performance goals based on single year or multi-year periods; on a Corporation-wide basis or with respect to one or more subsidiaries, business units, divisions or departments of the Corporation; in absolute terms, relative to the performance of one or more similarly situated companies, or relative to the performance of an index covering a peer group of companies; and with or without regard to changes in accounting or extraordinary, unusual or non-recurring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Non-transferability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Effect of Termination of Employment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provided in an agreement governing the grant of an award or as determined by the Administrator, if a participant’s employment or service is terminated due to death or disability: (i) all options and stock appreciation rights shall immediately vest and will be fully exercisable for a period specified by the Plan; (ii) restrictions on shares of restricted stock shall lapse; (iii) restrictions on restricted stock units shall lapse and the participant (or their designated beneficiary) will receive the number of shares of common stock represented by such restricted stock units; (iv) restrictions on cash-settled restricted stock units shall lapse and the participant (or their designated beneficiary) will receive a cash payment equal to the fair market value of the Corporation’s common stock as of the date of termination for each such unit; (v) the participant (or their designated beneficiary) shall receive a prorated payout of any performance stock awards, performance stock unit awards and performance unit awards; and (vi) restrictions on dividend equivalent awards shall lapse and the participant (or their designated beneficiary) will receive a cash payment equal to the amount of dividend equivalents credited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provided in an agreement governing the grant of an award or as determined by the Administrator, if a participant voluntarily terminates employment or service before retirement or is terminated for cause: (i) all unexpired and unexercised options and stock appreciation rights shall immediately terminate; (ii) all shares of restricted stock still subject to restriction shall be forfeited (except that the Board or the Committee may waive such forfeiture); (iii) all restricted stock units, cash-settled restricted stock units, and dividend equivalent awards still subject to restriction shall be forfeited (except that the Committee may waive such forfeiture); and (iv) all performance stock awards, performance stock unit awards and performance unit awards shall be forfeited by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provided in an agreement governing the grant of an award or as determined by the Administrator, if a participant terminates employment or service for any other reason than those described above: (i) unexpired and unexercised options and stock appreciation rights shall terminate, except that vested options or stock appreciation rights may be exercised by the participant for three years (three months for incentive stock options) after the participant’s termination (or until the expiration of the option or stock appreciation right if shorter); (ii) shares of restricted stock still subject to restriction shall be forfeited (except that the Committee may waive such forfeiture); (iii) all restricted stock units, cash-settled restricted stock units, and dividend equivalent awards still subject to restriction shall be forfeited (except that the Committee may waive such forfeiture); and (iv) the participant shall receive a prorated payout of any performance stock awards, performance stock unit awards and performance unit awards if and when the performance goals are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Termination Following a Change in Control (Applicable for Awards to Employees and Consultants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otherwise provided in an agreement governing the grant of an award or as determined by the Committee, if a an event constituting a change in control of the Corporation occurs and a participant either terminates employment or service for good reason or is involuntarily terminated by the Corporation without cause after the change in control: (i) unexpired and unexercised options and stock appreciation rights shall immediately vest and will be fully exercisable, and the participant shall receive a cash payment (which would be in lieu of shares in the case of options) equal to the higher of the closing price of shares of Common Stock reported on the Nasdaq Stock Market on the date of termination of employment or the highest per share price for shares of Common Stock actually paid in connection with any Change in Control of the Company, over the per share exercise price for such option or SAR; (ii) restrictions on shares of restricted stock shall lapse and forfeitability provisions shall cease to apply; (iii) forfeitability provisions relating to restricted stock units shall immediately cease to apply and the participant shall be issued the number of shares of common stock represented by such restricted stock units; (iv) forfeitability provisions relating to cash-settled restricted stock units shall immediately cease to apply and the participant will receive a cash payment equal to the fair market value of the Corporation’s common stock; (v) the participant shall receive a payout of any performance stock awards, performance stock unit awards and performance unit awards as if the target performance objectives had been fully achieved (except that for any Participant who received an award under the Plan or the 2018 Plan prior to November 1, 2021 shall receive a payout of any performance stock awards, performance stock unit awards and performance unit awards as if the maximum performance objectives had been fully achieved); and (vi) dividend equivalent awards shall immediately vest and the participant will receive a cash payment equal to the amount of dividend equivalents credited to the participant. These provisions do not apply to awards made to non-employee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of Directors may amend, alter or discontinue the Plan. However, no such change may impair the rights of any participant under any Benefit without the participant’s consent, and no amendment shall, without the approval of the Corporation’s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modify the eligibility requirements under the Plan; (iv) extend the term of the Plan; or (v) constitute a material revision of the Plan under the listing standards of the Nasdaq Stock Market (or other applicable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Clawbacks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awards under the Omnibus Plan, and all amounts paid or payable with respect to all awards under the Omnibus Plan (including any property, such as shares of common stock, received in connection with any exercise or vesting of any awards, and any proceeds received from the disposition of any such property), shall be subject to clawback under the Twin Disc, Incorporated Mandatory Clawback Policy and the Twin Disc, Incorporated Discretionary Clawback Policy (as such policies may be amended or restated from time to time), as well as any additional clawback policies adopted by the Board of Directors or the Committee from time to time, any applicable law (including but not limited to Section 304 of the Sarbanes Oxley Act of 2002), and the listing standards of the Nasdaq Stock Market (or such other listing standards then applicable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2021 Plan became effective on August 4, 2021, the date it was approved by the Board of Directors, and it was subsequently approved by the Corporation’s shareholders on October 28, 2021. The provisions of the 2024 Restatement of the Omnibus Plan became effective August 1, 2024, the date it was approved by the Board of Directors, and the 2024 Restatement was subsequently approved by the Corporation’s shareholders on October 31, 2024. The 2026 Restatement of the Omnibus Plan became effective August 5, 2026, the date it was approved by the Board of Directors, provided that the shareholders approve the Plan by a majority of votes at a meeting of such shareholders before the first anniversary of the effective date of the 2026 Restatement of the Omnibus Plan. If the Corporation’s shareholders do not approve the 2026 Restatement of the Omnibus Plan before August 5, 2027, all awards made under the 2026 Restatement of the Omnibus Plan will be null and void to the extent that shares issuable pursuant to such awards would exceed the shares remaining available for issuance under the 2024 Restatement of the Omnibus Plan, and the 2024 Restatement of the Omnibus Plan will remain in effect. If the Corporation’s shareholders approve the 2026 Restatement of the Omnibus Plan, no stock options or other Benefits included in the Omnibus Plan may be granted after August 5,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discussion of the principal U.S. federal income tax consequences of the Omnibus Plan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Stock Options. </w:t>
      </w:r>
      <w:r>
        <w:rPr>
          <w:rFonts w:ascii="Times New Roman" w:hAnsi="Times New Roman"/>
          <w:caps w:val="false"/>
          <w:smallCaps w:val="false"/>
          <w:sz w:val="20"/>
        </w:rPr>
        <w:t>The grant of a stock option does not produce taxable income to the participant or a tax deduction to the Corporation or any subsidiary. Upon exercise of a non-qualified option, the excess of the fair market value of the common stock acquired over the option price is (a) taxable to the participant as ordinary income and (b) deductible by the Corporation (assuming withholding, if required). The tax basis for the common stock acquired is the option price plus that taxable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exercise of an incentive option, the excess of the fair market value of the common stock acquired over the option price will be an item of tax preference to the participant (unless the participant disposes of the common stock in that same year). If the common stock is held by the participant for at least two years after the date of grant and one year after the date of exercise of the option (i) the participant does not realize any income as a result of exercising the option, (ii) the tax basis of the common stock received is the option price, and (iii) the Corporation is not entitled to any tax deduction by reason of the exercise. Any gain realized on the ultimate sale of the common stock that is held for the appropriate period is treated as gain resulting from the disposition of a capital asset. If the participant does not hold the common 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participant as ordinary income and (b) deductible by the Corporation (assuming withholding, if required). The tax basis for the common stock received will be the option price plus that taxable excess. The gain realized on the sale of the common stock over the tax basis will be treated as gain resulting from the disposition of a capital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Stock Appreciation Rights. </w:t>
      </w:r>
      <w:r>
        <w:rPr>
          <w:rFonts w:ascii="Times New Roman" w:hAnsi="Times New Roman"/>
          <w:caps w:val="false"/>
          <w:smallCaps w:val="false"/>
          <w:sz w:val="20"/>
        </w:rPr>
        <w:t>No income will be recognized by the recipient of a stock appreciation right until shares representing the amount of the appreciation or the tax equivalent, if so elected, are transferred to the recipient pursuant to the exercise of the right. The amount of such income will be equal to the fair market value of such shares on the exercise date (or the cash equivalent), and will be ordinary income. Subject to the applicable provisions of the Code, the Corporation will be entitled to a deduction at the same time and in the same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Restricted Stock. </w:t>
      </w:r>
      <w:r>
        <w:rPr>
          <w:rFonts w:ascii="Times New Roman" w:hAnsi="Times New Roman"/>
          <w:caps w:val="false"/>
          <w:smallCaps w:val="false"/>
          <w:sz w:val="20"/>
        </w:rPr>
        <w:t>The grant of a restricted stock award will not result in taxable income to the recipient on the date of the grant, unless the recipient makes a timely election under Section 83(b) of the Code to include in income the fair market value of the restricted shares as of the date of such transfer. At the time the substantial risk of forfeiture terminates with respect to a restricted stock award, the then fair market value of the stock will constitute ordinary income to the recipient, and the Corporation will then be entitled to a deduction in the same amount. However, a recipient of restricted stock who makes an election under Section 83(b) of the Code within 30 days of the date of transfer of the shares will have taxable ordinary income on the date of transfer of the shares equal to the excess of the fair market value of such shares (determined without regard to the substantial risk of forfeiture) over the purchase price, if any, of such restricted shares. If a recipient makes an election under Section 83(b) of the Code, the Corporation generally will be entitled to a corresponding deduction in the year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appreciation (or depreciation) after the date the value of the restricted shares initially becomes taxable to the recipient that the recipient later realizes upon a subsequent disposition of such shares will be treated as long-term or short-term capital gain (or loss) depending upon how long the shares have been held. If a Section 83(b) election has not been made, any dividends received with respect to restricted shares that are subject to restrictions generally will be treated as deferred compensation that is taxable as ordinary income to the recipient.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Restricted Stock Units. </w:t>
      </w:r>
      <w:r>
        <w:rPr>
          <w:rFonts w:ascii="Times New Roman" w:hAnsi="Times New Roman"/>
          <w:caps w:val="false"/>
          <w:smallCaps w:val="false"/>
          <w:sz w:val="20"/>
        </w:rPr>
        <w:t>The grant of a restricted stock unit will not result in realization of taxable income as long as the award remains in the form of a restricted stock unit. When the restricted stock unit is extinguished and stock is issued, the tax consequences for restricted stock awards (see above paragraph) will be recognized. An election to have the restricted stock unit taxed at the grant date cannot be made under Section 83(b) of the Code because no stock is transferred to the participant on the grant date of the restricted stock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Cash-Settled Restricted Stock Units. </w:t>
      </w:r>
      <w:r>
        <w:rPr>
          <w:rFonts w:ascii="Times New Roman" w:hAnsi="Times New Roman"/>
          <w:caps w:val="false"/>
          <w:smallCaps w:val="false"/>
          <w:sz w:val="20"/>
        </w:rPr>
        <w:t>The grant of cash-settled restricted stock units will not ordinarily result in taxable income to the recipient on the date of grant. At the time the substantial risk of forfeiture terminates with respect to such award, any cash received will constitute ordinary income to the recipient, and the Corporation will then be entitled to a deduction in the same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Performance Stock Awards, Performance Stock Unit Awards and Performance Unit Awards. </w:t>
      </w:r>
      <w:r>
        <w:rPr>
          <w:rFonts w:ascii="Times New Roman" w:hAnsi="Times New Roman"/>
          <w:caps w:val="false"/>
          <w:smallCaps w:val="false"/>
          <w:sz w:val="20"/>
        </w:rPr>
        <w:t>The grant of a performance stock, performance stock unit or performance unit award generally will result in taxable income to the recipient on the earlier of actual receipt of compensation pursuant to the award or when compensation is credited to the recipient’s account, or set apart, or otherwise made available. Subject to the applicable provisions of the Code, including but not limited to Section 162(m) of the Code, a deduction for federal income tax purposes will be allowable to the Corporation in an amount equal to the compensation realized by the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Dividend Equivalent Awards. </w:t>
      </w:r>
      <w:r>
        <w:rPr>
          <w:rFonts w:ascii="Times New Roman" w:hAnsi="Times New Roman"/>
          <w:caps w:val="false"/>
          <w:smallCaps w:val="false"/>
          <w:sz w:val="20"/>
        </w:rPr>
        <w:t>A participant who receives a dividend equivalent award generally will not recognize any taxable income, and the Corporation will not have any tax consequences, at the time the dividend equivalent award is granted. When a participant is paid for the award, the amount of any cash received will constitute ordinary income to the participant, and the Corporation will be entitled to a tax deduction in the same amount in the year the award is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Tax Effect for the Corporation. </w:t>
      </w:r>
      <w:r>
        <w:rPr>
          <w:rFonts w:ascii="Times New Roman" w:hAnsi="Times New Roman"/>
          <w:caps w:val="false"/>
          <w:smallCaps w:val="false"/>
          <w:sz w:val="20"/>
        </w:rPr>
        <w:t>The Corporation will generally be entitled to a tax deduction in connection with awards under the Plan in an amount equal to the ordinary income realized by a participant and at the time the participant recognizes such income. However, special rules limit the deductibility of compensation paid to “covered employees” within the meaning of Code Section 162(m). Under Code Section 162(m), the annual compensation paid to any of these specified employees will be deductible only to the extent that it does not exceed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2026 Restatement of the Omnibus Plan will be adopted if approved by the affirmative vote of the holders of at least a majority of the outstanding shares of the Corporation’s common stock that are represented at the annual meeting (either in person or by proxy) and are voted in connection with the amendment and restatement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THAT YOU VOTE FOR APPROVAL OF THE TWIN DISC, INCORPORATED AMENDED AND RESTATED 2021 OMNIBUS INCENTIVE PLAN. UNLESS YOU INDICATE OTHERWISE ON YOUR PROXY, YOUR SHARES WILL BE VOTED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hAnsi="Times New Roman"/>
          <w:b/>
          <w:caps w:val="false"/>
          <w:smallCaps w:val="false"/>
          <w:sz w:val="20"/>
        </w:rPr>
        <w:t>www.twindisc.com</w:t>
      </w:r>
      <w:r>
        <w:rPr>
          <w:rFonts w:ascii="Times New Roman" w:hAnsi="Times New Roman"/>
          <w:caps w:val="false"/>
          <w:smallCaps w:val="false"/>
          <w:sz w:val="20"/>
        </w:rPr>
        <w:t>, and/or through appropriate mailings.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has determined that the following Directors are independent within the meaning of SEC regulations, the listing standards of the Nasdaq Stock Market and the Corporation’s Guidelines for Corporate Governance: Messrs. Doar, Johnson, Olsen and Smiley, and Mses. Giesselman and Larimer.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positions of Chairman of the Board and Chief Executive Officer (“CEO”) are separated between Mr. Smiley and Mr. Batten. This allows our CEO (Mr. Batten) to focus on the day-to-day business operations, while allowing the Chairman of the Board (Mr. Smiley)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Board</w:t>
      </w:r>
      <w:r>
        <w:rPr>
          <w:rFonts w:ascii="Times New Roman" w:hAnsi="Times New Roman"/>
          <w:caps w:val="false"/>
          <w:smallCaps w:val="false"/>
          <w:sz w:val="20"/>
        </w:rPr>
        <w:t>’</w:t>
      </w:r>
      <w:r>
        <w:rPr>
          <w:rFonts w:ascii="Times New Roman" w:hAnsi="Times New Roman"/>
          <w:b/>
          <w:caps w:val="false"/>
          <w:smallCaps w:val="false"/>
          <w:sz w:val="20"/>
        </w:rPr>
        <w:t>s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Various committees of the Board also have roles in the oversight of risk management. The Audit Committee focuses on financial risk, including the Corporation’s internal controls regarding finance, accounting, legal compliance and ethical behavior. The Compensation and Human Capital Committee evaluates risks that may be created by the Corporation’s compensation policies and practices, and also annually reviews the adequacy and status of the Corporation’s management succession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Guidelines for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Guidelines for Business Conduct and Ethics (the “Guidelines”) summarize the compliance and ethical standards and expectations we have for all our employees, executive officers and Directors with respect to their conduct in furtherance of the Corporation’s business. The Guidelines, which are available on the Corporation’s website, </w:t>
      </w:r>
      <w:r>
        <w:rPr>
          <w:rFonts w:ascii="Times New Roman" w:hAnsi="Times New Roman"/>
          <w:b/>
          <w:caps w:val="false"/>
          <w:smallCaps w:val="false"/>
          <w:sz w:val="20"/>
        </w:rPr>
        <w:t>www.twindisc.com</w:t>
      </w:r>
      <w:r>
        <w:rPr>
          <w:rFonts w:ascii="Times New Roman" w:hAnsi="Times New Roman"/>
          <w:caps w:val="false"/>
          <w:smallCaps w:val="false"/>
          <w:sz w:val="20"/>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Times New Roman" w:hAnsi="Times New Roman"/>
          <w:b/>
          <w:caps w:val="false"/>
          <w:smallCaps w:val="false"/>
          <w:sz w:val="20"/>
        </w:rPr>
        <w:t>www.twindisc.com</w:t>
      </w:r>
      <w:r>
        <w:rPr>
          <w:rFonts w:ascii="Times New Roman" w:hAnsi="Times New Roman"/>
          <w:caps w:val="false"/>
          <w:smallCaps w:val="false"/>
          <w:sz w:val="20"/>
        </w:rPr>
        <w:t xml:space="preserve"> or in a current report on Form 8-K. In addition, if a waiver from the Guidelines is granted to an executive officer or Director, we will disclose the nature of such waiver on our website at </w:t>
      </w:r>
      <w:r>
        <w:rPr>
          <w:rFonts w:ascii="Times New Roman" w:hAnsi="Times New Roman"/>
          <w:b/>
          <w:caps w:val="false"/>
          <w:smallCaps w:val="false"/>
          <w:sz w:val="20"/>
        </w:rPr>
        <w:t>www.twindisc.com</w:t>
      </w:r>
      <w:r>
        <w:rPr>
          <w:rFonts w:ascii="Times New Roman" w:hAnsi="Times New Roman"/>
          <w:caps w:val="false"/>
          <w:smallCaps w:val="false"/>
          <w:sz w:val="20"/>
        </w:rPr>
        <w:t xml:space="preserve"> or in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has adopted an Insider Trading Policy to regulate transactions in securities of the Corporation by employees, officers, and directors of the Corporation and its subsidiaries, as well as by related individuals. The purpose of the Insider Trading policy is to prevent any improper trading activity by parties involved with or familiar with the operations of the Corporation. The Insider Trading Policy prohibits all employees, directors, and officers of the Corporation and its subsidiaries (“Covered Persons”) from trading in the Corporation’s securities while in possession of material nonpublic information about the Corporation. Covered Persons are also prohibited from disclosing material nonpublic information about the Corporation to any person outside the Corporation, and from recommending to anyone that they buy or sell securities of the Corporation while in possession of material nonpublic information about the Corporation. The Insider Trading Policy also prohibits designated Covered Persons from trading in the Corporation’s securities outside of a designated trading window, and further requires that designated Covered Persons receive pre-clearance to trade in the Corporation’s securities during a trading window. The Insider Trading Policy has been reasonably designed to promote compliance by the Corporation and its employees, officers, and directors with applicable insider trading laws, rules and regulations and with applicable listing standards of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Insider Trading Policy is available on our website, </w:t>
      </w:r>
      <w:r>
        <w:rPr>
          <w:rFonts w:ascii="Times New Roman" w:hAnsi="Times New Roman"/>
          <w:b/>
          <w:caps w:val="false"/>
          <w:smallCaps w:val="false"/>
          <w:sz w:val="20"/>
        </w:rPr>
        <w:t>www.twindisc.com</w:t>
      </w:r>
      <w:r>
        <w:rPr>
          <w:rFonts w:ascii="Times New Roman" w:hAnsi="Times New Roman"/>
          <w:caps w:val="false"/>
          <w:smallCaps w:val="false"/>
          <w:sz w:val="20"/>
        </w:rPr>
        <w:t>, 24 hours a day and free of charge. A copy of our Insider Trading Policy is also filed as an exhibit to our Annual Report on Form 10-K for the fiscal year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Anti-Hedging and Pledging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Times New Roman" w:hAnsi="Times New Roman"/>
          <w:b/>
          <w:caps w:val="false"/>
          <w:smallCaps w:val="false"/>
          <w:sz w:val="20"/>
        </w:rPr>
        <w:t>www.twindisc.com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Guidelines also specifically require that all employees, executive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executive officers or employees, and their relatives or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 department and shared with the CEO and Audit Committee, as appropriate. Based upon such review, there were no related party transactions with respect to persons who were Directors or executive officers during fiscal 2026 requiring disclosure under the rules of the Securities and Exchange Commission, except as noted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Timothy Batten, a brother of the Corporation’s President and CEO John Batten, serves as the Corporation’s Executive Vice President. Timothy Batten’s total compensation for the two fiscal years that ended June 30, 2026 and June 30, 2025, including the fair value of equity-based awards granted under the Twin Disc, Incorporated 2021 Long-Term Incentive Compensation Plan in fiscal years 2026 and 2025, was approximately $602,000 and $518,000, respectively. This compensation arrangement is consistent with the compensation arrangements made available to other employees of the Corporation with similar years of experience and positions with the Corporation. Timothy Batten also participates in the Corporation’s benefit plans available to other employees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the Corporation in similar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COMMITTEES AND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Meetings of the Board of Directors and Board Committees;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Corporation’s Board of Directors met six times during the year ended June 30, 2026. Among incumbent Directors, there was one absence from these meetings. The Audit Committee met five times during the year. The Nominating and Governance Committee met two times during the year. The Compensation and Human Capital Committee met three times during the year. All directors attended at least 75% of the aggregate of the total number of meetings of the Board of Directors and of the Committees on which they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 Committee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Corporation has a separately-designated Audit Committee established in accordance with Section 3(a)(58) (A) of the Securities Exchange Act of 1934. The charter of the Audit Committee is available on the Corporation’s website, </w:t>
      </w:r>
      <w:r>
        <w:rPr>
          <w:rFonts w:ascii="Times New Roman" w:hAnsi="Times New Roman"/>
          <w:b/>
          <w:caps w:val="false"/>
          <w:smallCaps w:val="false"/>
          <w:sz w:val="20"/>
        </w:rPr>
        <w:t>www.twindisc.com</w:t>
      </w:r>
      <w:r>
        <w:rPr>
          <w:rFonts w:ascii="Times New Roman" w:hAnsi="Times New Roman"/>
          <w:caps w:val="false"/>
          <w:smallCaps w:val="false"/>
          <w:sz w:val="20"/>
        </w:rPr>
        <w:t>. It was most recently reviewed on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Johnson (Chair), Ms. Giesselman, Ms. Larimer and Mr. Olsen) qualifies as an “audit committee financial expert” within the meaning of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Committee’s purpose is to assist the Board of Directors in monitoring the:</w:t>
      </w:r>
    </w:p>
    <w:tbl>
      <w:tblPr>
        <w:tblW w:w="4300" w:type="dxa"/>
        <w:jc w:val="left"/>
        <w:tblInd w:w="0" w:type="dxa"/>
        <w:tblLayout w:type="fixed"/>
        <w:tblCellMar>
          <w:top w:w="0" w:type="dxa"/>
          <w:left w:w="0" w:type="dxa"/>
          <w:bottom w:w="0" w:type="dxa"/>
          <w:right w:w="0" w:type="dxa"/>
        </w:tblCellMar>
      </w:tblPr>
      <w:tblGrid>
        <w:gridCol w:w="60"/>
        <w:gridCol w:w="110"/>
        <w:gridCol w:w="41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Integrity of the Corporation’s financial statements;</w:t>
            </w:r>
          </w:p>
        </w:tc>
      </w:tr>
    </w:tbl>
    <w:tbl>
      <w:tblPr>
        <w:tblW w:w="4735" w:type="dxa"/>
        <w:jc w:val="left"/>
        <w:tblInd w:w="0" w:type="dxa"/>
        <w:tblLayout w:type="fixed"/>
        <w:tblCellMar>
          <w:top w:w="0" w:type="dxa"/>
          <w:left w:w="0" w:type="dxa"/>
          <w:bottom w:w="0" w:type="dxa"/>
          <w:right w:w="0" w:type="dxa"/>
        </w:tblCellMar>
      </w:tblPr>
      <w:tblGrid>
        <w:gridCol w:w="60"/>
        <w:gridCol w:w="110"/>
        <w:gridCol w:w="4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Independent auditor’s qualifications and independence;</w:t>
            </w:r>
          </w:p>
        </w:tc>
      </w:tr>
    </w:tbl>
    <w:tbl>
      <w:tblPr>
        <w:tblW w:w="7570" w:type="dxa"/>
        <w:jc w:val="left"/>
        <w:tblInd w:w="0" w:type="dxa"/>
        <w:tblLayout w:type="fixed"/>
        <w:tblCellMar>
          <w:top w:w="0" w:type="dxa"/>
          <w:left w:w="0" w:type="dxa"/>
          <w:bottom w:w="0" w:type="dxa"/>
          <w:right w:w="0" w:type="dxa"/>
        </w:tblCellMar>
      </w:tblPr>
      <w:tblGrid>
        <w:gridCol w:w="60"/>
        <w:gridCol w:w="110"/>
        <w:gridCol w:w="74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of the Corporation’s internal audit function and the independent auditors; and</w:t>
            </w:r>
          </w:p>
        </w:tc>
      </w:tr>
    </w:tbl>
    <w:tbl>
      <w:tblPr>
        <w:tblW w:w="5530" w:type="dxa"/>
        <w:jc w:val="left"/>
        <w:tblInd w:w="0" w:type="dxa"/>
        <w:tblLayout w:type="fixed"/>
        <w:tblCellMar>
          <w:top w:w="0" w:type="dxa"/>
          <w:left w:w="0" w:type="dxa"/>
          <w:bottom w:w="0" w:type="dxa"/>
          <w:right w:w="0" w:type="dxa"/>
        </w:tblCellMar>
      </w:tblPr>
      <w:tblGrid>
        <w:gridCol w:w="60"/>
        <w:gridCol w:w="110"/>
        <w:gridCol w:w="5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Corporation’s compliance with legal and regulatory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carrying out these responsibilities, the Audit Committee, among other things:</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Appoints the independent auditor for the purpose of preparing and issuing an audit report and to perform related work, and discusses with the independent auditor appropriate staffing and compensation;</w:t>
            </w:r>
          </w:p>
        </w:tc>
      </w:tr>
    </w:tbl>
    <w:tbl>
      <w:tblPr>
        <w:tblW w:w="7090" w:type="dxa"/>
        <w:jc w:val="left"/>
        <w:tblInd w:w="0" w:type="dxa"/>
        <w:tblLayout w:type="fixed"/>
        <w:tblCellMar>
          <w:top w:w="0" w:type="dxa"/>
          <w:left w:w="0" w:type="dxa"/>
          <w:bottom w:w="0" w:type="dxa"/>
          <w:right w:w="0" w:type="dxa"/>
        </w:tblCellMar>
      </w:tblPr>
      <w:tblGrid>
        <w:gridCol w:w="60"/>
        <w:gridCol w:w="110"/>
        <w:gridCol w:w="69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Retains, as necessary or appropriate, independent legal, accounting or other advisors;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Monitors the preparation of quarterly and annual financial reports by the Corporation’s management, including discussions with management and the Corporation’s independent auditors about draft annual financial statements and key accounting and reporting matters;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Annually reviews management’s programs to monitor compliance with the Corporation’s Guidelines for Business Conduct and Ethics.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Nominating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Times New Roman" w:hAnsi="Times New Roman"/>
          <w:b/>
          <w:caps w:val="false"/>
          <w:smallCaps w:val="false"/>
          <w:sz w:val="20"/>
        </w:rPr>
        <w:t>www.twindisc.com</w:t>
      </w:r>
      <w:r>
        <w:rPr>
          <w:rFonts w:ascii="Times New Roman" w:hAnsi="Times New Roman"/>
          <w:caps w:val="false"/>
          <w:smallCaps w:val="false"/>
          <w:sz w:val="20"/>
        </w:rPr>
        <w:t>. The independence of the Committee is in compliance with SEC regulations, the listing standards of the Nasdaq Stock Market and the Corporation’s Guidelines for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Nominating and Governance Committee identifies candidates for Director nominees in consultation with the Chairman and Chief Executive Officer, through the use of search firms or other advisors,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website, </w:t>
      </w:r>
      <w:r>
        <w:rPr>
          <w:rFonts w:ascii="Times New Roman" w:hAnsi="Times New Roman"/>
          <w:b/>
          <w:caps w:val="false"/>
          <w:smallCaps w:val="false"/>
          <w:sz w:val="20"/>
        </w:rPr>
        <w:t>www.twindisc.com</w:t>
      </w:r>
      <w:r>
        <w:rPr>
          <w:rFonts w:ascii="Times New Roman" w:hAnsi="Times New Roman"/>
          <w:caps w:val="false"/>
          <w:smallCaps w:val="false"/>
          <w:sz w:val="20"/>
        </w:rPr>
        <w:t>. Shareholder recommendations to the Committee for Director candidates shall follow the following procedures: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Committee must receive any such shareholder recommendations for Director candidates on or before the last business day in the month of March preceding that year’s annual meeting.</w:t>
            </w:r>
          </w:p>
        </w:tc>
      </w:tr>
    </w:tbl>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82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Such recommendation for nomination shall be in writing and shall include the following information:</w:t>
            </w:r>
          </w:p>
        </w:tc>
      </w:tr>
    </w:tbl>
    <w:tbl>
      <w:tblPr>
        <w:tblW w:w="8485" w:type="dxa"/>
        <w:jc w:val="left"/>
        <w:tblInd w:w="0" w:type="dxa"/>
        <w:tblLayout w:type="fixed"/>
        <w:tblCellMar>
          <w:top w:w="0" w:type="dxa"/>
          <w:left w:w="0" w:type="dxa"/>
          <w:bottom w:w="0" w:type="dxa"/>
          <w:right w:w="0" w:type="dxa"/>
        </w:tblCellMar>
      </w:tblPr>
      <w:tblGrid>
        <w:gridCol w:w="60"/>
        <w:gridCol w:w="125"/>
        <w:gridCol w:w="830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w:t>
            </w:r>
          </w:p>
        </w:tc>
        <w:tc>
          <w:tcPr>
            <w:tcW w:w="8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 address of the shareholder, whether an entity or an individual, making the recommendation;</w:t>
            </w:r>
          </w:p>
        </w:tc>
      </w:tr>
    </w:tbl>
    <w:tbl>
      <w:tblPr>
        <w:tblW w:w="7765" w:type="dxa"/>
        <w:jc w:val="left"/>
        <w:tblInd w:w="0" w:type="dxa"/>
        <w:tblLayout w:type="fixed"/>
        <w:tblCellMar>
          <w:top w:w="0" w:type="dxa"/>
          <w:left w:w="0" w:type="dxa"/>
          <w:bottom w:w="0" w:type="dxa"/>
          <w:right w:w="0" w:type="dxa"/>
        </w:tblCellMar>
      </w:tblPr>
      <w:tblGrid>
        <w:gridCol w:w="60"/>
        <w:gridCol w:w="185"/>
        <w:gridCol w:w="75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7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written statement of the shareholder’s beneficial ownership of the Corporation’s securities;</w:t>
            </w:r>
          </w:p>
        </w:tc>
      </w:tr>
    </w:tbl>
    <w:tbl>
      <w:tblPr>
        <w:tblW w:w="7660" w:type="dxa"/>
        <w:jc w:val="left"/>
        <w:tblInd w:w="0" w:type="dxa"/>
        <w:tblLayout w:type="fixed"/>
        <w:tblCellMar>
          <w:top w:w="0" w:type="dxa"/>
          <w:left w:w="0" w:type="dxa"/>
          <w:bottom w:w="0" w:type="dxa"/>
          <w:right w:w="0" w:type="dxa"/>
        </w:tblCellMar>
      </w:tblPr>
      <w:tblGrid>
        <w:gridCol w:w="60"/>
        <w:gridCol w:w="245"/>
        <w:gridCol w:w="73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73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 and address of the individual recommended for consideration as a Director nominee;</w:t>
            </w:r>
          </w:p>
        </w:tc>
      </w:tr>
    </w:tbl>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iv. A written statement from the shareholder making the recommendation stating why such recommended candidate would be able to fulfill the duties of a Director;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written statement from the shareholder making the recommendation stating how the recommended candidate meets the independence requirements established by the SEC and the Nasdaq Stock Market;</w:t>
            </w:r>
          </w:p>
        </w:tc>
      </w:tr>
    </w:tbl>
    <w:tbl>
      <w:tblPr>
        <w:tblW w:w="9520" w:type="dxa"/>
        <w:jc w:val="left"/>
        <w:tblInd w:w="0" w:type="dxa"/>
        <w:tblLayout w:type="fixed"/>
        <w:tblCellMar>
          <w:top w:w="0" w:type="dxa"/>
          <w:left w:w="0" w:type="dxa"/>
          <w:bottom w:w="0" w:type="dxa"/>
          <w:right w:w="0" w:type="dxa"/>
        </w:tblCellMar>
      </w:tblPr>
      <w:tblGrid>
        <w:gridCol w:w="60"/>
        <w:gridCol w:w="230"/>
        <w:gridCol w:w="923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w:t>
            </w:r>
          </w:p>
        </w:tc>
        <w:tc>
          <w:tcPr>
            <w:tcW w:w="9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written statement disclosing the recommended candidate’s beneficial ownership of the Corporation’s securities;</w:t>
            </w:r>
          </w:p>
        </w:tc>
      </w:tr>
    </w:tbl>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vii.</w:t>
            </w:r>
          </w:p>
        </w:tc>
        <w:tc>
          <w:tcPr>
            <w:tcW w:w="98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written statement disclosing relationships between the recommended candidate and the Corporation which may constitute a conflict of interest; and</w:t>
            </w:r>
          </w:p>
        </w:tc>
      </w:tr>
    </w:tbl>
    <w:tbl>
      <w:tblPr>
        <w:tblW w:w="10205" w:type="dxa"/>
        <w:jc w:val="left"/>
        <w:tblInd w:w="0" w:type="dxa"/>
        <w:tblLayout w:type="fixed"/>
        <w:tblCellMar>
          <w:top w:w="0" w:type="dxa"/>
          <w:left w:w="0" w:type="dxa"/>
          <w:bottom w:w="0" w:type="dxa"/>
          <w:right w:w="0" w:type="dxa"/>
        </w:tblCellMar>
      </w:tblPr>
      <w:tblGrid>
        <w:gridCol w:w="60"/>
        <w:gridCol w:w="350"/>
        <w:gridCol w:w="9795"/>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viii.</w:t>
            </w:r>
          </w:p>
        </w:tc>
        <w:tc>
          <w:tcPr>
            <w:tcW w:w="9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other information relating to the recommended candidate that would be required to be disclosed in solicitations of proxies for the election of Directors under the Securities Exchange Act.</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Recommendation for nomination must be sent to the attention of the Committee via the U.S. Mail or by expedited delivery service, addressed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222 East Erie Street, Suite 400</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Milwaukee, WI 53202</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Attn: Nominating and Governance Committee</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 Secretary of 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satisfy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and Human Capital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Scope of Authority</w:t>
      </w:r>
      <w:r>
        <w:rPr>
          <w:rFonts w:ascii="Times New Roman" w:hAnsi="Times New Roman"/>
          <w:caps w:val="false"/>
          <w:smallCaps w:val="false"/>
          <w:sz w:val="20"/>
        </w:rPr>
        <w:t xml:space="preserve"> – The primary purpose of the Compensation and Human Capital Committee is: (i) to assist the Board in discharging its responsibilities in respect to the compensation of the Corporation’s executive officers and Directors;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and Human Capital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charter of the Compensation and Human Capital Committee is available on the Corporation’s website, </w:t>
      </w:r>
      <w:r>
        <w:rPr>
          <w:rFonts w:ascii="Times New Roman" w:hAnsi="Times New Roman"/>
          <w:b/>
          <w:caps w:val="false"/>
          <w:smallCaps w:val="false"/>
          <w:sz w:val="20"/>
        </w:rPr>
        <w:t>www.twindisc.com</w:t>
      </w:r>
      <w:r>
        <w:rPr>
          <w:rFonts w:ascii="Times New Roman" w:hAnsi="Times New Roman"/>
          <w:caps w:val="false"/>
          <w:smallCaps w:val="false"/>
          <w:sz w:val="20"/>
        </w:rPr>
        <w:t>. The Corporation last reviewed the Compensation and Human Capital Committee charter on January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Composition</w:t>
      </w:r>
      <w:r>
        <w:rPr>
          <w:rFonts w:ascii="Times New Roman" w:hAnsi="Times New Roman"/>
          <w:caps w:val="false"/>
          <w:smallCaps w:val="false"/>
          <w:sz w:val="20"/>
        </w:rPr>
        <w:t xml:space="preserve"> – The Compensation and Human Capital Committee is composed exclusively of non-employee, independent Directors none of whom has a business relationship with the Corporation, other than in their capacity as Directors. The Compensation and Human Capital Development Committee reports to the entire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Role of Consultants</w:t>
      </w:r>
      <w:r>
        <w:rPr>
          <w:rFonts w:ascii="Times New Roman" w:hAnsi="Times New Roman"/>
          <w:caps w:val="false"/>
          <w:smallCaps w:val="false"/>
          <w:sz w:val="20"/>
        </w:rPr>
        <w:t xml:space="preserve"> – The Compensation and Human Capital Committee periodically engages an independent consultant to review its compensation program for the executive officers of the Corporation, in order to ensure market competitiveness. Historically, the Committee engaged an independent compensation consultant for this purpose every two years. For fiscal 2026, the Committee engaged Pay Governance, LLC, an independent executive compensation advisory firm, to conduct a detailed review of competitive compensation levels for similar positions in similar industries. The Committee considered that information in setting executive compensation for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Role of Executive Officers</w:t>
      </w:r>
      <w:r>
        <w:rPr>
          <w:rFonts w:ascii="Times New Roman" w:hAnsi="Times New Roman"/>
          <w:caps w:val="false"/>
          <w:smallCaps w:val="false"/>
          <w:sz w:val="20"/>
        </w:rPr>
        <w:t xml:space="preserve"> – The Compensation and Human Capital Committee makes all compensation decisions for the CEO, Mr. Batten, and approves recommendations for compensation actions for all other elected officers of the Corporation. As CEO, Mr. Batten annually reviews the performance of each elected officer with the Compensation and Human Capital Committee. Recommendations based on these reviews, including those pertaining to salary adjustments, bonus payouts and equity compensation, are presented to the Compensation and Human Capital Committee, which may exercise its discretion in modifying any of the recommendations presented. The Compensation and Human Capital Committee also reviews the performance of the CEO. It alone determines the salary adjustment, bonus payment and equity awards for Mr. Batten.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Committee Membership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October of each year, the Board considers and approves committee membership for the coming year. The Board’s committees are currently comprised of the following Directors, with the Chairman of each Committee listed first:</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28" w:type="dxa"/>
          <w:right w:w="0" w:type="dxa"/>
        </w:tblCellMar>
      </w:tblPr>
      <w:tblGrid>
        <w:gridCol w:w="965"/>
        <w:gridCol w:w="60"/>
        <w:gridCol w:w="1595"/>
        <w:gridCol w:w="60"/>
        <w:gridCol w:w="1355"/>
      </w:tblGrid>
      <w:tr>
        <w:trPr/>
        <w:tc>
          <w:tcPr>
            <w:tcW w:w="965" w:type="dxa"/>
            <w:tcBorders>
              <w:bottom w:val="single" w:sz="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Audit</w:t>
            </w:r>
          </w:p>
        </w:tc>
        <w:tc>
          <w:tcPr>
            <w:tcW w:w="60" w:type="dxa"/>
            <w:tcBorders/>
            <w:tcMar>
              <w:bottom w:w="0" w:type="dxa"/>
            </w:tcMar>
            <w:vAlign w:val="center"/>
          </w:tcPr>
          <w:p>
            <w:pPr>
              <w:pStyle w:val="TableContents"/>
              <w:bidi w:val="0"/>
              <w:spacing w:before="0" w:after="283"/>
              <w:jc w:val="center"/>
              <w:rPr/>
            </w:pPr>
            <w:r>
              <w:rPr/>
              <w:t> </w:t>
            </w:r>
          </w:p>
        </w:tc>
        <w:tc>
          <w:tcPr>
            <w:tcW w:w="15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Compensation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Human Capital</w:t>
            </w:r>
          </w:p>
        </w:tc>
        <w:tc>
          <w:tcPr>
            <w:tcW w:w="60" w:type="dxa"/>
            <w:tcBorders/>
            <w:tcMar>
              <w:bottom w:w="0" w:type="dxa"/>
            </w:tcMar>
            <w:vAlign w:val="center"/>
          </w:tcPr>
          <w:p>
            <w:pPr>
              <w:pStyle w:val="TableContents"/>
              <w:bidi w:val="0"/>
              <w:spacing w:before="0" w:after="283"/>
              <w:jc w:val="center"/>
              <w:rPr/>
            </w:pPr>
            <w:r>
              <w:rPr/>
              <w:t> </w:t>
            </w:r>
          </w:p>
        </w:tc>
        <w:tc>
          <w:tcPr>
            <w:tcW w:w="13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Nominating</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Governance</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Johnson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Giesselman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Doar</w:t>
            </w:r>
          </w:p>
        </w:tc>
      </w:tr>
      <w:tr>
        <w:trPr/>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Giesselman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5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Johnson</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Larimer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Larimer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Olsen</w:t>
            </w:r>
          </w:p>
        </w:tc>
      </w:tr>
      <w:tr>
        <w:trPr/>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Olsen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55"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Attendance at Annual Meeting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does not have a formal policy that its Directors attend the Annual Meeting of Shareholders, but they are expected to attend and the Corporation’s Directors historically have attended these meetings. All of the members of the Board of Directors, with the exception of Ms. Giesselman, attended last year’s annual meeting. The Board of Directors conducts its annual meeting at the Corporation’s headquarters on the same day as the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 Communication with the Board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provides to every stockholder the ability to communicate with the Board as a whole, and with individual Directors on the Board, through an established process for stockholder communication (“Stockholder Communication”)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 Communication to Entire Board. For Stockholder Communication directed to the Board as a whole, stockholders may send such communication to the attention of the Chairman of the Board via U.S. Mail or by expedited delivery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222 East Erie Street, Suite 400</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Milwaukee, WI 53202</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Attn: Chairman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222 East Erie Street, Suite 400</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Milwaukee, WI 53202</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Attn: [Name of Individual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From time to time, the Board may change the process by which stockholders may communicate with the Board or its members. Please refer to the Corporation’s website, </w:t>
      </w:r>
      <w:r>
        <w:rPr>
          <w:rFonts w:ascii="Times New Roman" w:hAnsi="Times New Roman"/>
          <w:b/>
          <w:caps w:val="false"/>
          <w:smallCaps w:val="false"/>
          <w:sz w:val="20"/>
        </w:rPr>
        <w:t>www.twindisc.com</w:t>
      </w:r>
      <w:r>
        <w:rPr>
          <w:rFonts w:ascii="Times New Roman" w:hAnsi="Times New Roman"/>
          <w:caps w:val="false"/>
          <w:smallCaps w:val="false"/>
          <w:sz w:val="20"/>
        </w:rPr>
        <w:t>, for any changes to this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rules of the Securities and Exchange Commission, the Corporation is required to describe the material components of compensation paid to anyone who served as the Corporation’s Chief Executive Officer during a fiscal year, its two most highly compensated executive officers other than the Chief Executive Officer who were serving as executive officers as of the end of the fiscal year, and up to two additional individuals for whom such disclosure would have been provided but for the fact that the individual was not serving as an executive officer at the end of the fiscal year (the “Named Executive Officers”). For the fiscal year ended June 30, 2026, the Corporation’s Named Executive Officers are:</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10"/>
        <w:gridCol w:w="4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H. Batten, President and Chief Executive Officer; and</w:t>
            </w:r>
          </w:p>
        </w:tc>
      </w:tr>
    </w:tbl>
    <w:tbl>
      <w:tblPr>
        <w:tblW w:w="7735" w:type="dxa"/>
        <w:jc w:val="left"/>
        <w:tblInd w:w="0" w:type="dxa"/>
        <w:tblLayout w:type="fixed"/>
        <w:tblCellMar>
          <w:top w:w="0" w:type="dxa"/>
          <w:left w:w="0" w:type="dxa"/>
          <w:bottom w:w="0" w:type="dxa"/>
          <w:right w:w="0" w:type="dxa"/>
        </w:tblCellMar>
      </w:tblPr>
      <w:tblGrid>
        <w:gridCol w:w="60"/>
        <w:gridCol w:w="110"/>
        <w:gridCol w:w="7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S. Knutson, Vice President – Finance, Chief Financial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discussion that follows, we will explain the objectives of our compensation programs, why we pay the compensation we do and how that fits with the Corporation’s commitment to provide value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the Board’s Compensation and Human Capital Committee (the “Committee”), the Corporation has established a compensation program that is designed to attract and retain key employees, and reward those employees for short-term and long-term performance of the Corporation as well as achieving individual objectives.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Corporation seeks to set base salary and annual incentive compensation of its Named Executive Officers at the market median for companies of comparable size and in comparable industries, but also allows actual such pay to vary from the market median depending on individual and company performance and length of service within the industry and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Corporation has stock ownership guidelines for each of its Named Executive Officers, thereby aligning their long-term interests with those of Corporation’s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Corporation promoted additional equity ownership beyond the performance period for the long-term incentive awards by including performance stock awards that are payable in stock as long-term incentive awards in FY2026.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also maintains compensation practices that it believes are consistent with good governance.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Corporation’s agreements with its Named Executive Officers are designed to avoid excess parachute payments under Section 280G of the Internal Revenue Code and thus do not provide for excise tax gross-ups for excess parachute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the listing standards of the Nasdaq Stock Market, and any clawback policy adopted by the Committee, and provides mechanisms for the Corporation to enforce its recovery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Committee considers internal pay equity when making compensation decisions, that is, whether employees within the Corporation are paid fairly relative to each other given their duties, experience and performance.</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60"/>
        <w:gridCol w:w="110"/>
        <w:gridCol w:w="68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Corporate Incentive Plan is performance-based and has caps on bonus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Committee annually evaluates the Corporation’s compensation programs to ensure that they do not encourage unnecessary risk-taking.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Committee has adopted formal clawback policies that require the Committee to seek disgorgement of incentive pay from current or former executive officers of the Corporation if the Corporation is required to prepare an accounting restatement due to material noncompliance with financial reporting requirements under securities laws, and permit the Committee to seek disgorgement of incentive pay from current or former executive officers of the Corporation in the event of willful fraud or willful violation of the Corporation’s rules or applicable legal requirements that causes material financial or reputational harm to the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provides a brief overview of the highlights of the compensation received by the Corporation’s Named Executive Officers for the fiscal year that ended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the beginning of FY2026, the Committee maintained Mr. Batten’s base salary and approved a 4.2% increase to the base salary of Mr. Knutson. These changes were in line with the Corporation’s budget for other non-executive officer key employees, and the resulting base salaries continued to position Messrs. Batten and Knutson near the market median for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Committee determined that the net sales, EBITDA percentage of net sales and inventory as a percent of net sales results exceeded the thresholds under the Corporate Incentive Plan. In addition, the Committee determined that the two strategic objectives were fully met. As a result, the Named Executive Officers received payments under the Corporate Incentive Plan equal to 81.9% and 84.9% of the target amounts for Mr. Batten and Mr. Knutson,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Corporation achieved greater than the maximum performance levels for its Average Return on Invested Capital goal (weighted 50%), and greater than the target performance levels for its cumulative EBITDA dollar goal (weighted 50%) for performance stock granted in fiscal 2023 under the Twin Disc, Incorporated 2021 Long-Term Incentive Compensation Plan. As a result, the performance stock awards vested at approximately 158.1% of target.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required by Section 14A of the Securities Exchange Act of 1934, the Corporation held its shareholder advisory vote on executive compensation at its October 30, 2025, Annual Meeting of Shareholders. The shareholders approved the say on pay proposal by a significant majority, with more than 95% of the votes cast in favor of the compensation paid to the Corporation’s Named Executive Officers. The Committee viewed this vote as support for the Corporation’s general compensation practices and did not make significant changes to the Corporation’s overall compensation program for FY2027.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Compensation Philosophy and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high-level performance, resulting in increased profitability of the Corporation. Executives are compensated on the value of their contribution towards the success of the Corporation, in addition to their assigned scope of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public companies of similar size and in similar industries. Twin Disc pays for the value of the job to the Corporation, considering the knowledge, skills and abilities required for each job and will pay market competitive compensation, in order to attract, retain and motivate top talent.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key elements of our executive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believes that its executive officers should hold a meaningful stake in Twin Disc in order to align their economic interests with those of the shareholders. To that end, the Corporation has stock ownership guidelines. Stock ownership targets are equal to five times the annual base salary for our CEO, and two times the annual base salary for our CFO. Executive officers have a period of four years to attain their targeted ownership level. The Committee monitors compliance with this guideline, using its discretion to address non-attainment issues. Compliance is reviewed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Setting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looks to establish total direct compensation (i.e., base salary, annual incentive compensation, and the target annualized value of long-term incentive compensation granted during the year) between the 50th and 75th percentile for public companies of a similar size and in a similar industry, with base salary and annual incentive compensation near the market median and long-term incentive compensation positioned between the 50th and 75th percentile. The Committee believes an executive’s base compensation and annual incentive compensation is competitive if it falls within a band of plus or minus 15% from the competitive median of 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periodically engages an independent consultant to review its compensation program for the executive officers of the Corporation, in order to provide information regarding market median compensation levels and the blend of short-term compensation to long-term types of compensation. The consultant provides the Committee information regarding market compensation practices and alternatives to consider when making compensation decisions for the executives.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it established executive compensation for FY2026, the Committee engaged Pay Governance LLC (“Pay Governance”), an independent compensation advisory firm, to conduct a review of competitive compensation levels for the CEO and CFO for similar positions in similar industries. For this analysis, Pay Governance referenced data from a selected peer group of public companies, as well as survey data, reflecting a market sample of companies consistent with Twin Disc’s industry and size. The Committee received information on the 25th, 50th and 75th percentiles of each element of executive compensation for comparable executive positions. The Committee used this data to determine the base salaries, target annual bonus percentages, target long-term incentive pay, and target total pay for Messrs. Batten and Knutson for FY2026. The Committee did not specify targeted individual companies from among the peer group developed by Pay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Base Salary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provides executive officers with a base salary to compensate them for services rendered during the fiscal year, their level of responsibility, experience within the Corporation and time within their current role,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 salaries are reviewed each year by the Committee. As discussed above, base salary levels have historically been compared to the market median (i.e. 50th percentile), as determined by using survey data and as determined by external consultants, in order to ensure executives are paid a competitive salary, aiding in attracting and retaining top-level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base salaries are considered annually and may be based on individual, team or Corporation performance results, as well as other factors including changes to job scope or responsibilities. In addition, market adjustments to base salaries may be indicated when an incumbent is more than 15% below the market median and has been in the job longer than 2-3 years. Market adjustments may also be used to retain valuable employees in a competitive labor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determines and approves base salary adjustments for the CEO, and approves base salary adjustments for the other members of the executive officer team based on recommendations from the CEO. Generally, executive base salaries are increased at rates comparable to the increases provided at other comparable companies and are at or near market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Annual Incentive Compensation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officers and selected key management personnel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reviews the CIP’s design annually and approves any CIP design changes or amendments. It also reviews and approves annual goals, and certifies the achievement of performance targets, based on the audited financial statements of the Corporation. Cash incentive payments are made after the end of each fiscal year, dependent upon corporate, business unit or individual goal achievement. In no event may the payout be more than 200% of the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Long-Term Incentive Compensation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Twin Disc, Incorporated Amended and Restated 2021 Omnibus Incentive Plan (“LTI Plan”), which was approved by the Corporation’s shareholders at the annual meeting in October 2024, provides an opportunity for executive officers, key employees and consultants of the Corporation (and its subsidiaries) to acquire common stock of the Corporation or cash payments via stock options, stock appreciation rights, restricted stock, restricted stock units, performance stock awards, performance stock unit awards, performance unit awards and or dividend equivalent awards. In keeping with the Corporation’s commitment to provide a total compensation package that includes at-risk components of pay, the Committee annually evaluates the long-term incentives for each executive to insure they do not encourage excessively risky behaviors or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the future value of stock options, performance stock and performance stock units become more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establishes the vesting criteria, including the performance goals that must be achieved in order for the awards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However, vesting periods are typically three years. Grants are made at the beginning of each fiscal year, or as determined by the Committee, for the ensuing multi-year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uses survey information provided by external consultants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 complies with shareholder approval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Times New Roman" w:hAnsi="Times New Roman"/>
          <w:i/>
          <w:caps w:val="false"/>
          <w:smallCaps w:val="false"/>
          <w:sz w:val="20"/>
        </w:rPr>
        <w:t xml:space="preserve">Outstanding Equity Awards at Fiscal Year-End </w:t>
      </w:r>
      <w:r>
        <w:rPr>
          <w:rFonts w:ascii="Times New Roman" w:hAnsi="Times New Roman"/>
          <w:caps w:val="false"/>
          <w:smallCaps w:val="false"/>
          <w:sz w:val="20"/>
        </w:rPr>
        <w:t>table later in this Executive Compensation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Personal Benefits and Perquisites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“total compensation” of the Corporation’s Named Executive Officers for the fiscal years ended June 30, 2026 and June 30, 2025.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28" w:type="dxa"/>
          <w:left w:w="28" w:type="dxa"/>
          <w:bottom w:w="28" w:type="dxa"/>
          <w:right w:w="0" w:type="dxa"/>
        </w:tblCellMar>
      </w:tblPr>
      <w:tblGrid>
        <w:gridCol w:w="2060"/>
        <w:gridCol w:w="380"/>
        <w:gridCol w:w="60"/>
        <w:gridCol w:w="110"/>
        <w:gridCol w:w="605"/>
        <w:gridCol w:w="60"/>
        <w:gridCol w:w="60"/>
        <w:gridCol w:w="110"/>
        <w:gridCol w:w="740"/>
        <w:gridCol w:w="60"/>
        <w:gridCol w:w="60"/>
        <w:gridCol w:w="160"/>
        <w:gridCol w:w="880"/>
        <w:gridCol w:w="60"/>
        <w:gridCol w:w="60"/>
        <w:gridCol w:w="309"/>
        <w:gridCol w:w="731"/>
        <w:gridCol w:w="60"/>
        <w:gridCol w:w="60"/>
        <w:gridCol w:w="160"/>
        <w:gridCol w:w="880"/>
        <w:gridCol w:w="60"/>
        <w:gridCol w:w="60"/>
        <w:gridCol w:w="110"/>
        <w:gridCol w:w="740"/>
        <w:gridCol w:w="75"/>
      </w:tblGrid>
      <w:tr>
        <w:trPr/>
        <w:tc>
          <w:tcPr>
            <w:tcW w:w="20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Name and Principal Position</w:t>
            </w:r>
          </w:p>
        </w:tc>
        <w:tc>
          <w:tcPr>
            <w:tcW w:w="38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Year</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Salary</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85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Awards</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104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Non-Equity</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Incentive Plan</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104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Nonqualified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Deferred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Earnings</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104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All Other</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85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7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2060" w:type="dxa"/>
            <w:vMerge w:val="restart"/>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John H. Batten</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Executive Officer</w:t>
            </w:r>
          </w:p>
        </w:tc>
        <w:tc>
          <w:tcPr>
            <w:tcW w:w="3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712,071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1,002,767</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440,060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1"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190,952</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2,345,850</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ind w:left="0" w:right="0" w:hanging="0"/>
              <w:jc w:val="left"/>
              <w:rPr/>
            </w:pPr>
            <w:r>
              <w:rPr/>
              <w:t> </w:t>
            </w:r>
          </w:p>
        </w:tc>
      </w:tr>
      <w:tr>
        <w:trPr/>
        <w:tc>
          <w:tcPr>
            <w:tcW w:w="2060" w:type="dxa"/>
            <w:vMerge w:val="continue"/>
            <w:tcBorders>
              <w:left w:val="single" w:sz="2" w:space="0" w:color="000000"/>
              <w:bottom w:val="single" w:sz="2" w:space="0" w:color="000000"/>
            </w:tcBorders>
            <w:tcMar>
              <w:top w:w="0" w:type="dxa"/>
            </w:tcMar>
            <w:vAlign w:val="center"/>
          </w:tcPr>
          <w:p>
            <w:pPr>
              <w:pStyle w:val="Normal"/>
              <w:bidi w:val="0"/>
              <w:jc w:val="left"/>
              <w:rPr/>
            </w:pPr>
            <w:r>
              <w:rPr/>
            </w:r>
          </w:p>
        </w:tc>
        <w:tc>
          <w:tcPr>
            <w:tcW w:w="3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704,698</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1,033,830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495,610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1"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177,106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2,411,244</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060" w:type="dxa"/>
            <w:vMerge w:val="restart"/>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Jeffrey S. Knutson</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Vice President – Finance,</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CFO, Treasurer and Sec’y</w:t>
            </w:r>
          </w:p>
        </w:tc>
        <w:tc>
          <w:tcPr>
            <w:tcW w:w="3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432,929</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492,365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150,940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1"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44,768</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1,121,002</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ind w:left="0" w:right="0" w:hanging="0"/>
              <w:jc w:val="left"/>
              <w:rPr/>
            </w:pPr>
            <w:r>
              <w:rPr/>
              <w:t> </w:t>
            </w:r>
          </w:p>
        </w:tc>
      </w:tr>
      <w:tr>
        <w:trPr/>
        <w:tc>
          <w:tcPr>
            <w:tcW w:w="2060" w:type="dxa"/>
            <w:vMerge w:val="continue"/>
            <w:tcBorders>
              <w:left w:val="single" w:sz="2" w:space="0" w:color="000000"/>
              <w:bottom w:val="single" w:sz="2" w:space="0" w:color="000000"/>
            </w:tcBorders>
            <w:tcMar>
              <w:top w:w="0" w:type="dxa"/>
            </w:tcMar>
            <w:vAlign w:val="center"/>
          </w:tcPr>
          <w:p>
            <w:pPr>
              <w:pStyle w:val="Normal"/>
              <w:bidi w:val="0"/>
              <w:jc w:val="left"/>
              <w:rPr/>
            </w:pPr>
            <w:r>
              <w:rPr/>
            </w:r>
          </w:p>
        </w:tc>
        <w:tc>
          <w:tcPr>
            <w:tcW w:w="3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415,026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507,613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195,787</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1"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37,771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1,156,197</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 of the performance-based awards granted in FY2026, assuming the maximum performance goals are achieved, are as follows: Mr. Batten, $1,203,324; and Mr. Knutson, $590,838. These calculations are based on the closing share price on the date of grant of $9.05.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separately the compensation expense recognized in FY2026 and in FY2025 for outstanding awards of performance stock (restricted stock units with performance conditions are included in the “Performance Stock” column), restricted stock and restricted stock units for Messrs. Batten and Knutson.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042" w:type="dxa"/>
        <w:jc w:val="left"/>
        <w:tblInd w:w="0" w:type="dxa"/>
        <w:tblLayout w:type="fixed"/>
        <w:tblCellMar>
          <w:top w:w="45" w:type="dxa"/>
          <w:left w:w="28" w:type="dxa"/>
          <w:bottom w:w="45" w:type="dxa"/>
          <w:right w:w="0" w:type="dxa"/>
        </w:tblCellMar>
      </w:tblPr>
      <w:tblGrid>
        <w:gridCol w:w="1505"/>
        <w:gridCol w:w="440"/>
        <w:gridCol w:w="60"/>
        <w:gridCol w:w="233"/>
        <w:gridCol w:w="1301"/>
        <w:gridCol w:w="60"/>
        <w:gridCol w:w="60"/>
        <w:gridCol w:w="205"/>
        <w:gridCol w:w="1149"/>
        <w:gridCol w:w="60"/>
        <w:gridCol w:w="60"/>
        <w:gridCol w:w="277"/>
        <w:gridCol w:w="1557"/>
        <w:gridCol w:w="75"/>
      </w:tblGrid>
      <w:tr>
        <w:trPr/>
        <w:tc>
          <w:tcPr>
            <w:tcW w:w="15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440" w:type="dxa"/>
            <w:tcBorders>
              <w:top w:val="single" w:sz="6" w:space="0" w:color="000000"/>
              <w:left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60" w:type="dxa"/>
            <w:tcBorders>
              <w:top w:val="single" w:sz="2" w:space="0" w:color="000000"/>
              <w:bottom w:val="single" w:sz="2" w:space="0" w:color="000000"/>
            </w:tcBorders>
            <w:tcMar>
              <w:top w:w="28" w:type="dxa"/>
              <w:left w:w="0" w:type="dxa"/>
              <w:bottom w:w="28" w:type="dxa"/>
            </w:tcMar>
            <w:vAlign w:val="center"/>
          </w:tcPr>
          <w:p>
            <w:pPr>
              <w:pStyle w:val="TableContents"/>
              <w:bidi w:val="0"/>
              <w:spacing w:before="0" w:after="283"/>
              <w:ind w:left="0" w:right="0" w:hanging="0"/>
              <w:jc w:val="left"/>
              <w:rPr/>
            </w:pPr>
            <w:r>
              <w:rPr/>
              <w:t> </w:t>
            </w:r>
          </w:p>
        </w:tc>
        <w:tc>
          <w:tcPr>
            <w:tcW w:w="1534" w:type="dxa"/>
            <w:gridSpan w:val="2"/>
            <w:tcBorders>
              <w:top w:val="single" w:sz="2" w:space="0" w:color="000000"/>
              <w:bottom w:val="single" w:sz="2" w:space="0" w:color="000000"/>
            </w:tcBorders>
            <w:tcMar>
              <w:top w:w="28" w:type="dxa"/>
              <w:left w:w="0"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Stock</w:t>
            </w:r>
          </w:p>
        </w:tc>
        <w:tc>
          <w:tcPr>
            <w:tcW w:w="60" w:type="dxa"/>
            <w:tcBorders>
              <w:top w:val="single" w:sz="2" w:space="0" w:color="000000"/>
              <w:bottom w:val="single" w:sz="2" w:space="0" w:color="000000"/>
            </w:tcBorders>
            <w:tcMar>
              <w:top w:w="28" w:type="dxa"/>
              <w:left w:w="0" w:type="dxa"/>
              <w:bottom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1354" w:type="dxa"/>
            <w:gridSpan w:val="2"/>
            <w:tcBorders>
              <w:top w:val="single" w:sz="2" w:space="0" w:color="000000"/>
              <w:bottom w:val="single" w:sz="2" w:space="0" w:color="000000"/>
            </w:tcBorders>
            <w:tcMar>
              <w:top w:w="28" w:type="dxa"/>
              <w:left w:w="0"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w:t>
            </w:r>
          </w:p>
        </w:tc>
        <w:tc>
          <w:tcPr>
            <w:tcW w:w="60" w:type="dxa"/>
            <w:tcBorders>
              <w:top w:val="single" w:sz="2" w:space="0" w:color="000000"/>
              <w:bottom w:val="single" w:sz="2" w:space="0" w:color="000000"/>
            </w:tcBorders>
            <w:tcMar>
              <w:top w:w="28" w:type="dxa"/>
              <w:left w:w="0" w:type="dxa"/>
              <w:bottom w:w="28"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bottom w:w="28" w:type="dxa"/>
            </w:tcMar>
            <w:vAlign w:val="center"/>
          </w:tcPr>
          <w:p>
            <w:pPr>
              <w:pStyle w:val="TableContents"/>
              <w:bidi w:val="0"/>
              <w:spacing w:before="0" w:after="283"/>
              <w:ind w:left="0" w:right="0" w:hanging="0"/>
              <w:jc w:val="left"/>
              <w:rPr/>
            </w:pPr>
            <w:r>
              <w:rPr/>
              <w:t> </w:t>
            </w:r>
          </w:p>
        </w:tc>
        <w:tc>
          <w:tcPr>
            <w:tcW w:w="1834" w:type="dxa"/>
            <w:gridSpan w:val="2"/>
            <w:tcBorders>
              <w:top w:val="single" w:sz="2" w:space="0" w:color="000000"/>
              <w:bottom w:val="single" w:sz="2" w:space="0" w:color="000000"/>
            </w:tcBorders>
            <w:tcMar>
              <w:top w:w="28" w:type="dxa"/>
              <w:left w:w="0"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75" w:type="dxa"/>
            <w:tcBorders>
              <w:top w:val="single" w:sz="2" w:space="0" w:color="000000"/>
              <w:bottom w:val="single" w:sz="2" w:space="0" w:color="000000"/>
              <w:right w:val="single" w:sz="2" w:space="0" w:color="000000"/>
            </w:tcBorders>
            <w:tcMar>
              <w:top w:w="28" w:type="dxa"/>
              <w:left w:w="0" w:type="dxa"/>
              <w:bottom w:w="28" w:type="dxa"/>
              <w:right w:w="28" w:type="dxa"/>
            </w:tcMar>
            <w:vAlign w:val="center"/>
          </w:tcPr>
          <w:p>
            <w:pPr>
              <w:pStyle w:val="TableContents"/>
              <w:bidi w:val="0"/>
              <w:spacing w:before="0" w:after="283"/>
              <w:jc w:val="left"/>
              <w:rPr/>
            </w:pPr>
            <w:r>
              <w:rPr/>
              <w:t> </w:t>
            </w:r>
          </w:p>
        </w:tc>
      </w:tr>
      <w:tr>
        <w:trPr/>
        <w:tc>
          <w:tcPr>
            <w:tcW w:w="1505" w:type="dxa"/>
            <w:vMerge w:val="restart"/>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H. Batten</w:t>
            </w:r>
          </w:p>
        </w:tc>
        <w:tc>
          <w:tcPr>
            <w:tcW w:w="440"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33"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840,220</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28" w:type="dxa"/>
            </w:tcMar>
            <w:vAlign w:val="center"/>
          </w:tcPr>
          <w:p>
            <w:pPr>
              <w:pStyle w:val="TableContents"/>
              <w:bidi w:val="0"/>
              <w:spacing w:before="0" w:after="283"/>
              <w:ind w:left="0" w:right="0" w:hanging="0"/>
              <w:jc w:val="left"/>
              <w:rPr/>
            </w:pPr>
            <w:r>
              <w:rPr/>
              <w:t> </w:t>
            </w:r>
          </w:p>
        </w:tc>
        <w:tc>
          <w:tcPr>
            <w:tcW w:w="205"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267,822</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28" w:type="dxa"/>
            </w:tcMar>
            <w:vAlign w:val="center"/>
          </w:tcPr>
          <w:p>
            <w:pPr>
              <w:pStyle w:val="TableContents"/>
              <w:bidi w:val="0"/>
              <w:spacing w:before="0" w:after="283"/>
              <w:ind w:left="0" w:right="0" w:hanging="0"/>
              <w:jc w:val="left"/>
              <w:rPr/>
            </w:pPr>
            <w:r>
              <w:rPr/>
              <w:t> </w:t>
            </w:r>
          </w:p>
        </w:tc>
        <w:tc>
          <w:tcPr>
            <w:tcW w:w="27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5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133,375</w:t>
            </w:r>
          </w:p>
        </w:tc>
        <w:tc>
          <w:tcPr>
            <w:tcW w:w="75"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283"/>
              <w:ind w:left="0" w:right="0" w:hanging="0"/>
              <w:jc w:val="left"/>
              <w:rPr/>
            </w:pPr>
            <w:r>
              <w:rPr/>
              <w:t> </w:t>
            </w:r>
          </w:p>
        </w:tc>
      </w:tr>
      <w:tr>
        <w:trPr/>
        <w:tc>
          <w:tcPr>
            <w:tcW w:w="1505" w:type="dxa"/>
            <w:vMerge w:val="continue"/>
            <w:tcBorders>
              <w:left w:val="single" w:sz="2" w:space="0" w:color="000000"/>
              <w:bottom w:val="single" w:sz="2" w:space="0" w:color="000000"/>
            </w:tcBorders>
            <w:tcMar>
              <w:top w:w="0" w:type="dxa"/>
              <w:bottom w:w="28" w:type="dxa"/>
            </w:tcMar>
            <w:vAlign w:val="center"/>
          </w:tcPr>
          <w:p>
            <w:pPr>
              <w:pStyle w:val="Normal"/>
              <w:bidi w:val="0"/>
              <w:jc w:val="left"/>
              <w:rPr/>
            </w:pPr>
            <w:r>
              <w:rPr/>
            </w:r>
          </w:p>
        </w:tc>
        <w:tc>
          <w:tcPr>
            <w:tcW w:w="440"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33"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989,527</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28" w:type="dxa"/>
            </w:tcMar>
            <w:vAlign w:val="center"/>
          </w:tcPr>
          <w:p>
            <w:pPr>
              <w:pStyle w:val="TableContents"/>
              <w:bidi w:val="0"/>
              <w:spacing w:before="0" w:after="283"/>
              <w:ind w:left="0" w:right="0" w:hanging="0"/>
              <w:jc w:val="left"/>
              <w:rPr/>
            </w:pPr>
            <w:r>
              <w:rPr/>
              <w:t> </w:t>
            </w:r>
          </w:p>
        </w:tc>
        <w:tc>
          <w:tcPr>
            <w:tcW w:w="205"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270,555</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28" w:type="dxa"/>
            </w:tcMar>
            <w:vAlign w:val="center"/>
          </w:tcPr>
          <w:p>
            <w:pPr>
              <w:pStyle w:val="TableContents"/>
              <w:bidi w:val="0"/>
              <w:spacing w:before="0" w:after="283"/>
              <w:ind w:left="0" w:right="0" w:hanging="0"/>
              <w:jc w:val="left"/>
              <w:rPr/>
            </w:pPr>
            <w:r>
              <w:rPr/>
              <w:t> </w:t>
            </w:r>
          </w:p>
        </w:tc>
        <w:tc>
          <w:tcPr>
            <w:tcW w:w="27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5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130,594</w:t>
            </w:r>
          </w:p>
        </w:tc>
        <w:tc>
          <w:tcPr>
            <w:tcW w:w="75"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505" w:type="dxa"/>
            <w:vMerge w:val="restart"/>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S. Knutson</w:t>
            </w:r>
          </w:p>
        </w:tc>
        <w:tc>
          <w:tcPr>
            <w:tcW w:w="440"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33"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412,545</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28" w:type="dxa"/>
            </w:tcMar>
            <w:vAlign w:val="center"/>
          </w:tcPr>
          <w:p>
            <w:pPr>
              <w:pStyle w:val="TableContents"/>
              <w:bidi w:val="0"/>
              <w:spacing w:before="0" w:after="283"/>
              <w:ind w:left="0" w:right="0" w:hanging="0"/>
              <w:jc w:val="left"/>
              <w:rPr/>
            </w:pPr>
            <w:r>
              <w:rPr/>
              <w:t> </w:t>
            </w:r>
          </w:p>
        </w:tc>
        <w:tc>
          <w:tcPr>
            <w:tcW w:w="205"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131,501</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28" w:type="dxa"/>
            </w:tcMar>
            <w:vAlign w:val="center"/>
          </w:tcPr>
          <w:p>
            <w:pPr>
              <w:pStyle w:val="TableContents"/>
              <w:bidi w:val="0"/>
              <w:spacing w:before="0" w:after="283"/>
              <w:ind w:left="0" w:right="0" w:hanging="0"/>
              <w:jc w:val="left"/>
              <w:rPr/>
            </w:pPr>
            <w:r>
              <w:rPr/>
              <w:t> </w:t>
            </w:r>
          </w:p>
        </w:tc>
        <w:tc>
          <w:tcPr>
            <w:tcW w:w="27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5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65,488</w:t>
            </w:r>
          </w:p>
        </w:tc>
        <w:tc>
          <w:tcPr>
            <w:tcW w:w="75"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283"/>
              <w:ind w:left="0" w:right="0" w:hanging="0"/>
              <w:jc w:val="left"/>
              <w:rPr/>
            </w:pPr>
            <w:r>
              <w:rPr/>
              <w:t> </w:t>
            </w:r>
          </w:p>
        </w:tc>
      </w:tr>
      <w:tr>
        <w:trPr/>
        <w:tc>
          <w:tcPr>
            <w:tcW w:w="1505" w:type="dxa"/>
            <w:vMerge w:val="continue"/>
            <w:tcBorders>
              <w:left w:val="single" w:sz="2" w:space="0" w:color="000000"/>
              <w:bottom w:val="single" w:sz="2" w:space="0" w:color="000000"/>
            </w:tcBorders>
            <w:tcMar>
              <w:top w:w="0" w:type="dxa"/>
              <w:bottom w:w="28" w:type="dxa"/>
            </w:tcMar>
            <w:vAlign w:val="center"/>
          </w:tcPr>
          <w:p>
            <w:pPr>
              <w:pStyle w:val="Normal"/>
              <w:bidi w:val="0"/>
              <w:jc w:val="left"/>
              <w:rPr/>
            </w:pPr>
            <w:r>
              <w:rPr/>
            </w:r>
          </w:p>
        </w:tc>
        <w:tc>
          <w:tcPr>
            <w:tcW w:w="440" w:type="dxa"/>
            <w:tcBorders>
              <w:left w:val="single" w:sz="2" w:space="0" w:color="000000"/>
              <w:bottom w:val="single" w:sz="2" w:space="0" w:color="000000"/>
              <w:right w:val="single" w:sz="2" w:space="0" w:color="000000"/>
            </w:tcBorders>
            <w:tcMar>
              <w:top w:w="0"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pPr>
            <w:r>
              <w:rPr/>
              <w:t> </w:t>
            </w:r>
          </w:p>
        </w:tc>
        <w:tc>
          <w:tcPr>
            <w:tcW w:w="233"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485,863</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28" w:type="dxa"/>
            </w:tcMar>
            <w:vAlign w:val="center"/>
          </w:tcPr>
          <w:p>
            <w:pPr>
              <w:pStyle w:val="TableContents"/>
              <w:bidi w:val="0"/>
              <w:spacing w:before="0" w:after="283"/>
              <w:ind w:left="0" w:right="0" w:hanging="0"/>
              <w:jc w:val="left"/>
              <w:rPr/>
            </w:pPr>
            <w:r>
              <w:rPr/>
              <w:t> </w:t>
            </w:r>
          </w:p>
        </w:tc>
        <w:tc>
          <w:tcPr>
            <w:tcW w:w="205"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132,842</w:t>
            </w:r>
          </w:p>
        </w:tc>
        <w:tc>
          <w:tcPr>
            <w:tcW w:w="60" w:type="dxa"/>
            <w:tcBorders>
              <w:bottom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28" w:type="dxa"/>
            </w:tcMar>
            <w:vAlign w:val="center"/>
          </w:tcPr>
          <w:p>
            <w:pPr>
              <w:pStyle w:val="TableContents"/>
              <w:bidi w:val="0"/>
              <w:spacing w:before="0" w:after="283"/>
              <w:ind w:left="0" w:right="0" w:hanging="0"/>
              <w:jc w:val="left"/>
              <w:rPr/>
            </w:pPr>
            <w:r>
              <w:rPr/>
              <w:t> </w:t>
            </w:r>
          </w:p>
        </w:tc>
        <w:tc>
          <w:tcPr>
            <w:tcW w:w="27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57" w:type="dxa"/>
            <w:tcBorders>
              <w:bottom w:val="single" w:sz="2" w:space="0" w:color="000000"/>
            </w:tcBorders>
            <w:tcMar>
              <w:top w:w="0" w:type="dxa"/>
              <w:left w:w="0"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65,031</w:t>
            </w:r>
          </w:p>
        </w:tc>
        <w:tc>
          <w:tcPr>
            <w:tcW w:w="75"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cash bonuses earned in connection with achievement of specific performance targets under the Corporate Annual Incentive Plan, described in the narrative following the Summary Compensation Table.</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7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Batten’s SERP benefit was credited with 4.6% in earnings, which is not an above-market rate of return. Mr. Knutson is not eligible for a SERP benefit.</w:t>
            </w:r>
          </w:p>
        </w:tc>
      </w:tr>
    </w:tbl>
    <w:tbl>
      <w:tblPr>
        <w:tblW w:w="7705" w:type="dxa"/>
        <w:jc w:val="left"/>
        <w:tblInd w:w="0" w:type="dxa"/>
        <w:tblLayout w:type="fixed"/>
        <w:tblCellMar>
          <w:top w:w="0" w:type="dxa"/>
          <w:left w:w="0" w:type="dxa"/>
          <w:bottom w:w="0" w:type="dxa"/>
          <w:right w:w="0" w:type="dxa"/>
        </w:tblCellMar>
      </w:tblPr>
      <w:tblGrid>
        <w:gridCol w:w="245"/>
        <w:gridCol w:w="74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7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Compensation consists of the following for each of the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062" w:type="dxa"/>
        <w:jc w:val="left"/>
        <w:tblInd w:w="-7" w:type="dxa"/>
        <w:tblLayout w:type="fixed"/>
        <w:tblCellMar>
          <w:top w:w="28" w:type="dxa"/>
          <w:left w:w="28" w:type="dxa"/>
          <w:bottom w:w="28" w:type="dxa"/>
          <w:right w:w="28" w:type="dxa"/>
        </w:tblCellMar>
      </w:tblPr>
      <w:tblGrid>
        <w:gridCol w:w="1385"/>
        <w:gridCol w:w="60"/>
        <w:gridCol w:w="124"/>
        <w:gridCol w:w="586"/>
        <w:gridCol w:w="60"/>
        <w:gridCol w:w="60"/>
        <w:gridCol w:w="331"/>
        <w:gridCol w:w="1563"/>
        <w:gridCol w:w="60"/>
        <w:gridCol w:w="60"/>
        <w:gridCol w:w="161"/>
        <w:gridCol w:w="759"/>
        <w:gridCol w:w="60"/>
        <w:gridCol w:w="60"/>
        <w:gridCol w:w="124"/>
        <w:gridCol w:w="586"/>
        <w:gridCol w:w="60"/>
        <w:gridCol w:w="60"/>
        <w:gridCol w:w="281"/>
        <w:gridCol w:w="1328"/>
        <w:gridCol w:w="60"/>
        <w:gridCol w:w="60"/>
        <w:gridCol w:w="221"/>
        <w:gridCol w:w="1043"/>
        <w:gridCol w:w="60"/>
        <w:gridCol w:w="60"/>
        <w:gridCol w:w="110"/>
        <w:gridCol w:w="605"/>
        <w:gridCol w:w="75"/>
      </w:tblGrid>
      <w:tr>
        <w:trPr/>
        <w:tc>
          <w:tcPr>
            <w:tcW w:w="13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Name</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710"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401(k)</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Company</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Match</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center"/>
              <w:rPr/>
            </w:pPr>
            <w:r>
              <w:rPr/>
              <w:t> </w:t>
            </w:r>
          </w:p>
        </w:tc>
        <w:tc>
          <w:tcPr>
            <w:tcW w:w="189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Retirement</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Savings Plan Contribution</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center"/>
              <w:rPr/>
            </w:pPr>
            <w:r>
              <w:rPr/>
              <w:t> </w:t>
            </w:r>
          </w:p>
        </w:tc>
        <w:tc>
          <w:tcPr>
            <w:tcW w:w="920"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Defined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Contribution</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SERP</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center"/>
              <w:rPr/>
            </w:pPr>
            <w:r>
              <w:rPr/>
              <w:t> </w:t>
            </w:r>
          </w:p>
        </w:tc>
        <w:tc>
          <w:tcPr>
            <w:tcW w:w="710"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Life</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Insurance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center"/>
              <w:rPr/>
            </w:pPr>
            <w:r>
              <w:rPr/>
              <w:t> </w:t>
            </w:r>
          </w:p>
        </w:tc>
        <w:tc>
          <w:tcPr>
            <w:tcW w:w="1609"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Dividend Equivalents</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Paid on Vested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Stock Units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center"/>
              <w:rPr/>
            </w:pPr>
            <w:r>
              <w:rPr/>
              <w:t> </w:t>
            </w:r>
          </w:p>
        </w:tc>
        <w:tc>
          <w:tcPr>
            <w:tcW w:w="1264"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Prerequisites and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Personal Benefits</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center"/>
              <w:rPr/>
            </w:pPr>
            <w:r>
              <w:rPr/>
              <w:t> </w:t>
            </w:r>
          </w:p>
        </w:tc>
        <w:tc>
          <w:tcPr>
            <w:tcW w:w="715"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13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John H. Batten</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11,250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56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22,425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6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86,926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29,000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28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2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17,236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22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04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24,115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190,952</w:t>
            </w:r>
          </w:p>
        </w:tc>
        <w:tc>
          <w:tcPr>
            <w:tcW w:w="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13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Jeffrey S. Knutson</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11,535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56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2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24,770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28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2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8,463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44,768</w:t>
            </w:r>
          </w:p>
        </w:tc>
        <w:tc>
          <w:tcPr>
            <w:tcW w:w="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Corporation’s Supplemental Executive Retirement Plan (“SERP”) was restated during FY2011 to provide a defined contribution formula for the benefits of Mr. Batten. Mr. Knutson does not participate in the SERP.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Messrs. Batten and Knutson participate in an endorsement split-dollar life insurance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Perquisites and Personal Benefits for Mr. Batten for FY2026 consist of personal use of the company plane (valued at $20,623) and supplemental long-term disability premiums. The aggregate total of perquisites and personal benefits for the remaining Named Executive Officer was less than $10,000 for FY2026, and therefore need not be disclosed or included in such Named Executive Officer’s “All Other Compensation” total.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Narrative Disclosure to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FY2026, the Committee left Mr. Batten’s base salary unchanged and increased the base salary of Mr. Knutson by 4.2% effective October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Awards Granted in FY2026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amounts in the “Stock Awards” column of the Summary Compensation Table reflect awards made in FY2026 to the Named Executive Officers under the Twin Disc, Incorporated Amended and Restated 2021 Omnibus Incentive Plan. In FY2026, Messrs. Batten and Knutson received awards of performance stock, with Mr. Batten receiving a target number of 66,482 shares of performance stock and Mr. Knutson receiving a target number of 32,643 shares of performance stock. The Committee determined that the performance stock awards granted in FY2026 would use a combination of the following performance goals and weightings for the three-year performance period ending in FY2028: (i) average return on invested capital (50%), and (ii) cumulative EBITDA (50%). In addition, the possible range of long-term incentive payments for each performance goal is 50% to 200% of the target. These shares will vest on June 30, 2028 if the specific measures are achieved within the payout range.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incent and retain the Corporation’s executives, restricted stock was also granted to Messrs. Batten and Knutson in FY2026, with Mr. Batten receiving 44,321 restricted stock awards and Mr. Knutson receiving 21,762 restricted stock awards. Dividends payable on shares of restricted stock will be automatically deferred and paid if, when and to the extent the underlying shares of restricted stock vest. The restricted stock awards will vest on August 6, 2028, provided the executive remains employed with the Corporation until the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Non-Equity Incentive Plan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amounts in the “Non-Equity Incentive Plan Compensation” column of the Summary Compensation Table reflect cash bonuses earned in connection with achievement of specific performance targets under the Corporate Incentive Plan (“CIP”). For FY2026, the target bonuses as a percentage of base salary were set at 100% for Mr.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Batten and 55% for Mr. Knutson. The CIP targets for the Named Executive Officers were based on a combination of net sales, EBITDA percentage of net sales, and inventory percentage of net sales as well as on achievement of certain strategic objectives.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28" w:type="dxa"/>
          <w:left w:w="28" w:type="dxa"/>
          <w:bottom w:w="28" w:type="dxa"/>
          <w:right w:w="0" w:type="dxa"/>
        </w:tblCellMar>
      </w:tblPr>
      <w:tblGrid>
        <w:gridCol w:w="2465"/>
        <w:gridCol w:w="60"/>
        <w:gridCol w:w="131"/>
        <w:gridCol w:w="504"/>
        <w:gridCol w:w="60"/>
        <w:gridCol w:w="2105"/>
        <w:gridCol w:w="60"/>
        <w:gridCol w:w="60"/>
        <w:gridCol w:w="1160"/>
        <w:gridCol w:w="60"/>
        <w:gridCol w:w="60"/>
        <w:gridCol w:w="88"/>
        <w:gridCol w:w="712"/>
        <w:gridCol w:w="60"/>
      </w:tblGrid>
      <w:tr>
        <w:trPr/>
        <w:tc>
          <w:tcPr>
            <w:tcW w:w="246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Objective</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ind w:left="0" w:right="0" w:hanging="0"/>
              <w:jc w:val="left"/>
              <w:rPr/>
            </w:pPr>
            <w:r>
              <w:rPr/>
              <w:t> </w:t>
            </w:r>
          </w:p>
        </w:tc>
        <w:tc>
          <w:tcPr>
            <w:tcW w:w="635" w:type="dxa"/>
            <w:gridSpan w:val="2"/>
            <w:tcBorders>
              <w:top w:val="single" w:sz="2" w:space="0" w:color="000000"/>
              <w:bottom w:val="single" w:sz="2" w:space="0" w:color="000000"/>
            </w:tcBorders>
            <w:tcMar>
              <w:left w:w="0" w:type="dxa"/>
            </w:tcMar>
            <w:vAlign w:val="center"/>
          </w:tcPr>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ind w:left="0" w:right="0" w:hanging="0"/>
              <w:jc w:val="left"/>
              <w:rPr/>
            </w:pPr>
            <w:r>
              <w:rPr/>
              <w:t> </w:t>
            </w:r>
          </w:p>
        </w:tc>
        <w:tc>
          <w:tcPr>
            <w:tcW w:w="210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122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Actual</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ind w:left="0" w:right="0" w:hanging="0"/>
              <w:jc w:val="left"/>
              <w:rPr/>
            </w:pPr>
            <w:r>
              <w:rPr/>
              <w:t> </w:t>
            </w:r>
          </w:p>
        </w:tc>
        <w:tc>
          <w:tcPr>
            <w:tcW w:w="80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Achieved</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tcBorders>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131"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504" w:type="dxa"/>
            <w:tcBorders/>
            <w:tcMar>
              <w:top w:w="0" w:type="dxa"/>
              <w:left w:w="0" w:type="dxa"/>
              <w:bottom w:w="0" w:type="dxa"/>
            </w:tcMar>
            <w:vAlign w:val="center"/>
          </w:tcPr>
          <w:p>
            <w:pPr>
              <w:pStyle w:val="TableContents"/>
              <w:bidi w:val="0"/>
              <w:spacing w:before="0" w:after="283"/>
              <w:ind w:left="0" w:right="0" w:hanging="0"/>
              <w:jc w:val="center"/>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Target: $379,000,000</w:t>
            </w:r>
          </w:p>
        </w:tc>
        <w:tc>
          <w:tcPr>
            <w:tcW w:w="60"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60"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1160" w:type="dxa"/>
            <w:tcBorders/>
            <w:tcMar>
              <w:top w:w="0" w:type="dxa"/>
              <w:left w:w="0" w:type="dxa"/>
              <w:bottom w:w="0" w:type="dxa"/>
            </w:tcMar>
            <w:vAlign w:val="center"/>
          </w:tcPr>
          <w:p>
            <w:pPr>
              <w:pStyle w:val="TableContents"/>
              <w:bidi w:val="0"/>
              <w:spacing w:before="0" w:after="283"/>
              <w:ind w:left="0" w:right="0" w:hanging="0"/>
              <w:jc w:val="right"/>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88"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712" w:type="dxa"/>
            <w:tcBorders/>
            <w:tcMar>
              <w:top w:w="0" w:type="dxa"/>
              <w:left w:w="0" w:type="dxa"/>
              <w:bottom w:w="0" w:type="dxa"/>
            </w:tcMar>
            <w:vAlign w:val="center"/>
          </w:tcPr>
          <w:p>
            <w:pPr>
              <w:pStyle w:val="TableContents"/>
              <w:bidi w:val="0"/>
              <w:spacing w:before="0" w:after="283"/>
              <w:ind w:left="0" w:right="0" w:hanging="0"/>
              <w:jc w:val="right"/>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Sales</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131" w:type="dxa"/>
            <w:tcBorders/>
            <w:tcMar>
              <w:top w:w="0" w:type="dxa"/>
              <w:left w:w="0" w:type="dxa"/>
              <w:bottom w:w="0" w:type="dxa"/>
            </w:tcMar>
            <w:vAlign w:val="center"/>
          </w:tcPr>
          <w:p>
            <w:pPr>
              <w:pStyle w:val="TableContents"/>
              <w:bidi w:val="0"/>
              <w:spacing w:before="0" w:after="283"/>
              <w:jc w:val="left"/>
              <w:rPr/>
            </w:pPr>
            <w:r>
              <w:rPr/>
              <w:t> </w:t>
            </w:r>
          </w:p>
        </w:tc>
        <w:tc>
          <w:tcPr>
            <w:tcW w:w="504"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Threshold: $341,000,000</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$381,598,000</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88" w:type="dxa"/>
            <w:tcBorders/>
            <w:tcMar>
              <w:top w:w="0" w:type="dxa"/>
              <w:left w:w="0" w:type="dxa"/>
              <w:bottom w:w="0" w:type="dxa"/>
            </w:tcMar>
            <w:vAlign w:val="center"/>
          </w:tcPr>
          <w:p>
            <w:pPr>
              <w:pStyle w:val="TableContents"/>
              <w:bidi w:val="0"/>
              <w:spacing w:before="0" w:after="283"/>
              <w:jc w:val="left"/>
              <w:rPr/>
            </w:pPr>
            <w:r>
              <w:rPr/>
              <w:t> </w:t>
            </w:r>
          </w:p>
        </w:tc>
        <w:tc>
          <w:tcPr>
            <w:tcW w:w="712"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106.8%</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131"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04"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Maximum: $417,000,000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11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712"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tcBorders>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131"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504" w:type="dxa"/>
            <w:tcBorders/>
            <w:tcMar>
              <w:top w:w="0" w:type="dxa"/>
              <w:left w:w="0" w:type="dxa"/>
              <w:bottom w:w="0" w:type="dxa"/>
            </w:tcMar>
            <w:vAlign w:val="center"/>
          </w:tcPr>
          <w:p>
            <w:pPr>
              <w:pStyle w:val="TableContents"/>
              <w:bidi w:val="0"/>
              <w:spacing w:before="0" w:after="283"/>
              <w:ind w:left="0" w:right="0" w:hanging="0"/>
              <w:jc w:val="center"/>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Target = 11.0%</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1160" w:type="dxa"/>
            <w:tcBorders/>
            <w:tcMar>
              <w:top w:w="0" w:type="dxa"/>
              <w:left w:w="0" w:type="dxa"/>
              <w:bottom w:w="0" w:type="dxa"/>
            </w:tcMar>
            <w:vAlign w:val="center"/>
          </w:tcPr>
          <w:p>
            <w:pPr>
              <w:pStyle w:val="TableContents"/>
              <w:bidi w:val="0"/>
              <w:spacing w:before="0" w:after="283"/>
              <w:ind w:left="0" w:right="0" w:hanging="0"/>
              <w:jc w:val="right"/>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88"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712" w:type="dxa"/>
            <w:tcBorders/>
            <w:tcMar>
              <w:top w:w="0" w:type="dxa"/>
              <w:left w:w="0" w:type="dxa"/>
              <w:bottom w:w="0" w:type="dxa"/>
            </w:tcMar>
            <w:vAlign w:val="center"/>
          </w:tcPr>
          <w:p>
            <w:pPr>
              <w:pStyle w:val="TableContents"/>
              <w:bidi w:val="0"/>
              <w:spacing w:before="0" w:after="283"/>
              <w:ind w:left="0" w:right="0" w:hanging="0"/>
              <w:jc w:val="right"/>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EBITDA Percent of Net Sales</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131" w:type="dxa"/>
            <w:tcBorders/>
            <w:tcMar>
              <w:top w:w="0" w:type="dxa"/>
              <w:left w:w="0" w:type="dxa"/>
              <w:bottom w:w="0" w:type="dxa"/>
            </w:tcMar>
            <w:vAlign w:val="center"/>
          </w:tcPr>
          <w:p>
            <w:pPr>
              <w:pStyle w:val="TableContents"/>
              <w:bidi w:val="0"/>
              <w:spacing w:before="0" w:after="283"/>
              <w:jc w:val="left"/>
              <w:rPr/>
            </w:pPr>
            <w:r>
              <w:rPr/>
              <w:t> </w:t>
            </w:r>
          </w:p>
        </w:tc>
        <w:tc>
          <w:tcPr>
            <w:tcW w:w="504"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Threshold = 9.0%</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9.35%</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88" w:type="dxa"/>
            <w:tcBorders/>
            <w:tcMar>
              <w:top w:w="0" w:type="dxa"/>
              <w:left w:w="0" w:type="dxa"/>
              <w:bottom w:w="0" w:type="dxa"/>
            </w:tcMar>
            <w:vAlign w:val="center"/>
          </w:tcPr>
          <w:p>
            <w:pPr>
              <w:pStyle w:val="TableContents"/>
              <w:bidi w:val="0"/>
              <w:spacing w:before="0" w:after="283"/>
              <w:jc w:val="left"/>
              <w:rPr/>
            </w:pPr>
            <w:r>
              <w:rPr/>
              <w:t> </w:t>
            </w:r>
          </w:p>
        </w:tc>
        <w:tc>
          <w:tcPr>
            <w:tcW w:w="712"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58.8%</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131"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04"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Maximum = 13.0%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11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712"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tcBorders>
            <w:tcMar>
              <w:top w:w="0" w:type="dxa"/>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131"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504" w:type="dxa"/>
            <w:tcBorders/>
            <w:tcMar>
              <w:top w:w="0" w:type="dxa"/>
              <w:left w:w="0" w:type="dxa"/>
              <w:bottom w:w="0" w:type="dxa"/>
            </w:tcMar>
            <w:vAlign w:val="center"/>
          </w:tcPr>
          <w:p>
            <w:pPr>
              <w:pStyle w:val="TableContents"/>
              <w:bidi w:val="0"/>
              <w:spacing w:before="0" w:after="283"/>
              <w:ind w:left="0" w:right="0" w:hanging="0"/>
              <w:jc w:val="center"/>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Target = 33.7%</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1160" w:type="dxa"/>
            <w:tcBorders/>
            <w:tcMar>
              <w:top w:w="0" w:type="dxa"/>
              <w:left w:w="0" w:type="dxa"/>
              <w:bottom w:w="0" w:type="dxa"/>
            </w:tcMar>
            <w:vAlign w:val="center"/>
          </w:tcPr>
          <w:p>
            <w:pPr>
              <w:pStyle w:val="TableContents"/>
              <w:bidi w:val="0"/>
              <w:spacing w:before="0" w:after="283"/>
              <w:ind w:left="0" w:right="0" w:hanging="0"/>
              <w:jc w:val="right"/>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88" w:type="dxa"/>
            <w:tcBorders/>
            <w:tcMar>
              <w:top w:w="0" w:type="dxa"/>
              <w:left w:w="0" w:type="dxa"/>
              <w:bottom w:w="0" w:type="dxa"/>
            </w:tcMar>
            <w:vAlign w:val="center"/>
          </w:tcPr>
          <w:p>
            <w:pPr>
              <w:pStyle w:val="TableContents"/>
              <w:bidi w:val="0"/>
              <w:spacing w:before="0" w:after="283"/>
              <w:ind w:left="0" w:right="0" w:hanging="0"/>
              <w:jc w:val="left"/>
              <w:rPr/>
            </w:pPr>
            <w:r>
              <w:rPr/>
              <w:t> </w:t>
            </w:r>
          </w:p>
        </w:tc>
        <w:tc>
          <w:tcPr>
            <w:tcW w:w="712" w:type="dxa"/>
            <w:tcBorders/>
            <w:tcMar>
              <w:top w:w="0" w:type="dxa"/>
              <w:left w:w="0" w:type="dxa"/>
              <w:bottom w:w="0" w:type="dxa"/>
            </w:tcMar>
            <w:vAlign w:val="center"/>
          </w:tcPr>
          <w:p>
            <w:pPr>
              <w:pStyle w:val="TableContents"/>
              <w:bidi w:val="0"/>
              <w:spacing w:before="0" w:after="283"/>
              <w:ind w:left="0" w:right="0" w:hanging="0"/>
              <w:jc w:val="right"/>
              <w:rPr/>
            </w:pPr>
            <w:r>
              <w:rPr/>
              <w:t> </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Percent of Net Sales</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131" w:type="dxa"/>
            <w:tcBorders/>
            <w:tcMar>
              <w:top w:w="0" w:type="dxa"/>
              <w:left w:w="0" w:type="dxa"/>
              <w:bottom w:w="0" w:type="dxa"/>
            </w:tcMar>
            <w:vAlign w:val="center"/>
          </w:tcPr>
          <w:p>
            <w:pPr>
              <w:pStyle w:val="TableContents"/>
              <w:bidi w:val="0"/>
              <w:spacing w:before="0" w:after="283"/>
              <w:jc w:val="left"/>
              <w:rPr/>
            </w:pPr>
            <w:r>
              <w:rPr/>
              <w:t> </w:t>
            </w:r>
          </w:p>
        </w:tc>
        <w:tc>
          <w:tcPr>
            <w:tcW w:w="504"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Threshold = 37.9%</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41.1%</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88" w:type="dxa"/>
            <w:tcBorders/>
            <w:tcMar>
              <w:top w:w="0" w:type="dxa"/>
              <w:left w:w="0" w:type="dxa"/>
              <w:bottom w:w="0" w:type="dxa"/>
            </w:tcMar>
            <w:vAlign w:val="center"/>
          </w:tcPr>
          <w:p>
            <w:pPr>
              <w:pStyle w:val="TableContents"/>
              <w:bidi w:val="0"/>
              <w:spacing w:before="0" w:after="283"/>
              <w:jc w:val="left"/>
              <w:rPr/>
            </w:pPr>
            <w:r>
              <w:rPr/>
              <w:t> </w:t>
            </w:r>
          </w:p>
        </w:tc>
        <w:tc>
          <w:tcPr>
            <w:tcW w:w="712" w:type="dxa"/>
            <w:tcBorders/>
            <w:tcMar>
              <w:top w:w="0" w:type="dxa"/>
              <w:left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w:t>
            </w:r>
          </w:p>
        </w:tc>
        <w:tc>
          <w:tcPr>
            <w:tcW w:w="6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131"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04"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Maximum = 29.5%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11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712"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Objective</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131"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Growth</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160"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8"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4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Objective</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131"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ind w:left="0" w:right="0" w:hanging="0"/>
              <w:jc w:val="left"/>
              <w:rPr/>
            </w:pPr>
            <w:r>
              <w:rPr/>
              <w:t> </w:t>
            </w:r>
          </w:p>
        </w:tc>
        <w:tc>
          <w:tcPr>
            <w:tcW w:w="210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Individual Performance</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11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712"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results described in the table above, the CIP paid at 61.8% and 62.8% of the target amounts for Mr. Batten and Mr. Knutson,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Decisions Made by the Committee in FY2027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the end of FY2026, the Committee has taken the following actions with respect to the base salary, annual incentive compensation, and long-term incentive compensation for its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Base Salary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their meeting in August 2026, the Committee approved a 4.0% increase in the base salaries of Mr. Batten and Mr. Knutson.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Annual Incentive Compensation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August 2026, the Committee reviewed and approved the performance goals recommended for the CIP for FY2027. The CIP will pay out if certain net sales, EBITDA as a percentage of net sales, operating cash flow, and strategic objectives relating to growth and individual performance, are achieved for FY2027. The Committee set the target bonus percentages (as a percentage of base salary) for each of the Named Executive Officers for FY2026 as follows: 100% for Mr. Batten and 60% for Mr. Knutson.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Long-Term Incentive Compensation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August 2026, the Committee reviewed the performance objective established in August of 2023 for the vesting of performance stock and restricted stock with performance conditions that were granted in August 2023 under the Twin Disc, Incorporated 2021 Long-Term Incentive Compensation Plan. The objective is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Objective: Average Return on Invested Capital (also called Average Return on Total Capital), and Cumulative EBITDA for the three fiscal years ending 6/30/2026 at the achievement levels specified below. Average Return on Invested Capital was weighted at 50% and Cumulative EBITDA was weighted at 50% of the performance objective.</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28" w:type="dxa"/>
          <w:left w:w="28" w:type="dxa"/>
          <w:bottom w:w="28" w:type="dxa"/>
          <w:right w:w="0" w:type="dxa"/>
        </w:tblCellMar>
      </w:tblPr>
      <w:tblGrid>
        <w:gridCol w:w="1167"/>
        <w:gridCol w:w="80"/>
        <w:gridCol w:w="526"/>
        <w:gridCol w:w="2433"/>
        <w:gridCol w:w="80"/>
        <w:gridCol w:w="80"/>
        <w:gridCol w:w="182"/>
        <w:gridCol w:w="1547"/>
        <w:gridCol w:w="75"/>
      </w:tblGrid>
      <w:tr>
        <w:trPr/>
        <w:tc>
          <w:tcPr>
            <w:tcW w:w="6095" w:type="dxa"/>
            <w:gridSpan w:val="8"/>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 of Objective as June 30, 2026</w:t>
            </w:r>
          </w:p>
        </w:tc>
        <w:tc>
          <w:tcPr>
            <w:tcW w:w="7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1167"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8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2959" w:type="dxa"/>
            <w:gridSpan w:val="2"/>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Avg. Return on Invested Capital</w:t>
            </w:r>
          </w:p>
          <w:p>
            <w:pPr>
              <w:pStyle w:val="TableContents"/>
              <w:bidi w:val="0"/>
              <w:spacing w:before="0" w:after="0"/>
              <w:ind w:left="18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(a/k/a Avg. Return on Total Capital)</w:t>
            </w:r>
          </w:p>
          <w:p>
            <w:pPr>
              <w:pStyle w:val="TableContents"/>
              <w:bidi w:val="0"/>
              <w:spacing w:before="0" w:after="0"/>
              <w:ind w:left="18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729"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Cumulative EBITDA</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16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Maximum</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26"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433"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6.0%</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106,800,000</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16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Target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26"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433"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89,000,000</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16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Threshold</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26"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433"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71,200,000</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Average Return on Invested Capital” (also known as Average Return on Total Capital) is defined as the average amount of “Return on Invested Capital” for the three fiscal years of the Performance Period. Return on Invested Capital is measured as Net Operating Profit After Taxes (NOPAT) divided by Invested Capital, where NOPAT equals earnings from operations, less tax, calculated using the actual reported effective tax rate, and Invested Capital equals long-term debt plus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Cumulative EBITDA” is defined as the cumulative total of net earnings or loss excluding interest expense, income taxes, depreciation, amortization and other items as determined by the Compensation and Human Capital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determined, subject to audit, that for the three-year period ending June 30, 2026, the Corporation’s Average Return on Invested Capital was 6.01% and the Cumulative EBITDA was $95,609,000. As a result, the Corporation achieved 200.0% of its Average Return on Invested Capital goal (weighted 50%) and 118.6% of its Cumulative EBITDA goal (weighted 50%). The Committee therefore determined that the performance stock would vest at 159.3% of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FY2027, the awards use a combination of the following performance goals and weightings for the three fiscal year performance period ending June 30, 2029: (i) average return on invested capital (also known as average return on total capital) (50%), and (ii) cumulative EBITDA (50%). In addition, the possible range of long-term incentive payments for each performance goal will be 50%–200% of the target. The Committee awarded performance stock and restricted stock as long-term incentive awards in FY2027.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Grants of Plan-Based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information on plan-based incentive awards granted to our Named Executive Officers during FY2026.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2064"/>
        <w:gridCol w:w="605"/>
        <w:gridCol w:w="60"/>
        <w:gridCol w:w="113"/>
        <w:gridCol w:w="627"/>
        <w:gridCol w:w="60"/>
        <w:gridCol w:w="60"/>
        <w:gridCol w:w="110"/>
        <w:gridCol w:w="605"/>
        <w:gridCol w:w="60"/>
        <w:gridCol w:w="60"/>
        <w:gridCol w:w="110"/>
        <w:gridCol w:w="740"/>
        <w:gridCol w:w="60"/>
        <w:gridCol w:w="60"/>
        <w:gridCol w:w="77"/>
        <w:gridCol w:w="663"/>
        <w:gridCol w:w="60"/>
        <w:gridCol w:w="60"/>
        <w:gridCol w:w="60"/>
        <w:gridCol w:w="515"/>
        <w:gridCol w:w="60"/>
        <w:gridCol w:w="60"/>
        <w:gridCol w:w="68"/>
        <w:gridCol w:w="687"/>
        <w:gridCol w:w="60"/>
        <w:gridCol w:w="60"/>
        <w:gridCol w:w="118"/>
        <w:gridCol w:w="1020"/>
        <w:gridCol w:w="60"/>
        <w:gridCol w:w="60"/>
        <w:gridCol w:w="160"/>
        <w:gridCol w:w="886"/>
        <w:gridCol w:w="77"/>
      </w:tblGrid>
      <w:tr>
        <w:trPr/>
        <w:tc>
          <w:tcPr>
            <w:tcW w:w="2064"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5"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2545" w:type="dxa"/>
            <w:gridSpan w:val="10"/>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Estimated Future Cash Incentive</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Payouts Under Non-Equity</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Incentive Plan Awards</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2310" w:type="dxa"/>
            <w:gridSpan w:val="10"/>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Estimated Future Share or</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Unit Payouts Under Equity</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Incentive Plan Awards</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18"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1020"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1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886"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77"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206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Name</w:t>
            </w:r>
          </w:p>
        </w:tc>
        <w:tc>
          <w:tcPr>
            <w:tcW w:w="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Grant</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Date</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74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Threshold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715"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Target</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85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Maximum</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74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Threshold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575"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Target</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755"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Maximum</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1138"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All other Stock</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Awards; Number</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of Shares of</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 or Units</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1046"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Grant Date Fair</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Value of Stock</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and Option</w:t>
            </w:r>
          </w:p>
          <w:p>
            <w:pPr>
              <w:pStyle w:val="TableContents"/>
              <w:bidi w:val="0"/>
              <w:spacing w:lineRule="auto" w:line="288"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Awards (3)</w:t>
            </w:r>
          </w:p>
        </w:tc>
        <w:tc>
          <w:tcPr>
            <w:tcW w:w="77"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0128" w:type="dxa"/>
            <w:gridSpan w:val="33"/>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John H. Batten</w:t>
            </w:r>
          </w:p>
        </w:tc>
        <w:tc>
          <w:tcPr>
            <w:tcW w:w="77" w:type="dxa"/>
            <w:tcBorders>
              <w:bottom w:val="single" w:sz="2" w:space="0" w:color="000000"/>
              <w:right w:val="single" w:sz="2" w:space="0" w:color="000000"/>
            </w:tcBorders>
            <w:shd w:fill="E6E6E6" w:val="clear"/>
            <w:tcMar>
              <w:top w:w="0" w:type="dxa"/>
              <w:left w:w="0" w:type="dxa"/>
              <w:right w:w="28" w:type="dxa"/>
            </w:tcMar>
            <w:vAlign w:val="center"/>
          </w:tcPr>
          <w:p>
            <w:pPr>
              <w:pStyle w:val="TableContents"/>
              <w:bidi w:val="0"/>
              <w:spacing w:before="0" w:after="283"/>
              <w:jc w:val="left"/>
              <w:rPr/>
            </w:pPr>
            <w:r>
              <w:rPr/>
              <w:t> </w:t>
            </w:r>
          </w:p>
        </w:tc>
      </w:tr>
      <w:tr>
        <w:trPr/>
        <w:tc>
          <w:tcPr>
            <w:tcW w:w="206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Incentive</w:t>
            </w:r>
          </w:p>
        </w:tc>
        <w:tc>
          <w:tcPr>
            <w:tcW w:w="60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356,036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712,071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1,424,142</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7"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63"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15"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87"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102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77"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064"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Performance Stock Award (1)</w:t>
            </w:r>
          </w:p>
        </w:tc>
        <w:tc>
          <w:tcPr>
            <w:tcW w:w="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8/6/2025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3"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27"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74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7"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33,241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66,482</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132,964</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102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601,662</w:t>
            </w:r>
          </w:p>
        </w:tc>
        <w:tc>
          <w:tcPr>
            <w:tcW w:w="77"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064"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Stock Unit Award (2)</w:t>
            </w:r>
          </w:p>
        </w:tc>
        <w:tc>
          <w:tcPr>
            <w:tcW w:w="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8/6/2025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3"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27"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740"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7"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63"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15"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87"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8"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44,321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401,105</w:t>
            </w:r>
          </w:p>
        </w:tc>
        <w:tc>
          <w:tcPr>
            <w:tcW w:w="77"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0128" w:type="dxa"/>
            <w:gridSpan w:val="33"/>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Jeffrey S. Knutson</w:t>
            </w:r>
          </w:p>
        </w:tc>
        <w:tc>
          <w:tcPr>
            <w:tcW w:w="77" w:type="dxa"/>
            <w:tcBorders>
              <w:bottom w:val="single" w:sz="2" w:space="0" w:color="000000"/>
              <w:right w:val="single" w:sz="2" w:space="0" w:color="000000"/>
            </w:tcBorders>
            <w:shd w:fill="E6E6E6" w:val="clear"/>
            <w:tcMar>
              <w:top w:w="0" w:type="dxa"/>
              <w:left w:w="0" w:type="dxa"/>
              <w:right w:w="28" w:type="dxa"/>
            </w:tcMar>
            <w:vAlign w:val="center"/>
          </w:tcPr>
          <w:p>
            <w:pPr>
              <w:pStyle w:val="TableContents"/>
              <w:bidi w:val="0"/>
              <w:spacing w:before="0" w:after="283"/>
              <w:jc w:val="left"/>
              <w:rPr/>
            </w:pPr>
            <w:r>
              <w:rPr/>
              <w:t> </w:t>
            </w:r>
          </w:p>
        </w:tc>
      </w:tr>
      <w:tr>
        <w:trPr/>
        <w:tc>
          <w:tcPr>
            <w:tcW w:w="206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Incentive</w:t>
            </w:r>
          </w:p>
        </w:tc>
        <w:tc>
          <w:tcPr>
            <w:tcW w:w="60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120,175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240,350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480,700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7"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63"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15"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87"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102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886"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77"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064"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Performance Stock Award (1)</w:t>
            </w:r>
          </w:p>
        </w:tc>
        <w:tc>
          <w:tcPr>
            <w:tcW w:w="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8/6/2025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3"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27"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74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7"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16,322</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32,643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65,286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102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295,419</w:t>
            </w:r>
          </w:p>
        </w:tc>
        <w:tc>
          <w:tcPr>
            <w:tcW w:w="77"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064"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Restricted Stock Unit Award (2)</w:t>
            </w:r>
          </w:p>
        </w:tc>
        <w:tc>
          <w:tcPr>
            <w:tcW w:w="6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8/6/2025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3"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27"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5"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740"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7"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63"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515"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87" w:type="dxa"/>
            <w:tcBorders>
              <w:bottom w:val="single" w:sz="2" w:space="0" w:color="000000"/>
            </w:tcBorders>
            <w:tcMar>
              <w:top w:w="0" w:type="dxa"/>
              <w:left w:w="0" w:type="dxa"/>
            </w:tcMar>
            <w:vAlign w:val="center"/>
          </w:tcPr>
          <w:p>
            <w:pPr>
              <w:pStyle w:val="TableContents"/>
              <w:bidi w:val="0"/>
              <w:spacing w:before="0" w:after="283"/>
              <w:jc w:val="right"/>
              <w:rPr/>
            </w:pPr>
            <w:r>
              <w:rPr/>
              <w:t> </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8"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21,762</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196,946</w:t>
            </w:r>
          </w:p>
        </w:tc>
        <w:tc>
          <w:tcPr>
            <w:tcW w:w="77"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Consists of performance stock awards, as discussed in the “Long-Term Incentive Compensation” section of the Executive Compensation discussion; eligible for vesting in 2028.</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Consists of restricted stock unit awards with a vesting date of August 6, 2028. These stock awards will vest if the executive remains employed through the vesting date.</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grant date fair values are calculated using the closing price of Twin Disc shares on August 6, 2025 (the grant date) of $9.05.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number of restricted stock, performance stock and restricted stock unit awards held by our Named Executive Officers on June 30, 2026. The Named Executive Officers had no outstanding exercisable or unexercisable options outstanding on June 30, 2026.</w:t>
      </w:r>
    </w:p>
    <w:p>
      <w:pPr>
        <w:pStyle w:val="TextBody"/>
        <w:bidi w:val="0"/>
        <w:spacing w:before="0" w:after="0"/>
        <w:ind w:left="0" w:right="0" w:hanging="0"/>
        <w:jc w:val="left"/>
        <w:rPr>
          <w:caps w:val="false"/>
          <w:smallCaps w:val="false"/>
        </w:rPr>
      </w:pPr>
      <w:r>
        <w:rPr>
          <w:caps w:val="false"/>
          <w:smallCaps w:val="false"/>
        </w:rPr>
        <w:t> </w:t>
      </w:r>
    </w:p>
    <w:tbl>
      <w:tblPr>
        <w:tblW w:w="9636" w:type="dxa"/>
        <w:jc w:val="left"/>
        <w:tblInd w:w="0" w:type="dxa"/>
        <w:tblLayout w:type="fixed"/>
        <w:tblCellMar>
          <w:top w:w="28" w:type="dxa"/>
          <w:left w:w="28" w:type="dxa"/>
          <w:bottom w:w="28" w:type="dxa"/>
          <w:right w:w="0" w:type="dxa"/>
        </w:tblCellMar>
      </w:tblPr>
      <w:tblGrid>
        <w:gridCol w:w="1580"/>
        <w:gridCol w:w="60"/>
        <w:gridCol w:w="109"/>
        <w:gridCol w:w="1410"/>
        <w:gridCol w:w="60"/>
        <w:gridCol w:w="60"/>
        <w:gridCol w:w="89"/>
        <w:gridCol w:w="1235"/>
        <w:gridCol w:w="60"/>
        <w:gridCol w:w="60"/>
        <w:gridCol w:w="152"/>
        <w:gridCol w:w="2192"/>
        <w:gridCol w:w="60"/>
        <w:gridCol w:w="60"/>
        <w:gridCol w:w="160"/>
        <w:gridCol w:w="2214"/>
        <w:gridCol w:w="75"/>
      </w:tblGrid>
      <w:tr>
        <w:trPr/>
        <w:tc>
          <w:tcPr>
            <w:tcW w:w="9561" w:type="dxa"/>
            <w:gridSpan w:val="16"/>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Stock Awards</w:t>
            </w:r>
          </w:p>
        </w:tc>
        <w:tc>
          <w:tcPr>
            <w:tcW w:w="7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Name and Grant Date</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519"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Number of Shares or</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Units of Stock That</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Have Not Vested</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Market Value of</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Shares or Units of</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 That Have</w:t>
            </w:r>
          </w:p>
          <w:p>
            <w:pPr>
              <w:pStyle w:val="TableContents"/>
              <w:bidi w:val="0"/>
              <w:spacing w:lineRule="auto" w:line="288"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Not Vested (6)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344"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Equity Incentive Plan Awards:</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Number of Unearned Shares,</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Units or Other Rights That Have</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Not Vested</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374"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Equity Incentive Plan Awards:</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Market or Payout Value of</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Unearned Shares, Units or Other</w:t>
            </w:r>
          </w:p>
          <w:p>
            <w:pPr>
              <w:pStyle w:val="TableContents"/>
              <w:bidi w:val="0"/>
              <w:spacing w:lineRule="auto" w:line="288"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Rights That Have Not Vested (6)</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9561" w:type="dxa"/>
            <w:gridSpan w:val="16"/>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John H. Batten</w:t>
            </w:r>
          </w:p>
        </w:tc>
        <w:tc>
          <w:tcPr>
            <w:tcW w:w="75" w:type="dxa"/>
            <w:tcBorders>
              <w:bottom w:val="single" w:sz="2" w:space="0" w:color="000000"/>
              <w:right w:val="single" w:sz="2" w:space="0" w:color="000000"/>
            </w:tcBorders>
            <w:shd w:fill="E6E6E6" w:val="clear"/>
            <w:tcMar>
              <w:top w:w="0" w:type="dxa"/>
              <w:left w:w="0" w:type="dxa"/>
              <w:right w:w="28" w:type="dxa"/>
            </w:tcMar>
            <w:vAlign w:val="center"/>
          </w:tcPr>
          <w:p>
            <w:pPr>
              <w:pStyle w:val="TableContents"/>
              <w:bidi w:val="0"/>
              <w:spacing w:before="0" w:after="283"/>
              <w:jc w:val="left"/>
              <w:rPr/>
            </w:pPr>
            <w:r>
              <w:rPr/>
              <w:t> </w:t>
            </w:r>
          </w:p>
        </w:tc>
      </w:tr>
      <w:tr>
        <w:trPr/>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8/3/2023</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09"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410"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32,933 (2)</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8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235"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$764,046</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52"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192"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pPr>
            <w:r>
              <w:rPr/>
              <w:t xml:space="preserve">— </w:t>
            </w:r>
            <w:r>
              <w:rPr>
                <w:rFonts w:ascii="Times New Roman;Times;serif" w:hAnsi="Times New Roman;Times;serif"/>
                <w:sz w:val="18"/>
              </w:rPr>
              <w:t>(3)</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214"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8/1/2024</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0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410"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30,474 (2)</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8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235"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$706,997</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52"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192"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91,422 (4)</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214"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$2,120,990</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8/6/2025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0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410"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44,321 (1)</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8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235"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$1,028,247</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52"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192"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132,964 (5)</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214"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$3,084,765</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9561" w:type="dxa"/>
            <w:gridSpan w:val="16"/>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Jeffrey S. Knutson</w:t>
            </w:r>
          </w:p>
        </w:tc>
        <w:tc>
          <w:tcPr>
            <w:tcW w:w="75" w:type="dxa"/>
            <w:tcBorders>
              <w:bottom w:val="single" w:sz="2" w:space="0" w:color="000000"/>
              <w:right w:val="single" w:sz="2" w:space="0" w:color="000000"/>
            </w:tcBorders>
            <w:shd w:fill="E6E6E6" w:val="clear"/>
            <w:tcMar>
              <w:top w:w="0" w:type="dxa"/>
              <w:left w:w="0" w:type="dxa"/>
              <w:right w:w="28" w:type="dxa"/>
            </w:tcMar>
            <w:vAlign w:val="center"/>
          </w:tcPr>
          <w:p>
            <w:pPr>
              <w:pStyle w:val="TableContents"/>
              <w:bidi w:val="0"/>
              <w:spacing w:before="0" w:after="283"/>
              <w:jc w:val="center"/>
              <w:rPr/>
            </w:pPr>
            <w:r>
              <w:rPr/>
              <w:t> </w:t>
            </w:r>
          </w:p>
        </w:tc>
      </w:tr>
      <w:tr>
        <w:trPr/>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8/3/2023</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0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410"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16,170 (2)</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8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235"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$375,144</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52"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192"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pPr>
            <w:r>
              <w:rPr/>
              <w:t xml:space="preserve">— </w:t>
            </w:r>
            <w:r>
              <w:rPr>
                <w:rFonts w:ascii="Times New Roman;Times;serif" w:hAnsi="Times New Roman;Times;serif"/>
                <w:sz w:val="18"/>
              </w:rPr>
              <w:t>(3)</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214"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8/1/2024</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0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410"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14,963 (1)</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8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235"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$347,142</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52"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192"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44,888 (4)</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214"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$1,041,402</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15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8/6/2025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0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410"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21,762 (1)</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89"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235"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$504,878</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52"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192"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18"/>
              </w:rPr>
            </w:pPr>
            <w:r>
              <w:rPr>
                <w:rFonts w:ascii="Times New Roman;Times;serif" w:hAnsi="Times New Roman;Times;serif"/>
                <w:sz w:val="18"/>
              </w:rPr>
              <w:t>65,286 (5)</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center"/>
              <w:rPr/>
            </w:pPr>
            <w:r>
              <w:rPr/>
              <w:t> </w:t>
            </w:r>
          </w:p>
        </w:tc>
        <w:tc>
          <w:tcPr>
            <w:tcW w:w="160"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2214"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$1,514,635</w:t>
            </w:r>
          </w:p>
        </w:tc>
        <w:tc>
          <w:tcPr>
            <w:tcW w:w="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245"/>
        <w:gridCol w:w="87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87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non-vested restricted stock unit awards that are scheduled to vest three years from the date of grant.</w:t>
            </w:r>
          </w:p>
        </w:tc>
      </w:tr>
    </w:tbl>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non-vested restricted stock awards that are scheduled to vest three years from the date of grant.</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Does not include performance stock awards or restricted stock units with performance conditions granted on August 3. 2023 based on the three-year performance period ending June 30, 2026. To the extent such awards vested, they vested on June 30, 2026, and were no longer outstanding as of the fiscal year ending June 30, 2026.</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non-vested performance stock awards scheduled to vest on June 30, 2027 based on three-year performance period ending June 30, 2027. Because the Corporation achieved greater than the target performance goals during the last fiscal year, figures are shown based on achieving maximum performance goals.</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non-vested performance stock awards scheduled to vest on June 30, 2028 based on three-year performance period ending June 30, 2028. Because the Corporation achieved greater than the target performance goals during the last fiscal year, figures shown are based on achieving maximum performance goals.</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Values were calculated using $23.20 per share, the closing price of the Corporation’s common stock as of June 30, 2026, the last trading day of the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Retirement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Qualified Retirement Plans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The Twin Disc, Incorporated Retirement Plan for Salaried Employees</w:t>
      </w:r>
      <w:r>
        <w:rPr>
          <w:rFonts w:ascii="Times New Roman" w:hAnsi="Times New Roman"/>
          <w:caps w:val="false"/>
          <w:smallCaps w:val="false"/>
          <w:sz w:val="20"/>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Savings Plan does not allow employee contributions. Employer contributions, which are made annually, are 100%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The Twin Disc, Incorporated Retirement Plan for Salaried Employees</w:t>
      </w:r>
      <w:r>
        <w:rPr>
          <w:rFonts w:ascii="Times New Roman" w:hAnsi="Times New Roman"/>
          <w:caps w:val="false"/>
          <w:smallCaps w:val="false"/>
          <w:sz w:val="20"/>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eligible for retirement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Batten is eligible for a benefit under the cash-balance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Subsequently, the Retirement Plan was amended to freeze all future benefit accruals, effective August 1, 2009.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definition of compensation for purposes of calculating the pension benefit includes W-2 income, excluding any expense reimbursements or taxable fringe benefits, and is limited by the IRS maximum compensation as determined each year. In calendar years 2024, 2025, and 2026 the annual limits were $345,000, $350,000, and $360,000,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The Twin Disc, Incorporated – The Accelerator 401(k) Savings Plan (“401(k) Plan”)</w:t>
      </w:r>
      <w:r>
        <w:rPr>
          <w:rFonts w:ascii="Times New Roman" w:hAnsi="Times New Roman"/>
          <w:caps w:val="false"/>
          <w:smallCaps w:val="false"/>
          <w:sz w:val="20"/>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matches 50% of the first 8% of pay that is contributed to the 401(k) Plan. All contributions to the 401(k) Plan, as well as any matching contributions, are fully vested upon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Supplemental Executive Retirement Plan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extends a supplemental retirement plan, called the Twin Disc, Incorporated, Supplemental Executive Retirement Plan (“SERP”), to certain qualified officers. It is the Corporation’s current practice to not add new officers to the SERP. Mr. Batten is the only employee eligible to participate in the SERP.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due to certain regulations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used in determining benefits under those plans. SERP benefits of all Named Executive Officers who are eligible participants are stated as individual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Executive Life Insurance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Agreements Providing Payments Following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Change in Control Agreements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has Change in Control Severance Agreements with each of its executive officers, which were most recently updated in August 2022. If a change in control occurs (as defined in the agreements) and the executive thereafter experiences an involuntary termination (or resigns for good reason, as defined),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Mr. Knutson). In addition, the executive would be entitled to the cash value over the exercise price of any shares of common stock subject to unexercised stock options held by the executive, and fringe benefits would continue for 24 months following termination. The agreements are designed to avoid having benefits exceed the limitations and provisions of Section 280G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immediately vest as if the performance objectives had been fully achieved at the maximum level (or the target level for employees who had not received an award prior to November 1, 2021 under the Corporation’s 2018 or 2021 long-term incentive plans), all restricted shares shall become freely transferable and non-forfeitable, and all restricted stock units shall immediately vest and the related shares shall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information describes the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Normal or Early Retirement</w:t>
      </w:r>
      <w:r>
        <w:rPr>
          <w:rFonts w:ascii="Times New Roman" w:hAnsi="Times New Roman"/>
          <w:caps w:val="false"/>
          <w:smallCaps w:val="false"/>
          <w:sz w:val="20"/>
        </w:rPr>
        <w:t>. For purposes of the following discussion, retirement means termination of employment after the Named Executive Officer 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None of the Named Executive Officers are currently eligible for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Medical benefits are only available to Twin Disc retirees hired before October 1, 2003 and who are not yet Medicare-eligible. Eligibility for retiree medical benefits ends upon reaching Medicare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and restricted stock units without performance conditions are forfeited if retirement occurs before the restrictions on such shares or units have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stock, performance stock units and restricted stock units with performance conditions will be paid after the end of the relevant performance period, but only if the performance objectives are achieved. The stock or units are prorated based on actual employment during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options must be exercised within 30 days of termination or they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Corporation’s SERP is available for certain Named Executive Officers who qualify for a retirement benefit under the Corporation’s pension plans. Mr. Batten is currently the only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those executives eligible for an endorsement split-dollar life insurance policy, the ownership of the life insurance will be transferred from the Corporation to the executive at the later of retirement or the 15th anniversary of the policy. At the time of transfer, the Corporation will recover its share of the total premiums paid throughout the life of the policy from the cash value or alternatively, receive direct reimbursement from the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Death while Employed</w:t>
      </w:r>
      <w:r>
        <w:rPr>
          <w:rFonts w:ascii="Times New Roman" w:hAnsi="Times New Roman"/>
          <w:caps w:val="false"/>
          <w:smallCaps w:val="false"/>
          <w:sz w:val="20"/>
        </w:rPr>
        <w:t>. In the event of death of a Named Executive Officer while actively employed, the executive’s estate would receive payment for any base salary earned, but not yet paid. In addition, any vacation accrual not used would also be paid to the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and restricted stock units vest and become payable per the terms of the individual grant agreement. The estate would receive the payment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stock and performance stock units will immediately vest after the Employee’s termination of employment due to death and be paid as if the maximum performance target has been achieved (or the target level for employees who had not received an award prior to November 1, 2021 under the Corporation’s 2018 or 2021 long-term incentive plans). The stock or units are prorated based on actual employment during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will fully vest and pass to the estate, or as directed by a will, and must be exercised within one year from date of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Disability</w:t>
      </w:r>
      <w:r>
        <w:rPr>
          <w:rFonts w:ascii="Times New Roman" w:hAnsi="Times New Roman"/>
          <w:caps w:val="false"/>
          <w:smallCaps w:val="false"/>
          <w:sz w:val="20"/>
        </w:rPr>
        <w:t>. In the event of termination of employment due to disability, a Named Executive Officer would receive benefits under the Corporation’s short-term and long-term disability plans, generally available to full-time salaried employees. Benefits are reduced for any social security pension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and restricted stock units vest and become payable per the terms of the individual grant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 stock and performance stock units immediately vest after the Employee’s termination of employment due to disability and are paid assuming the maximum performance target has been achieved (or the target level for employees who had not received an award prior to November 1, 2021 under the Corporation’s 2018 or 2021 long-term incentive plans). The stock or units are prorated based on actual employment during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Termination for Cause</w:t>
      </w:r>
      <w:r>
        <w:rPr>
          <w:rFonts w:ascii="Times New Roman" w:hAnsi="Times New Roman"/>
          <w:caps w:val="false"/>
          <w:smallCaps w:val="false"/>
          <w:sz w:val="20"/>
        </w:rPr>
        <w:t>. An executive is not eligible for any additional benefits upon termination for cause, unless the Compensation and Human Capital Committee would determine that severance payments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Voluntary Termination Prior to Retirement</w:t>
      </w:r>
      <w:r>
        <w:rPr>
          <w:rFonts w:ascii="Times New Roman" w:hAnsi="Times New Roman"/>
          <w:caps w:val="false"/>
          <w:smallCaps w:val="false"/>
          <w:sz w:val="20"/>
        </w:rPr>
        <w:t>. An executive is not entitled to any additional forms of severance payments in the event of a voluntary termination, prior to becoming eligible for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information under the “Pay Versus Performance” heading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rules adopted by the Securities and Exchange Commission (“SEC”), the following table presents information regarding compensation paid to our Chief Executive Officer (the “CEO”) and our other named executive officers shown in the Summary Compensation Table (collectively, the “Non-CEO NEOs”). The amounts set forth below under the headings “Compensation Actually Paid to CEO” and “Average Compensation Actually Paid to Non-CEO NEOs” have been calculated in a manner prescribed by the SEC rules and do not necessarily align with how the Corporation or the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three years of data and are not including a peer group total shareholder return or company-selected measure.</w:t>
      </w:r>
    </w:p>
    <w:p>
      <w:pPr>
        <w:pStyle w:val="TextBody"/>
        <w:bidi w:val="0"/>
        <w:spacing w:before="0" w:after="0"/>
        <w:ind w:left="0" w:right="0" w:hanging="0"/>
        <w:jc w:val="left"/>
        <w:rPr>
          <w:caps w:val="false"/>
          <w:smallCaps w:val="false"/>
        </w:rPr>
      </w:pPr>
      <w:r>
        <w:rPr>
          <w:caps w:val="false"/>
          <w:smallCaps w:val="false"/>
        </w:rPr>
        <w:t> </w:t>
      </w:r>
    </w:p>
    <w:tbl>
      <w:tblPr>
        <w:tblW w:w="9351" w:type="dxa"/>
        <w:jc w:val="left"/>
        <w:tblInd w:w="0" w:type="dxa"/>
        <w:tblLayout w:type="fixed"/>
        <w:tblCellMar>
          <w:top w:w="28" w:type="dxa"/>
          <w:left w:w="28" w:type="dxa"/>
          <w:bottom w:w="28" w:type="dxa"/>
          <w:right w:w="0" w:type="dxa"/>
        </w:tblCellMar>
      </w:tblPr>
      <w:tblGrid>
        <w:gridCol w:w="845"/>
        <w:gridCol w:w="60"/>
        <w:gridCol w:w="134"/>
        <w:gridCol w:w="906"/>
        <w:gridCol w:w="60"/>
        <w:gridCol w:w="60"/>
        <w:gridCol w:w="134"/>
        <w:gridCol w:w="906"/>
        <w:gridCol w:w="60"/>
        <w:gridCol w:w="60"/>
        <w:gridCol w:w="190"/>
        <w:gridCol w:w="1284"/>
        <w:gridCol w:w="60"/>
        <w:gridCol w:w="60"/>
        <w:gridCol w:w="193"/>
        <w:gridCol w:w="1311"/>
        <w:gridCol w:w="60"/>
        <w:gridCol w:w="60"/>
        <w:gridCol w:w="291"/>
        <w:gridCol w:w="1363"/>
        <w:gridCol w:w="60"/>
        <w:gridCol w:w="60"/>
        <w:gridCol w:w="182"/>
        <w:gridCol w:w="857"/>
        <w:gridCol w:w="95"/>
      </w:tblGrid>
      <w:tr>
        <w:trPr/>
        <w:tc>
          <w:tcPr>
            <w:tcW w:w="8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Fiscal Year</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Ended</w:t>
            </w:r>
          </w:p>
          <w:p>
            <w:pPr>
              <w:pStyle w:val="TableContents"/>
              <w:bidi w:val="0"/>
              <w:spacing w:lineRule="auto" w:line="288"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June 30 (1)</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104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Summary</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Table Total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for CEO (1)</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104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Actually Paid</w:t>
            </w:r>
          </w:p>
          <w:p>
            <w:pPr>
              <w:pStyle w:val="TableContents"/>
              <w:bidi w:val="0"/>
              <w:spacing w:lineRule="auto" w:line="288"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 CEO (2)</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1474"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Average Summary</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Table</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 for Non-CEO</w:t>
            </w:r>
          </w:p>
          <w:p>
            <w:pPr>
              <w:pStyle w:val="TableContents"/>
              <w:bidi w:val="0"/>
              <w:spacing w:lineRule="auto" w:line="288"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NEOs (1)</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1504"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Average</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Actually Paid to</w:t>
            </w:r>
          </w:p>
          <w:p>
            <w:pPr>
              <w:pStyle w:val="TableContents"/>
              <w:bidi w:val="0"/>
              <w:spacing w:lineRule="auto" w:line="288"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Non-CEO NEOs (2)</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1654"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Value of Initial Fixed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$100 Investment</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Based on Total</w:t>
            </w:r>
          </w:p>
          <w:p>
            <w:pPr>
              <w:pStyle w:val="TableContents"/>
              <w:bidi w:val="0"/>
              <w:spacing w:lineRule="auto" w:line="288"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Shareholder Return (3)</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1039"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(in thousands)</w:t>
            </w:r>
          </w:p>
        </w:tc>
        <w:tc>
          <w:tcPr>
            <w:tcW w:w="9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8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34"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2,345,851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34"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5,724,843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1,121,002</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1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2,780,099</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63"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207.46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34,537</w:t>
            </w:r>
          </w:p>
        </w:tc>
        <w:tc>
          <w:tcPr>
            <w:tcW w:w="9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8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2025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34"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2,411,245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34"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2,134,915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1,156,197</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1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1,022,434</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63"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79.84</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(1,894</w:t>
            </w:r>
          </w:p>
        </w:tc>
        <w:tc>
          <w:tcPr>
            <w:tcW w:w="9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2024</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34"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2,566,513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34"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2,877,213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28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1,208,521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1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1,328,191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91"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1363"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105.68</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7"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10,988</w:t>
            </w:r>
          </w:p>
        </w:tc>
        <w:tc>
          <w:tcPr>
            <w:tcW w:w="9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amounts reported in the “Summary Compensation Table Total for CEO” column are the amounts of total compensation reported for John H. Batten for each corresponding fiscal year in the “Total” column of the Summary Compensation Table. The amounts reported in the “Average Summary Compensation Table Total for Non-CEO NEOs” column are the amounts of total compensation reported for Jeffrey S. Knutson for each corresponding year in the “Total” column of the Summary Compensation Table.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amounts were added and deducted from the Summary Compensation Table amounts to determine the compensation actually paid to the Corporation’s CEO and the Non-CEO NEOs in accordance with SEC regulations:</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3625"/>
        <w:gridCol w:w="60"/>
        <w:gridCol w:w="125"/>
        <w:gridCol w:w="845"/>
        <w:gridCol w:w="60"/>
        <w:gridCol w:w="60"/>
        <w:gridCol w:w="125"/>
        <w:gridCol w:w="845"/>
        <w:gridCol w:w="80"/>
        <w:gridCol w:w="60"/>
        <w:gridCol w:w="125"/>
        <w:gridCol w:w="845"/>
        <w:gridCol w:w="60"/>
        <w:gridCol w:w="60"/>
        <w:gridCol w:w="125"/>
        <w:gridCol w:w="845"/>
        <w:gridCol w:w="60"/>
        <w:gridCol w:w="60"/>
        <w:gridCol w:w="125"/>
        <w:gridCol w:w="845"/>
        <w:gridCol w:w="80"/>
        <w:gridCol w:w="60"/>
        <w:gridCol w:w="125"/>
        <w:gridCol w:w="845"/>
        <w:gridCol w:w="60"/>
      </w:tblGrid>
      <w:tr>
        <w:trPr/>
        <w:tc>
          <w:tcPr>
            <w:tcW w:w="3625"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3170" w:type="dxa"/>
            <w:gridSpan w:val="10"/>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CEO</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3170" w:type="dxa"/>
            <w:gridSpan w:val="10"/>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Non-CEO NEO Average</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 Compensation Table (SCT) Total</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2,345,851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2,411,245</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2,566,513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1,121,002</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1,156,197</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1,208,521</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Minus amounts reported under “Stock Awards” column in SCT</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1,002,767</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1,033,830</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1,052,203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492,365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507,613</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516,632</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Minus amounts reported under “Option Awards” column in SCT</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fair value (as of fiscal year-end) of awards granted during fiscal year that remain outstanding and unvested as of fiscal year-end</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2,570,630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672,714</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969,871</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1,262,196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330,304</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476,207</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Plus/minus change in fair value from prior fiscal year-end to current fiscal year-end of awards granted in any prior fiscal year that are outstanding and unvested as of fiscal year-end</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1,810,004</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67,221</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316,947</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888,713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33,008</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124,589</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increase in fair value (as of vesting date) of awards granted during fiscal year that vest during the same fiscal year</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Plus/minus change in fair value (as of vesting date) from prior fiscal year-end to vesting date of awards granted in any prior fiscal year that vested during fiscal year</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17,565</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76,085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10,539</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35,506</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Minus fair value (as of end of prior fiscal year) of awards granted in any prior fiscal year that were forfeited during fiscal year</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value of dividends or other earnings paid on stock or option awards during fiscal year prior to vesting date not included in SCT total compensation</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pPr>
            <w:r>
              <w:rPr/>
              <w:t>—</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625" w:type="dxa"/>
            <w:tcBorders>
              <w:left w:val="single" w:sz="2" w:space="0" w:color="000000"/>
              <w:bottom w:val="single" w:sz="2" w:space="0" w:color="000000"/>
            </w:tcBorders>
            <w:tcMar>
              <w:top w:w="0" w:type="dxa"/>
            </w:tcMar>
            <w:vAlign w:val="center"/>
          </w:tcPr>
          <w:p>
            <w:pPr>
              <w:pStyle w:val="TableContents"/>
              <w:bidi w:val="0"/>
              <w:spacing w:before="0" w:after="0"/>
              <w:ind w:left="180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Adjustments</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3,378,992</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(276,330</w:t>
            </w:r>
          </w:p>
        </w:tc>
        <w:tc>
          <w:tcPr>
            <w:tcW w:w="80" w:type="dxa"/>
            <w:tcBorders>
              <w:bottom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310,700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1,659,097</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(133,763</w:t>
            </w:r>
          </w:p>
        </w:tc>
        <w:tc>
          <w:tcPr>
            <w:tcW w:w="80" w:type="dxa"/>
            <w:tcBorders>
              <w:bottom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119,670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Assumes $100 was invested in the Corporation for the period starting July 1, 2023, through the end of the listed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Relationship Between Compensation Actually Paid and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chart below shows the relationship between the compensation actually paid to the Corporation’s CEO and the average compensation actually paid to the Corporation’s other NEOs, and Corporation’s cumulative TSR (total shareholder return, based on an initial investment of $100 on July 1, 2023) over the three most recently completed fiscal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4197350" cy="25781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4197350" cy="2578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Relationship Between Compensation Actually Paid and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chart below shows the relationship between the compensation actually paid to the Corporation’s CEO and the average compensation actually paid to the Corporation’s other NEOs, and the Corporation’s net income over the three most recently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4229100" cy="25971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4229100" cy="259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information regarding the compensation received by each of our non-employee Directors during FY2026:</w:t>
      </w:r>
    </w:p>
    <w:p>
      <w:pPr>
        <w:pStyle w:val="TextBody"/>
        <w:bidi w:val="0"/>
        <w:spacing w:before="0" w:after="0"/>
        <w:ind w:left="0" w:right="0" w:hanging="0"/>
        <w:jc w:val="left"/>
        <w:rPr>
          <w:caps w:val="false"/>
          <w:smallCaps w:val="false"/>
        </w:rPr>
      </w:pPr>
      <w:r>
        <w:rPr>
          <w:caps w:val="false"/>
          <w:smallCaps w:val="false"/>
        </w:rPr>
        <w:t> </w:t>
      </w:r>
    </w:p>
    <w:tbl>
      <w:tblPr>
        <w:tblW w:w="7058" w:type="dxa"/>
        <w:jc w:val="left"/>
        <w:tblInd w:w="0" w:type="dxa"/>
        <w:tblLayout w:type="fixed"/>
        <w:tblCellMar>
          <w:top w:w="28" w:type="dxa"/>
          <w:left w:w="28" w:type="dxa"/>
          <w:bottom w:w="28" w:type="dxa"/>
          <w:right w:w="0" w:type="dxa"/>
        </w:tblCellMar>
      </w:tblPr>
      <w:tblGrid>
        <w:gridCol w:w="1505"/>
        <w:gridCol w:w="440"/>
        <w:gridCol w:w="60"/>
        <w:gridCol w:w="183"/>
        <w:gridCol w:w="1021"/>
        <w:gridCol w:w="60"/>
        <w:gridCol w:w="60"/>
        <w:gridCol w:w="185"/>
        <w:gridCol w:w="1034"/>
        <w:gridCol w:w="60"/>
        <w:gridCol w:w="60"/>
        <w:gridCol w:w="210"/>
        <w:gridCol w:w="995"/>
        <w:gridCol w:w="245"/>
        <w:gridCol w:w="60"/>
        <w:gridCol w:w="125"/>
        <w:gridCol w:w="695"/>
        <w:gridCol w:w="60"/>
      </w:tblGrid>
      <w:tr>
        <w:trPr/>
        <w:tc>
          <w:tcPr>
            <w:tcW w:w="15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44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1204"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Fees Earned 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Paid in Cash</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1219"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Stock</w:t>
            </w:r>
          </w:p>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Awards (1)</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1205"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p>
        </w:tc>
        <w:tc>
          <w:tcPr>
            <w:tcW w:w="245" w:type="dxa"/>
            <w:tcBorders>
              <w:top w:val="single" w:sz="2" w:space="0" w:color="000000"/>
              <w:bottom w:val="single" w:sz="2" w:space="0" w:color="000000"/>
            </w:tcBorders>
            <w:tcMar>
              <w:left w:w="0" w:type="dxa"/>
            </w:tcMar>
            <w:vAlign w:val="center"/>
          </w:tcPr>
          <w:p>
            <w:pPr>
              <w:pStyle w:val="TableContents"/>
              <w:bidi w:val="0"/>
              <w:spacing w:before="0" w:after="283"/>
              <w:jc w:val="center"/>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center"/>
              <w:rPr/>
            </w:pPr>
            <w:r>
              <w:rPr/>
              <w:t> </w:t>
            </w:r>
          </w:p>
        </w:tc>
        <w:tc>
          <w:tcPr>
            <w:tcW w:w="82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Doar (2)</w:t>
            </w:r>
          </w:p>
        </w:tc>
        <w:tc>
          <w:tcPr>
            <w:tcW w:w="4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136,875</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24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155,000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Janet Giesselman</w:t>
            </w:r>
          </w:p>
        </w:tc>
        <w:tc>
          <w:tcPr>
            <w:tcW w:w="4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24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Johnson (2)</w:t>
            </w:r>
          </w:p>
        </w:tc>
        <w:tc>
          <w:tcPr>
            <w:tcW w:w="4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68,750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96,250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24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165,000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Kevin Olsen</w:t>
            </w:r>
          </w:p>
        </w:tc>
        <w:tc>
          <w:tcPr>
            <w:tcW w:w="4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24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145,000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Smiley</w:t>
            </w:r>
          </w:p>
        </w:tc>
        <w:tc>
          <w:tcPr>
            <w:tcW w:w="4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10"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62,500</w:t>
            </w:r>
          </w:p>
        </w:tc>
        <w:tc>
          <w:tcPr>
            <w:tcW w:w="245" w:type="dxa"/>
            <w:tcBorders>
              <w:bottom w:val="single" w:sz="2" w:space="0" w:color="000000"/>
            </w:tcBorders>
            <w:tcMar>
              <w:top w:w="0" w:type="dxa"/>
              <w:left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267,500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Juliann Larimer</w:t>
            </w:r>
          </w:p>
        </w:tc>
        <w:tc>
          <w:tcPr>
            <w:tcW w:w="4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3"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8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p>
        </w:tc>
        <w:tc>
          <w:tcPr>
            <w:tcW w:w="6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10"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245" w:type="dxa"/>
            <w:tcBorders>
              <w:bottom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top w:w="0" w:type="dxa"/>
              <w:lef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145,000</w:t>
            </w:r>
          </w:p>
        </w:tc>
        <w:tc>
          <w:tcPr>
            <w:tcW w:w="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Stock Awards is computed as of the date of grant in accordance with Financial Accounting Standards Board ASC Topic 718. Mr. Doar held 9,649 shares of restricted stock and Mr. Johnson held 6,564 shares of restricted stock as of the end of FY2026. Each other director held 5,378 shares of restricted stock as of the end of FY2026.</w:t>
            </w:r>
          </w:p>
        </w:tc>
      </w:tr>
    </w:tbl>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value of Messrs. Doar and Johnson’s stock awards includes shares of restricted stock issued in lieu of quarterly cash retainers, pursuant to an irrevocable election made under the Twin Disc, Incorporated Amended and Restated 2021 Omnibus Incentive Plan and the Twin Disc, Incorporated 2020 Stock Incentive Plan for Non-Employee Directors. Such shares will vest on the first anniversary of the date of issuance.</w:t>
            </w:r>
          </w:p>
        </w:tc>
      </w:tr>
    </w:tbl>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amount represents a pension benefit that Mr. Smiley receives quarterly following his initial retirement from the Board in 2018. Upon his return to the Board in August 2019, he was no longer eligible to earn benefits under the director retirement plan (described below), as this retirement program had been closed effective January 2018. Mr. Smiley will continue to receive this benefit through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Director Compensation Plan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Outside Directors of the Corporation (i.e., non-Corporation employees) are paid an annual retainer fee composed of both cash and restricted shares of Twin Disc stock. The restricted shares are issued under the Twin Disc, Incorporated Amended and Restated 2021 Omnibus Incentive Plan (the “LTI Plan”). The mix of cash and stock is determined by the Board of Directors on an annual basis. The cash portion is paid quarterly, while the stock portion of the retainer is awarded annually, at the annual shareholders meeting in October. The restricted shares awarded at a shareholders meeting will vest as of the subsequent annual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LTI Plan, Directors have the option to elect to receive all or a portion of their quarterly base cash retainer in restricted shares of Twin Disc stock. The restricted shares will vest one year after the date that the quarterly cash retainer payment would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Committee chairs are paid an annual fee in addition to the annual retainer. The chair of the Audit Committee receives $20,000, the chair of the Compensation and Human Capital Committee receives $15,000 and the chair of the Governance Committee receives $10,000. The annual Chairman’s fee is $54,000.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Human Capital Committee monitors compliance with this guideline, using its discretion to address nonattainment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 In May of 2020, the Board voted to cap the maximum annual benefit at $62,500 and cap the maximum service years equal to 15 years. For those Directors who already had more than fifteen years of service at the time of the change, their benefit immediately freezes at their current service years, with no additional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Audit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charter reflects standards set forth in SEC regulations and Nasdaq Stock Market rules. All members of the Audit Committee are independent, as defined in Rule 5605 of the listing standards of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the basis of these reviews and discussions, the Committee recommended to the Board of Directors that the Board approve the inclusion of the Corporation’s audited financial statements in the Corporation’s annual report on Form 10 K for the fiscal year ended June 30, 2026, for filing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Audit Committee</w:t>
      </w:r>
    </w:p>
    <w:p>
      <w:pPr>
        <w:pStyle w:val="TextBody"/>
        <w:bidi w:val="0"/>
        <w:spacing w:before="0" w:after="0"/>
        <w:ind w:left="2520" w:right="0" w:hanging="0"/>
        <w:jc w:val="left"/>
        <w:rPr>
          <w:rFonts w:ascii="Times New Roman" w:hAnsi="Times New Roman"/>
          <w:caps w:val="false"/>
          <w:smallCaps w:val="false"/>
          <w:sz w:val="20"/>
        </w:rPr>
      </w:pPr>
      <w:r>
        <w:rPr>
          <w:rFonts w:ascii="Times New Roman" w:hAnsi="Times New Roman"/>
          <w:caps w:val="false"/>
          <w:smallCaps w:val="false"/>
          <w:sz w:val="20"/>
        </w:rPr>
        <w:t>David W. Johnson, Chair</w:t>
      </w:r>
    </w:p>
    <w:p>
      <w:pPr>
        <w:pStyle w:val="TextBody"/>
        <w:bidi w:val="0"/>
        <w:spacing w:before="0" w:after="0"/>
        <w:ind w:left="2520" w:right="0" w:hanging="0"/>
        <w:jc w:val="left"/>
        <w:rPr>
          <w:rFonts w:ascii="Times New Roman" w:hAnsi="Times New Roman"/>
          <w:caps w:val="false"/>
          <w:smallCaps w:val="false"/>
          <w:sz w:val="20"/>
        </w:rPr>
      </w:pPr>
      <w:r>
        <w:rPr>
          <w:rFonts w:ascii="Times New Roman" w:hAnsi="Times New Roman"/>
          <w:caps w:val="false"/>
          <w:smallCaps w:val="false"/>
          <w:sz w:val="20"/>
        </w:rPr>
        <w:t>Janet P. Giesselman</w:t>
      </w:r>
    </w:p>
    <w:p>
      <w:pPr>
        <w:pStyle w:val="TextBody"/>
        <w:bidi w:val="0"/>
        <w:spacing w:before="0" w:after="0"/>
        <w:ind w:left="2520" w:right="0" w:hanging="0"/>
        <w:jc w:val="left"/>
        <w:rPr>
          <w:rFonts w:ascii="Times New Roman" w:hAnsi="Times New Roman"/>
          <w:caps w:val="false"/>
          <w:smallCaps w:val="false"/>
          <w:sz w:val="20"/>
        </w:rPr>
      </w:pPr>
      <w:r>
        <w:rPr>
          <w:rFonts w:ascii="Times New Roman" w:hAnsi="Times New Roman"/>
          <w:caps w:val="false"/>
          <w:smallCaps w:val="false"/>
          <w:sz w:val="20"/>
        </w:rPr>
        <w:t>Juliann Larimer</w:t>
      </w:r>
    </w:p>
    <w:p>
      <w:pPr>
        <w:pStyle w:val="TextBody"/>
        <w:bidi w:val="0"/>
        <w:spacing w:before="0" w:after="0"/>
        <w:ind w:left="2520" w:right="0" w:hanging="0"/>
        <w:jc w:val="left"/>
        <w:rPr>
          <w:rFonts w:ascii="Times New Roman" w:hAnsi="Times New Roman"/>
          <w:caps w:val="false"/>
          <w:smallCaps w:val="false"/>
          <w:sz w:val="20"/>
        </w:rPr>
      </w:pPr>
      <w:r>
        <w:rPr>
          <w:rFonts w:ascii="Times New Roman" w:hAnsi="Times New Roman"/>
          <w:caps w:val="false"/>
          <w:smallCaps w:val="false"/>
          <w:sz w:val="20"/>
        </w:rPr>
        <w:t>Kevin M. Olsen</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 w:hAnsi="Times New Roman"/>
          <w:caps w:val="false"/>
          <w:smallCaps w:val="false"/>
          <w:sz w:val="20"/>
        </w:rPr>
      </w:pPr>
      <w:r>
        <w:rPr>
          <w:rFonts w:ascii="Times New Roman" w:hAnsi="Times New Roman"/>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certain information regarding the Corporation’s equity-based compensation plans as of the end of the most recently completed fiscal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4172"/>
        <w:gridCol w:w="60"/>
        <w:gridCol w:w="104"/>
        <w:gridCol w:w="1685"/>
        <w:gridCol w:w="60"/>
        <w:gridCol w:w="60"/>
        <w:gridCol w:w="391"/>
        <w:gridCol w:w="1410"/>
        <w:gridCol w:w="60"/>
        <w:gridCol w:w="60"/>
        <w:gridCol w:w="127"/>
        <w:gridCol w:w="1952"/>
        <w:gridCol w:w="64"/>
      </w:tblGrid>
      <w:tr>
        <w:trPr/>
        <w:tc>
          <w:tcPr>
            <w:tcW w:w="4172"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Category</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1789"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Securities to be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Issued Upon Exercise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Outstanding Options,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Rights</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1801"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Price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Outstanding Options,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Rights</w:t>
            </w:r>
          </w:p>
        </w:tc>
        <w:tc>
          <w:tcPr>
            <w:tcW w:w="60" w:type="dxa"/>
            <w:tcBorders>
              <w:top w:val="single" w:sz="2" w:space="0" w:color="000000"/>
              <w:bottom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2079"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Securities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 Available for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Future Issuance Under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w:t>
            </w:r>
          </w:p>
        </w:tc>
        <w:tc>
          <w:tcPr>
            <w:tcW w:w="64"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r>
        <w:trPr/>
        <w:tc>
          <w:tcPr>
            <w:tcW w:w="41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Shareholders</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04" w:type="dxa"/>
            <w:tcBorders>
              <w:bottom w:val="single" w:sz="2" w:space="0" w:color="000000"/>
            </w:tcBorders>
            <w:tcMar>
              <w:top w:w="0" w:type="dxa"/>
              <w:left w:w="0" w:type="dxa"/>
            </w:tcMar>
            <w:vAlign w:val="center"/>
          </w:tcPr>
          <w:p>
            <w:pPr>
              <w:pStyle w:val="TableContents"/>
              <w:bidi w:val="0"/>
              <w:spacing w:before="0" w:after="283"/>
              <w:ind w:left="0" w:right="0" w:hanging="0"/>
              <w:jc w:val="left"/>
              <w:rPr/>
            </w:pPr>
            <w:r>
              <w:rPr/>
              <w:t> </w:t>
            </w:r>
          </w:p>
        </w:tc>
        <w:tc>
          <w:tcPr>
            <w:tcW w:w="1685"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354,181 (1)</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391"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410"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N/A</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27"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952"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186,786 (2)</w:t>
            </w:r>
          </w:p>
        </w:tc>
        <w:tc>
          <w:tcPr>
            <w:tcW w:w="64"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41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Shareholders</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04"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685"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391"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410"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N/A</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27"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952"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4"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center"/>
              <w:rPr/>
            </w:pPr>
            <w:r>
              <w:rPr/>
              <w:t> </w:t>
            </w:r>
          </w:p>
        </w:tc>
      </w:tr>
      <w:tr>
        <w:trPr/>
        <w:tc>
          <w:tcPr>
            <w:tcW w:w="4172"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04"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685"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354,181 (1)</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391"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410" w:type="dxa"/>
            <w:tcBorders>
              <w:bottom w:val="single" w:sz="2" w:space="0" w:color="000000"/>
            </w:tcBorders>
            <w:tcMar>
              <w:top w:w="0" w:type="dxa"/>
              <w:left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N/A</w:t>
            </w:r>
          </w:p>
        </w:tc>
        <w:tc>
          <w:tcPr>
            <w:tcW w:w="60" w:type="dxa"/>
            <w:tcBorders>
              <w:bottom w:val="single" w:sz="2"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center"/>
              <w:rPr/>
            </w:pPr>
            <w:r>
              <w:rPr/>
              <w:t> </w:t>
            </w:r>
          </w:p>
        </w:tc>
        <w:tc>
          <w:tcPr>
            <w:tcW w:w="127" w:type="dxa"/>
            <w:tcBorders>
              <w:bottom w:val="single" w:sz="2" w:space="0" w:color="000000"/>
            </w:tcBorders>
            <w:tcMar>
              <w:top w:w="0" w:type="dxa"/>
              <w:left w:w="0" w:type="dxa"/>
            </w:tcMar>
            <w:vAlign w:val="center"/>
          </w:tcPr>
          <w:p>
            <w:pPr>
              <w:pStyle w:val="TableContents"/>
              <w:bidi w:val="0"/>
              <w:spacing w:before="0" w:after="283"/>
              <w:ind w:left="0" w:right="0" w:hanging="0"/>
              <w:jc w:val="center"/>
              <w:rPr/>
            </w:pPr>
            <w:r>
              <w:rPr/>
              <w:t> </w:t>
            </w:r>
          </w:p>
        </w:tc>
        <w:tc>
          <w:tcPr>
            <w:tcW w:w="1952" w:type="dxa"/>
            <w:tcBorders>
              <w:bottom w:val="single" w:sz="2" w:space="0" w:color="000000"/>
            </w:tcBorders>
            <w:tcMar>
              <w:top w:w="0" w:type="dxa"/>
              <w:left w:w="0" w:type="dxa"/>
            </w:tcM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186,786 (2)</w:t>
            </w:r>
          </w:p>
        </w:tc>
        <w:tc>
          <w:tcPr>
            <w:tcW w:w="64"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113,805 shares of performance stock that may be issued as of June 30, 2027, and 166,537 shares of performance stock that may be issued as of June 30, 2028, all under the Twin Disc, Incorporated Amended and Restated 2021 Omnibus Incentive Compensation Plan (“LTI Plan”) assuming the target performance goals are achieved. As of June 30, 2026, the Corporation believes that it is likely that the performance goals for the awards that may be issued as of June 30, 2026 and June 30, 2027 will be achieved at or near target. Also includes 73,839 restricted stock units that are scheduled to vest on August 4, 2027 issued under the LTI Plan.</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Consists of 186,786 shares of the Corporation’s common stock issuable under the Twin Disc, Incorporated Amended and Restated 2021 Omnibus Incentive Plan (“LTI Plan”). Assumes that all outstanding restricted stock unit awards will vest, and all outstanding performance-based awards will vest at target; such awards are not included in the number of securities remaining available for future issuance under the LTI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DELINQUENT SECTION 16 (A)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16(a) of the Exchange Act requires our directors and executive officers, and persons who own more than 10% of a registered class of our equity securities, to file with the SEC initial reports of ownership and reports of changes in ownership of such securities. To our knowledge, based solely on a review of such reports filed with the SEC and written representations that no other reports were required, during fiscal 2026, we believe that all required reports were timely filed, except that John H. Batten and Jeffrey S. Knutson filed Forms 4 on August 8, 2025 for shares of common stock withheld by the Corporation on August 3, 2025 to satisfy tax obligations in connection with the vesting of restricted stock, and John H. Batten filed a Form 4 on December 8, 2025 to report dispositions of shares on December 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Corporation will bear the cost of the solicitation of proxies. The firm of Georgeson Inc., New York, NY has been retained to assist in solicitation of proxies for the Annual Meeting at a fee not to exceed $12,500 plus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you do not contemplate attending the Annual Meeting, we respectfully request that you direct your vote via the Internet or by telephone, or (if you received paper copies of the proxy materials) by filling in, signing and returning the accompanying proxy at your earliest convenience. If you are a registered shareholder of the Corporation, you may transmit your voting instructions via the Internet by accessing </w:t>
      </w:r>
      <w:r>
        <w:rPr>
          <w:rFonts w:ascii="Times New Roman" w:hAnsi="Times New Roman"/>
          <w:b/>
          <w:caps w:val="false"/>
          <w:smallCaps w:val="false"/>
          <w:sz w:val="20"/>
        </w:rPr>
        <w:t>www.investorvote.com/twin</w:t>
      </w:r>
      <w:r>
        <w:rPr>
          <w:rFonts w:ascii="Times New Roman" w:hAnsi="Times New Roman"/>
          <w:caps w:val="false"/>
          <w:smallCaps w:val="false"/>
          <w:sz w:val="20"/>
        </w:rPr>
        <w:t xml:space="preserve"> or by telephone at 1-800-652-8683. If you hold your shares through an intermediary, such as a bank or brokerage firm, you may be eligible to vote your shares electronically via the Internet or by telephone – your voting form will provide you with instructions. If you are returning a paper copy of your proxy, it must be delivered to the Secretary either in person, by mail, or by messenger, and it must be received by the Secretary not less than forty-eight (48) hours prior to the date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886200" cy="50292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3886200" cy="5029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886200" cy="50292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3886200" cy="5029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886200" cy="50292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3886200" cy="5029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TWIN DISC, INCORPORATED 2026 ANNUAL REPORT | PROXY | 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698500" cy="3302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698500" cy="33020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886200" cy="50292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3886200" cy="5029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b/>
          <w:sz w:val="20"/>
        </w:rPr>
      </w:pPr>
      <w:r>
        <w:rPr>
          <w:rFonts w:ascii="Times New Roman" w:hAnsi="Times New Roman"/>
          <w:b/>
          <w:sz w:val="20"/>
        </w:rPr>
        <w:t>TWIN DISC, INCORPORATED 2026 ANNUAL REPORT | PROXY | 56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3.jpeg"/><Relationship Id="rId51" Type="http://schemas.openxmlformats.org/officeDocument/2006/relationships/image" Target="media/image2.jpeg"/><Relationship Id="rId52" Type="http://schemas.openxmlformats.org/officeDocument/2006/relationships/image" Target="media/image4.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5.jpeg"/><Relationship Id="rId58" Type="http://schemas.openxmlformats.org/officeDocument/2006/relationships/image" Target="media/image2.jpeg"/><Relationship Id="rId59" Type="http://schemas.openxmlformats.org/officeDocument/2006/relationships/image" Target="media/image6.jpeg"/><Relationship Id="rId60" Type="http://schemas.openxmlformats.org/officeDocument/2006/relationships/image" Target="media/image2.jpeg"/><Relationship Id="rId61" Type="http://schemas.openxmlformats.org/officeDocument/2006/relationships/image" Target="media/image7.jpeg"/><Relationship Id="rId62" Type="http://schemas.openxmlformats.org/officeDocument/2006/relationships/image" Target="media/image2.jpeg"/><Relationship Id="rId63" Type="http://schemas.openxmlformats.org/officeDocument/2006/relationships/image" Target="media/image8.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26972</Words>
  <Characters>147374</Characters>
  <CharactersWithSpaces>174773</CharactersWithSpaces>
  <Paragraphs>3472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