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jc w:val="center"/>
        <w:ind w:right="1879"/>
        <w:spacing w:after="0" w:line="238" w:lineRule="auto"/>
        <w:rPr>
          <w:sz w:val="20"/>
          <w:szCs w:val="20"/>
          <w:color w:val="auto"/>
        </w:rPr>
      </w:pPr>
      <w:r>
        <w:rPr>
          <w:rFonts w:ascii="Courier New" w:cs="Courier New" w:eastAsia="Courier New" w:hAnsi="Courier New"/>
          <w:sz w:val="18"/>
          <w:szCs w:val="18"/>
          <w:color w:val="auto"/>
        </w:rPr>
        <w:t>TWIN DISC, INCORPORATED</w:t>
      </w:r>
    </w:p>
    <w:p>
      <w:pPr>
        <w:jc w:val="center"/>
        <w:ind w:right="1879"/>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19, 2001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19, 2001 at the Corporate Offices, 1328 Racine Street, Racine, Wisconsin for the following purposes:</w:t>
      </w:r>
    </w:p>
    <w:p>
      <w:pPr>
        <w:spacing w:after="0" w:line="207"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2004.</w:t>
      </w:r>
    </w:p>
    <w:p>
      <w:pPr>
        <w:spacing w:after="0" w:line="223" w:lineRule="exact"/>
        <w:rPr>
          <w:rFonts w:ascii="Courier New" w:cs="Courier New" w:eastAsia="Courier New" w:hAnsi="Courier New"/>
          <w:sz w:val="16"/>
          <w:szCs w:val="16"/>
          <w:color w:val="auto"/>
        </w:rPr>
      </w:pPr>
    </w:p>
    <w:p>
      <w:pPr>
        <w:ind w:left="860" w:right="2619" w:hanging="325"/>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 meeting.</w:t>
      </w:r>
    </w:p>
    <w:p>
      <w:pPr>
        <w:spacing w:after="0" w:line="208"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August 31, 2001, shall be entitled to vote at the meeting.</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September 18, 2001</w:t>
      </w:r>
    </w:p>
    <w:p>
      <w:pPr>
        <w:spacing w:after="0" w:line="206"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ARE UNABLE TO ATTEND THE MEETING IN PERSON, PLEASE SIGN AND RETURN YOUR PROXY APPOINTMENT IN THE ENCLOSED ENVELOPE BEFORE THE DEADLINE STATED IN THE PROXY STATEMENT. IF YOUR PROXY APPOINTMENT IS NOT RECEIVED BY THE SECRETARY BEFORE THAT DEADLINE, IT WILL BE RULED INVALID. SHOULD YOU FIND IT CONVENIENT TO ATTEND THE MEETING PERSONALLY, AND DESIRE TO VOTE IN PERSON, YOU MAY REQUEST BEFORE ANY VOTE THAT YOUR PROXY APPOINTMENT BE RETURNED TO YOU IN ORDER THAT YOU MAY VOTE IN PERSON.</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3060"/>
        <w:spacing w:after="0" w:line="238" w:lineRule="auto"/>
        <w:rPr>
          <w:sz w:val="20"/>
          <w:szCs w:val="20"/>
          <w:color w:val="auto"/>
        </w:rPr>
      </w:pPr>
      <w:r>
        <w:rPr>
          <w:rFonts w:ascii="Courier New" w:cs="Courier New" w:eastAsia="Courier New" w:hAnsi="Courier New"/>
          <w:sz w:val="18"/>
          <w:szCs w:val="18"/>
          <w:color w:val="auto"/>
        </w:rPr>
        <w:t>2001 Proxy Statement</w:t>
      </w: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3160"/>
        <w:spacing w:after="0" w:line="237" w:lineRule="auto"/>
        <w:rPr>
          <w:sz w:val="20"/>
          <w:szCs w:val="20"/>
          <w:color w:val="auto"/>
        </w:rPr>
      </w:pPr>
      <w:r>
        <w:rPr>
          <w:rFonts w:ascii="Courier New" w:cs="Courier New" w:eastAsia="Courier New" w:hAnsi="Courier New"/>
          <w:sz w:val="18"/>
          <w:szCs w:val="18"/>
          <w:color w:val="auto"/>
        </w:rPr>
        <w:t>September 18,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MEETING</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19, 2001, or any adjournment thereof. Holders of common stock of record at the close of business on the 31st day of August 2001,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before September 18, 2001.</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enclosed proxy appointment form must be signed and delivered to the Secretary either in person, by mail, or by messenger. Appointment forms transmitted by facsimile, telex, telegram, or electronic means will not be accepted. Furthermore, appointment forms must be received by the Secretary not less than 48 hours prior to the date of the meeting. PROXY APPOINTMENT FORMS NOT MEETING THE ABOVE REQUIREMENTS WILL BE RULED INVALID.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person giving the proxy may revoke it before it is exercised, either in person, by mail, or by messenger, by submitting a later dated proxy appointment form to the Secretary at least forty-eight (48) hours prior to the date of the meeting. The person giving the proxy may also revoke it by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will not be accepted. ANY ATTEMPTED REVOCATIONS NOT MEETING THE ABOVE REQUIREMENTS WILL BE RULED INVALID.</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record date with respect to this solicitation is August 31, 2001. On August 31, 2001, there were outstanding 2,807,832 shares of common stock of the Corporation entitled to vote at the Annual Meeting. There also are 200,000 shares of no-par preferred stock authorized, of which 50,000 shares have been designated Series A Junior Preferred Stock, but none are outstanding.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 FOR 2002</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shareholder wishes to present a proposal for consideration for inclusion in the Notice of the Meeting and Proxy Statement for the 2002 Annual Meeting, the proposal must be received at the Corporation's principal executive offices no later than May 21, 2002. Shareholder proposals received later than August 4, 2002 will be considered untimely, and will not be considered at the Corporation's 2002 Annual Meeting.</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PERSONS MAKING THE SOLICITATION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 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The approval of a majority of the votes cast on a particular matter shall be an act of the shareholders.</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PRINCIPAL SHAREHOLDERS, DIRECTORS AND EXECUTIVE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2001, the following table sets forth the persons or group of persons having beneficial ownership (as defined by the Securities and Exchange Commission) of more than 5% of the issued and outstanding common stock of the Corporation.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Nature of</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Beneficial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1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Address</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Ownership</w:t>
            </w:r>
          </w:p>
        </w:tc>
        <w:tc>
          <w:tcPr>
            <w:tcW w:w="58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Owned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26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 - - - - - - - -</w:t>
            </w:r>
          </w:p>
        </w:tc>
        <w:tc>
          <w:tcPr>
            <w:tcW w:w="2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 - - - - - -</w:t>
            </w:r>
          </w:p>
        </w:tc>
        <w:tc>
          <w:tcPr>
            <w:tcW w:w="17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 - - -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 - -</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3419 Michigan Blvd.</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540,489</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19.2%</w:t>
            </w:r>
          </w:p>
        </w:tc>
        <w:tc>
          <w:tcPr>
            <w:tcW w:w="26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Racine, WI</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140,213</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w:t>
            </w:r>
          </w:p>
        </w:tc>
        <w:tc>
          <w:tcPr>
            <w:tcW w:w="2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Fidelity Management</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82 Devonshire St.</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265,800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9.5%</w:t>
            </w:r>
          </w:p>
        </w:tc>
        <w:tc>
          <w:tcPr>
            <w:tcW w:w="260" w:type="dxa"/>
            <w:vAlign w:val="bottom"/>
          </w:tcPr>
          <w:p>
            <w:pPr>
              <w:spacing w:after="0"/>
              <w:rPr>
                <w:sz w:val="24"/>
                <w:szCs w:val="24"/>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Research Corp.</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1299 Ocean Ave.</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213,500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7.6%</w:t>
            </w:r>
          </w:p>
        </w:tc>
        <w:tc>
          <w:tcPr>
            <w:tcW w:w="260" w:type="dxa"/>
            <w:vAlign w:val="bottom"/>
          </w:tcPr>
          <w:p>
            <w:pPr>
              <w:spacing w:after="0"/>
              <w:rPr>
                <w:sz w:val="24"/>
                <w:szCs w:val="24"/>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Monica, CA</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Artisan Partners</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1000 N. Water St.</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192,400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6.9%</w:t>
            </w:r>
          </w:p>
        </w:tc>
        <w:tc>
          <w:tcPr>
            <w:tcW w:w="260" w:type="dxa"/>
            <w:vAlign w:val="bottom"/>
          </w:tcPr>
          <w:p>
            <w:pPr>
              <w:spacing w:after="0"/>
              <w:rPr>
                <w:sz w:val="24"/>
                <w:szCs w:val="24"/>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Limited</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Milwaukee, WI</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Shufro Rose</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745 Fifth Ave.</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190,700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6.8%</w:t>
            </w:r>
          </w:p>
        </w:tc>
        <w:tc>
          <w:tcPr>
            <w:tcW w:w="260" w:type="dxa"/>
            <w:vAlign w:val="bottom"/>
          </w:tcPr>
          <w:p>
            <w:pPr>
              <w:spacing w:after="0"/>
              <w:rPr>
                <w:sz w:val="24"/>
                <w:szCs w:val="24"/>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Co. LLC</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Dispose of</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4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Held as trustee under various trusts.</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4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Includes 2,600 shares owned by the wife</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Michael</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 Batten and</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59,500</w:t>
            </w:r>
          </w:p>
        </w:tc>
        <w:tc>
          <w:tcPr>
            <w:tcW w:w="26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subject to currently</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exercisable stock options.</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Based upon the records of the Corporation and filings with the Securities and Exchange Commission as of July 31, 2001,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31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Amount and Nature</w:t>
            </w:r>
          </w:p>
        </w:tc>
        <w:tc>
          <w:tcPr>
            <w:tcW w:w="2000" w:type="dxa"/>
            <w:vAlign w:val="bottom"/>
          </w:tcPr>
          <w:p>
            <w:pPr>
              <w:spacing w:after="0"/>
              <w:rPr>
                <w:sz w:val="17"/>
                <w:szCs w:val="17"/>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 of</w:t>
            </w:r>
          </w:p>
        </w:tc>
        <w:tc>
          <w:tcPr>
            <w:tcW w:w="3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of Beneficial</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Beneficial Owner</w:t>
            </w:r>
          </w:p>
        </w:tc>
        <w:tc>
          <w:tcPr>
            <w:tcW w:w="31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Ownership</w:t>
            </w:r>
          </w:p>
        </w:tc>
        <w:tc>
          <w:tcPr>
            <w:tcW w:w="20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9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 - - - - - - - -</w:t>
            </w:r>
          </w:p>
        </w:tc>
        <w:tc>
          <w:tcPr>
            <w:tcW w:w="31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 - - - - - - - -</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 - - - - -</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31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678,644</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6"/>
              </w:rPr>
              <w:t>24.2%</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3120" w:type="dxa"/>
            <w:vAlign w:val="bottom"/>
          </w:tcPr>
          <w:p>
            <w:pPr>
              <w:ind w:left="680"/>
              <w:spacing w:after="0"/>
              <w:rPr>
                <w:sz w:val="20"/>
                <w:szCs w:val="20"/>
                <w:color w:val="auto"/>
              </w:rPr>
            </w:pPr>
            <w:r>
              <w:rPr>
                <w:rFonts w:ascii="Courier New" w:cs="Courier New" w:eastAsia="Courier New" w:hAnsi="Courier New"/>
                <w:sz w:val="18"/>
                <w:szCs w:val="18"/>
                <w:color w:val="auto"/>
              </w:rPr>
              <w:t>41,200</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1.5%</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31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5,000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John A. Mellowes</w:t>
            </w:r>
          </w:p>
        </w:tc>
        <w:tc>
          <w:tcPr>
            <w:tcW w:w="31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3,000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3120" w:type="dxa"/>
            <w:vAlign w:val="bottom"/>
          </w:tcPr>
          <w:p>
            <w:pPr>
              <w:ind w:left="680"/>
              <w:spacing w:after="0"/>
              <w:rPr>
                <w:sz w:val="20"/>
                <w:szCs w:val="20"/>
                <w:color w:val="auto"/>
              </w:rPr>
            </w:pPr>
            <w:r>
              <w:rPr>
                <w:rFonts w:ascii="Courier New" w:cs="Courier New" w:eastAsia="Courier New" w:hAnsi="Courier New"/>
                <w:sz w:val="18"/>
                <w:szCs w:val="18"/>
                <w:color w:val="auto"/>
              </w:rPr>
              <w:t>29,743</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1.0%</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Paul A. Pelligrino</w:t>
            </w:r>
          </w:p>
        </w:tc>
        <w:tc>
          <w:tcPr>
            <w:tcW w:w="3120" w:type="dxa"/>
            <w:vAlign w:val="bottom"/>
          </w:tcPr>
          <w:p>
            <w:pPr>
              <w:ind w:left="680"/>
              <w:spacing w:after="0"/>
              <w:rPr>
                <w:sz w:val="20"/>
                <w:szCs w:val="20"/>
                <w:color w:val="auto"/>
              </w:rPr>
            </w:pPr>
            <w:r>
              <w:rPr>
                <w:rFonts w:ascii="Courier New" w:cs="Courier New" w:eastAsia="Courier New" w:hAnsi="Courier New"/>
                <w:sz w:val="18"/>
                <w:szCs w:val="18"/>
                <w:color w:val="auto"/>
              </w:rPr>
              <w:t>9,006</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Paul J. Powers</w:t>
            </w:r>
          </w:p>
        </w:tc>
        <w:tc>
          <w:tcPr>
            <w:tcW w:w="3120" w:type="dxa"/>
            <w:vAlign w:val="bottom"/>
          </w:tcPr>
          <w:p>
            <w:pPr>
              <w:ind w:left="680"/>
              <w:spacing w:after="0"/>
              <w:rPr>
                <w:sz w:val="20"/>
                <w:szCs w:val="20"/>
                <w:color w:val="auto"/>
              </w:rPr>
            </w:pPr>
            <w:r>
              <w:rPr>
                <w:rFonts w:ascii="Courier New" w:cs="Courier New" w:eastAsia="Courier New" w:hAnsi="Courier New"/>
                <w:sz w:val="18"/>
                <w:szCs w:val="18"/>
                <w:color w:val="auto"/>
              </w:rPr>
              <w:t>7,200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David B. Rayburn</w:t>
            </w:r>
          </w:p>
        </w:tc>
        <w:tc>
          <w:tcPr>
            <w:tcW w:w="3120" w:type="dxa"/>
            <w:vAlign w:val="bottom"/>
          </w:tcPr>
          <w:p>
            <w:pPr>
              <w:ind w:left="680"/>
              <w:spacing w:after="0"/>
              <w:rPr>
                <w:sz w:val="20"/>
                <w:szCs w:val="20"/>
                <w:color w:val="auto"/>
              </w:rPr>
            </w:pPr>
            <w:r>
              <w:rPr>
                <w:rFonts w:ascii="Courier New" w:cs="Courier New" w:eastAsia="Courier New" w:hAnsi="Courier New"/>
                <w:sz w:val="18"/>
                <w:szCs w:val="18"/>
                <w:color w:val="auto"/>
              </w:rPr>
              <w:t>1,000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David L. Swift</w:t>
            </w:r>
          </w:p>
        </w:tc>
        <w:tc>
          <w:tcPr>
            <w:tcW w:w="3120" w:type="dxa"/>
            <w:vAlign w:val="bottom"/>
          </w:tcPr>
          <w:p>
            <w:pPr>
              <w:ind w:left="680"/>
              <w:spacing w:after="0"/>
              <w:rPr>
                <w:sz w:val="20"/>
                <w:szCs w:val="20"/>
                <w:color w:val="auto"/>
              </w:rPr>
            </w:pPr>
            <w:r>
              <w:rPr>
                <w:rFonts w:ascii="Courier New" w:cs="Courier New" w:eastAsia="Courier New" w:hAnsi="Courier New"/>
                <w:sz w:val="18"/>
                <w:szCs w:val="18"/>
                <w:color w:val="auto"/>
              </w:rPr>
              <w:t>4,700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George E. Wardeberg</w:t>
            </w:r>
          </w:p>
        </w:tc>
        <w:tc>
          <w:tcPr>
            <w:tcW w:w="3120" w:type="dxa"/>
            <w:vAlign w:val="bottom"/>
          </w:tcPr>
          <w:p>
            <w:pPr>
              <w:ind w:left="680"/>
              <w:spacing w:after="0"/>
              <w:rPr>
                <w:sz w:val="20"/>
                <w:szCs w:val="20"/>
                <w:color w:val="auto"/>
              </w:rPr>
            </w:pPr>
            <w:r>
              <w:rPr>
                <w:rFonts w:ascii="Courier New" w:cs="Courier New" w:eastAsia="Courier New" w:hAnsi="Courier New"/>
                <w:sz w:val="18"/>
                <w:szCs w:val="18"/>
                <w:color w:val="auto"/>
              </w:rPr>
              <w:t>3,400</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David R. Zimmer</w:t>
            </w:r>
          </w:p>
        </w:tc>
        <w:tc>
          <w:tcPr>
            <w:tcW w:w="3120" w:type="dxa"/>
            <w:vAlign w:val="bottom"/>
          </w:tcPr>
          <w:p>
            <w:pPr>
              <w:ind w:left="680"/>
              <w:spacing w:after="0"/>
              <w:rPr>
                <w:sz w:val="20"/>
                <w:szCs w:val="20"/>
                <w:color w:val="auto"/>
              </w:rPr>
            </w:pPr>
            <w:r>
              <w:rPr>
                <w:rFonts w:ascii="Courier New" w:cs="Courier New" w:eastAsia="Courier New" w:hAnsi="Courier New"/>
                <w:sz w:val="18"/>
                <w:szCs w:val="18"/>
                <w:color w:val="auto"/>
              </w:rPr>
              <w:t>5,578</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3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31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(14 persons)</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832,493</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29.2%</w:t>
            </w:r>
          </w:p>
        </w:tc>
      </w:tr>
    </w:tbl>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pacing w:after="0" w:line="207" w:lineRule="exact"/>
        <w:rPr>
          <w:sz w:val="20"/>
          <w:szCs w:val="20"/>
          <w:color w:val="auto"/>
        </w:rPr>
      </w:pPr>
    </w:p>
    <w:p>
      <w:pPr>
        <w:ind w:right="2419" w:firstLine="105"/>
        <w:spacing w:after="0" w:line="237" w:lineRule="auto"/>
        <w:rPr>
          <w:sz w:val="20"/>
          <w:szCs w:val="20"/>
          <w:color w:val="auto"/>
        </w:rPr>
      </w:pPr>
      <w:r>
        <w:rPr>
          <w:rFonts w:ascii="Courier New" w:cs="Courier New" w:eastAsia="Courier New" w:hAnsi="Courier New"/>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207" w:lineRule="exact"/>
        <w:rPr>
          <w:sz w:val="20"/>
          <w:szCs w:val="20"/>
          <w:color w:val="auto"/>
        </w:rPr>
      </w:pPr>
    </w:p>
    <w:p>
      <w:pPr>
        <w:jc w:val="both"/>
        <w:ind w:right="2619" w:firstLine="105"/>
        <w:spacing w:after="0" w:line="236" w:lineRule="auto"/>
        <w:rPr>
          <w:sz w:val="20"/>
          <w:szCs w:val="20"/>
          <w:color w:val="auto"/>
        </w:rPr>
      </w:pPr>
      <w:r>
        <w:rPr>
          <w:rFonts w:ascii="Courier New" w:cs="Courier New" w:eastAsia="Courier New" w:hAnsi="Courier New"/>
          <w:sz w:val="18"/>
          <w:szCs w:val="18"/>
          <w:color w:val="auto"/>
        </w:rPr>
        <w:t>Includes 2,600 shares held by Mr. Batten's wife, 538,431 shares held by him as trustee under various family trusts, and 59,500 shares subject to presently exercisable stock options.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subject to currently exercisable stock options included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 are as follows: Mr. Parrish 22,300, Mr. Powers 6,900, Mr. Joyce 36,500,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Rayburn 1,000, Mr. Swift 4,500, Mr. Zimmer 4,500, Mr. Pelligrino 9,000,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Feiertag 5,000, Mr. Mellowes 3,000, Mr. Wardeberg 3,200, and all Directors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executive officers as a group 186,450.</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jc w:val="center"/>
        <w:ind w:right="2099"/>
        <w:spacing w:after="0" w:line="238" w:lineRule="auto"/>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2004.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105"/>
        <w:spacing w:after="0" w:line="236" w:lineRule="auto"/>
        <w:rPr>
          <w:sz w:val="20"/>
          <w:szCs w:val="20"/>
          <w:color w:val="auto"/>
        </w:rPr>
      </w:pPr>
      <w:r>
        <w:rPr>
          <w:rFonts w:ascii="Courier New" w:cs="Courier New" w:eastAsia="Courier New" w:hAnsi="Courier New"/>
          <w:sz w:val="18"/>
          <w:szCs w:val="18"/>
          <w:color w:val="auto"/>
        </w:rPr>
        <w:t>Name of Director and Current Age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Occupation</w:t>
      </w:r>
    </w:p>
    <w:p>
      <w:pPr>
        <w:ind w:left="220"/>
        <w:spacing w:after="0" w:line="238" w:lineRule="auto"/>
        <w:rPr>
          <w:sz w:val="20"/>
          <w:szCs w:val="20"/>
          <w:color w:val="auto"/>
        </w:rPr>
      </w:pPr>
      <w:r>
        <w:rPr>
          <w:rFonts w:ascii="Courier New" w:cs="Courier New" w:eastAsia="Courier New" w:hAnsi="Courier New"/>
          <w:sz w:val="18"/>
          <w:szCs w:val="18"/>
          <w:color w:val="auto"/>
        </w:rPr>
        <w:t>and other Public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Directorships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Served as</w:t>
      </w:r>
    </w:p>
    <w:p>
      <w:pPr>
        <w:ind w:left="2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Continuously</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Since</w:t>
      </w:r>
    </w:p>
    <w:p>
      <w:pPr>
        <w:spacing w:after="0" w:line="238" w:lineRule="auto"/>
        <w:rPr>
          <w:sz w:val="20"/>
          <w:szCs w:val="20"/>
          <w:color w:val="auto"/>
        </w:rPr>
      </w:pPr>
      <w:r>
        <w:rPr>
          <w:rFonts w:ascii="Courier New" w:cs="Courier New" w:eastAsia="Courier New" w:hAnsi="Courier New"/>
          <w:sz w:val="18"/>
          <w:szCs w:val="18"/>
          <w:color w:val="auto"/>
        </w:rPr>
        <w:t>- - - - - -</w:t>
      </w:r>
    </w:p>
    <w:p>
      <w:pPr>
        <w:spacing w:after="0" w:line="200" w:lineRule="exact"/>
        <w:rPr>
          <w:sz w:val="20"/>
          <w:szCs w:val="20"/>
          <w:color w:val="auto"/>
        </w:rPr>
      </w:pPr>
    </w:p>
    <w:p>
      <w:pPr>
        <w:sectPr>
          <w:pgSz w:w="11900" w:h="16838" w:orient="portrait"/>
          <w:cols w:equalWidth="0" w:num="3">
            <w:col w:w="2340" w:space="720"/>
            <w:col w:w="3180" w:space="720"/>
            <w:col w:w="325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DIRECTORS FOR TERMS TO EXPIRE IN 2004:</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O. Parrish . . . . . . Vice President-Finance</w:t>
      </w:r>
    </w:p>
    <w:p>
      <w:pPr>
        <w:spacing w:after="0" w:line="16" w:lineRule="exact"/>
        <w:rPr>
          <w:sz w:val="20"/>
          <w:szCs w:val="20"/>
          <w:color w:val="auto"/>
        </w:rPr>
      </w:pPr>
    </w:p>
    <w:p>
      <w:pPr>
        <w:ind w:left="220"/>
        <w:spacing w:after="0"/>
        <w:tabs>
          <w:tab w:leader="none" w:pos="3040" w:val="left"/>
        </w:tabs>
        <w:rPr>
          <w:sz w:val="20"/>
          <w:szCs w:val="20"/>
          <w:color w:val="auto"/>
        </w:rPr>
      </w:pPr>
      <w:r>
        <w:rPr>
          <w:rFonts w:ascii="Courier New" w:cs="Courier New" w:eastAsia="Courier New" w:hAnsi="Courier New"/>
          <w:sz w:val="18"/>
          <w:szCs w:val="18"/>
          <w:color w:val="auto"/>
        </w:rPr>
        <w:t>Age 61</w:t>
      </w:r>
      <w:r>
        <w:rPr>
          <w:sz w:val="20"/>
          <w:szCs w:val="20"/>
          <w:color w:val="auto"/>
        </w:rPr>
        <w:tab/>
      </w:r>
      <w:r>
        <w:rPr>
          <w:rFonts w:ascii="Courier New" w:cs="Courier New" w:eastAsia="Courier New" w:hAnsi="Courier New"/>
          <w:sz w:val="16"/>
          <w:szCs w:val="16"/>
          <w:color w:val="auto"/>
        </w:rPr>
        <w:t>&amp; Treasurer</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Twin Disc, Incorporated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1982</w:t>
      </w:r>
    </w:p>
    <w:p>
      <w:pPr>
        <w:spacing w:after="0" w:line="605" w:lineRule="exact"/>
        <w:rPr>
          <w:sz w:val="20"/>
          <w:szCs w:val="20"/>
          <w:color w:val="auto"/>
        </w:rPr>
      </w:pPr>
    </w:p>
    <w:p>
      <w:pPr>
        <w:sectPr>
          <w:pgSz w:w="11900" w:h="16838" w:orient="portrait"/>
          <w:cols w:equalWidth="0" w:num="2">
            <w:col w:w="5920" w:space="720"/>
            <w:col w:w="3579"/>
          </w:cols>
          <w:pgMar w:left="240" w:top="312" w:right="1440" w:bottom="1440" w:gutter="0" w:footer="0" w:header="0"/>
          <w:type w:val="continuous"/>
        </w:sectPr>
      </w:pPr>
    </w:p>
    <w:p>
      <w:pPr>
        <w:spacing w:after="0" w:line="18"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Paul J. Powers . . . . . . . Retired Chairman, President and</w:t>
      </w:r>
      <w:r>
        <w:rPr>
          <w:sz w:val="20"/>
          <w:szCs w:val="20"/>
          <w:color w:val="auto"/>
        </w:rPr>
        <w:tab/>
      </w:r>
      <w:r>
        <w:rPr>
          <w:rFonts w:ascii="Courier New" w:cs="Courier New" w:eastAsia="Courier New" w:hAnsi="Courier New"/>
          <w:sz w:val="16"/>
          <w:szCs w:val="16"/>
          <w:color w:val="auto"/>
        </w:rPr>
        <w:t>July 1992</w:t>
      </w:r>
    </w:p>
    <w:p>
      <w:pPr>
        <w:ind w:left="220"/>
        <w:spacing w:after="0"/>
        <w:tabs>
          <w:tab w:leader="none" w:pos="3040" w:val="left"/>
        </w:tabs>
        <w:rPr>
          <w:sz w:val="20"/>
          <w:szCs w:val="20"/>
          <w:color w:val="auto"/>
        </w:rPr>
      </w:pPr>
      <w:r>
        <w:rPr>
          <w:rFonts w:ascii="Courier New" w:cs="Courier New" w:eastAsia="Courier New" w:hAnsi="Courier New"/>
          <w:sz w:val="18"/>
          <w:szCs w:val="18"/>
          <w:color w:val="auto"/>
        </w:rPr>
        <w:t>Age 66</w:t>
      </w:r>
      <w:r>
        <w:rPr>
          <w:sz w:val="20"/>
          <w:szCs w:val="20"/>
          <w:color w:val="auto"/>
        </w:rPr>
        <w:tab/>
      </w:r>
      <w:r>
        <w:rPr>
          <w:rFonts w:ascii="Courier New" w:cs="Courier New" w:eastAsia="Courier New" w:hAnsi="Courier New"/>
          <w:sz w:val="16"/>
          <w:szCs w:val="16"/>
          <w:color w:val="auto"/>
        </w:rPr>
        <w:t>Chief Executive Officer,</w:t>
      </w:r>
    </w:p>
    <w:p>
      <w:pPr>
        <w:ind w:left="3060"/>
        <w:spacing w:after="0"/>
        <w:rPr>
          <w:sz w:val="20"/>
          <w:szCs w:val="20"/>
          <w:color w:val="auto"/>
        </w:rPr>
      </w:pPr>
      <w:r>
        <w:rPr>
          <w:rFonts w:ascii="Courier New" w:cs="Courier New" w:eastAsia="Courier New" w:hAnsi="Courier New"/>
          <w:sz w:val="18"/>
          <w:szCs w:val="18"/>
          <w:color w:val="auto"/>
        </w:rPr>
        <w:t>Commercial Intertech, Corp.,</w:t>
      </w:r>
    </w:p>
    <w:p>
      <w:pPr>
        <w:ind w:left="3060"/>
        <w:spacing w:after="0" w:line="237" w:lineRule="auto"/>
        <w:rPr>
          <w:sz w:val="20"/>
          <w:szCs w:val="20"/>
          <w:color w:val="auto"/>
        </w:rPr>
      </w:pPr>
      <w:r>
        <w:rPr>
          <w:rFonts w:ascii="Courier New" w:cs="Courier New" w:eastAsia="Courier New" w:hAnsi="Courier New"/>
          <w:sz w:val="18"/>
          <w:szCs w:val="18"/>
          <w:color w:val="auto"/>
        </w:rPr>
        <w:t>Youngstown, Ohio</w:t>
      </w:r>
    </w:p>
    <w:p>
      <w:pPr>
        <w:ind w:left="3060"/>
        <w:spacing w:after="0" w:line="238" w:lineRule="auto"/>
        <w:rPr>
          <w:sz w:val="20"/>
          <w:szCs w:val="20"/>
          <w:color w:val="auto"/>
        </w:rPr>
      </w:pPr>
      <w:r>
        <w:rPr>
          <w:rFonts w:ascii="Courier New" w:cs="Courier New" w:eastAsia="Courier New" w:hAnsi="Courier New"/>
          <w:sz w:val="18"/>
          <w:szCs w:val="18"/>
          <w:color w:val="auto"/>
        </w:rPr>
        <w:t>(A leading manufacturer of hydraulic</w:t>
      </w:r>
    </w:p>
    <w:p>
      <w:pPr>
        <w:ind w:left="3060"/>
        <w:spacing w:after="0"/>
        <w:rPr>
          <w:sz w:val="20"/>
          <w:szCs w:val="20"/>
          <w:color w:val="auto"/>
        </w:rPr>
      </w:pPr>
      <w:r>
        <w:rPr>
          <w:rFonts w:ascii="Courier New" w:cs="Courier New" w:eastAsia="Courier New" w:hAnsi="Courier New"/>
          <w:sz w:val="18"/>
          <w:szCs w:val="18"/>
          <w:color w:val="auto"/>
        </w:rPr>
        <w:t>components, pre-engineered buildings</w:t>
      </w:r>
    </w:p>
    <w:p>
      <w:pPr>
        <w:ind w:left="3060"/>
        <w:spacing w:after="0" w:line="237" w:lineRule="auto"/>
        <w:rPr>
          <w:sz w:val="20"/>
          <w:szCs w:val="20"/>
          <w:color w:val="auto"/>
        </w:rPr>
      </w:pPr>
      <w:r>
        <w:rPr>
          <w:rFonts w:ascii="Courier New" w:cs="Courier New" w:eastAsia="Courier New" w:hAnsi="Courier New"/>
          <w:sz w:val="18"/>
          <w:szCs w:val="18"/>
          <w:color w:val="auto"/>
        </w:rPr>
        <w:t>and stamped metal products)</w:t>
      </w:r>
    </w:p>
    <w:p>
      <w:pPr>
        <w:ind w:left="3060"/>
        <w:spacing w:after="0"/>
        <w:rPr>
          <w:sz w:val="20"/>
          <w:szCs w:val="20"/>
          <w:color w:val="auto"/>
        </w:rPr>
      </w:pPr>
      <w:r>
        <w:rPr>
          <w:rFonts w:ascii="Courier New" w:cs="Courier New" w:eastAsia="Courier New" w:hAnsi="Courier New"/>
          <w:sz w:val="18"/>
          <w:szCs w:val="18"/>
          <w:color w:val="auto"/>
        </w:rPr>
        <w:t>Director of Global Marine Incorporated,</w:t>
      </w:r>
    </w:p>
    <w:p>
      <w:pPr>
        <w:ind w:left="3060"/>
        <w:spacing w:after="0" w:line="237" w:lineRule="auto"/>
        <w:rPr>
          <w:sz w:val="20"/>
          <w:szCs w:val="20"/>
          <w:color w:val="auto"/>
        </w:rPr>
      </w:pPr>
      <w:r>
        <w:rPr>
          <w:rFonts w:ascii="Courier New" w:cs="Courier New" w:eastAsia="Courier New" w:hAnsi="Courier New"/>
          <w:sz w:val="18"/>
          <w:szCs w:val="18"/>
          <w:color w:val="auto"/>
        </w:rPr>
        <w:t>First Energy Corporation, and</w:t>
      </w:r>
    </w:p>
    <w:p>
      <w:pPr>
        <w:ind w:left="3060"/>
        <w:spacing w:after="0"/>
        <w:rPr>
          <w:sz w:val="20"/>
          <w:szCs w:val="20"/>
          <w:color w:val="auto"/>
        </w:rPr>
      </w:pPr>
      <w:r>
        <w:rPr>
          <w:rFonts w:ascii="Courier New" w:cs="Courier New" w:eastAsia="Courier New" w:hAnsi="Courier New"/>
          <w:sz w:val="18"/>
          <w:szCs w:val="18"/>
          <w:color w:val="auto"/>
        </w:rPr>
        <w:t>York International Corporation</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A. Mellowes . . . . . . Chairman and</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Age 63</w:t>
      </w:r>
      <w:r>
        <w:rPr>
          <w:sz w:val="20"/>
          <w:szCs w:val="20"/>
          <w:color w:val="auto"/>
        </w:rPr>
        <w:tab/>
      </w:r>
      <w:r>
        <w:rPr>
          <w:rFonts w:ascii="Courier New" w:cs="Courier New" w:eastAsia="Courier New" w:hAnsi="Courier New"/>
          <w:sz w:val="16"/>
          <w:szCs w:val="16"/>
          <w:color w:val="auto"/>
        </w:rPr>
        <w:t>Chief Executive Officer,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Charter Manufacturing Co.,</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Mequon, Wisconsin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1999</w:t>
      </w:r>
    </w:p>
    <w:p>
      <w:pPr>
        <w:spacing w:after="0" w:line="628" w:lineRule="exact"/>
        <w:rPr>
          <w:sz w:val="20"/>
          <w:szCs w:val="20"/>
          <w:color w:val="auto"/>
        </w:rPr>
      </w:pPr>
    </w:p>
    <w:p>
      <w:pPr>
        <w:sectPr>
          <w:pgSz w:w="11900" w:h="16838" w:orient="portrait"/>
          <w:cols w:equalWidth="0" w:num="2">
            <w:col w:w="5920" w:space="720"/>
            <w:col w:w="3579"/>
          </w:cols>
          <w:pgMar w:left="240" w:top="312"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6"/>
          <w:szCs w:val="16"/>
          <w:color w:val="auto"/>
        </w:rPr>
        <w:t>(A privately held producer of bar,</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rod wire and wire parts)</w:t>
      </w:r>
    </w:p>
    <w:p>
      <w:pPr>
        <w:sectPr>
          <w:pgSz w:w="11900" w:h="16838" w:orient="portrait"/>
          <w:cols w:equalWidth="0" w:num="1">
            <w:col w:w="10219"/>
          </w:cols>
          <w:pgMar w:left="240" w:top="312"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tcPr>
          <w:p>
            <w:pPr>
              <w:ind w:left="120"/>
              <w:spacing w:after="0"/>
              <w:rPr>
                <w:sz w:val="20"/>
                <w:szCs w:val="20"/>
                <w:color w:val="auto"/>
              </w:rPr>
            </w:pPr>
            <w:r>
              <w:rPr>
                <w:rFonts w:ascii="Courier New" w:cs="Courier New" w:eastAsia="Courier New" w:hAnsi="Courier New"/>
                <w:sz w:val="18"/>
                <w:szCs w:val="18"/>
                <w:color w:val="auto"/>
              </w:rPr>
              <w:t>6</w:t>
            </w:r>
          </w:p>
        </w:tc>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780" w:type="dxa"/>
            <w:vAlign w:val="bottom"/>
          </w:tcPr>
          <w:p>
            <w:pPr>
              <w:ind w:left="40"/>
              <w:spacing w:after="0"/>
              <w:rPr>
                <w:sz w:val="20"/>
                <w:szCs w:val="20"/>
                <w:color w:val="auto"/>
              </w:rPr>
            </w:pPr>
            <w:r>
              <w:rPr>
                <w:rFonts w:ascii="Courier New" w:cs="Courier New" w:eastAsia="Courier New" w:hAnsi="Courier New"/>
                <w:sz w:val="18"/>
                <w:szCs w:val="18"/>
                <w:color w:val="auto"/>
              </w:rPr>
              <w:t>IN 2003: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Michael H. Joyce . . . . . .</w:t>
            </w:r>
          </w:p>
        </w:tc>
        <w:tc>
          <w:tcPr>
            <w:tcW w:w="3780" w:type="dxa"/>
            <w:vAlign w:val="bottom"/>
          </w:tcPr>
          <w:p>
            <w:pPr>
              <w:ind w:left="40"/>
              <w:spacing w:after="0"/>
              <w:rPr>
                <w:sz w:val="20"/>
                <w:szCs w:val="20"/>
                <w:color w:val="auto"/>
              </w:rPr>
            </w:pPr>
            <w:r>
              <w:rPr>
                <w:rFonts w:ascii="Courier New" w:cs="Courier New" w:eastAsia="Courier New" w:hAnsi="Courier New"/>
                <w:sz w:val="18"/>
                <w:szCs w:val="18"/>
                <w:color w:val="auto"/>
              </w:rPr>
              <w:t>President and</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October 1991</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60</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7060" w:type="dxa"/>
            <w:vAlign w:val="bottom"/>
            <w:gridSpan w:val="3"/>
          </w:tcPr>
          <w:p>
            <w:pPr>
              <w:spacing w:after="0"/>
              <w:rPr>
                <w:sz w:val="20"/>
                <w:szCs w:val="20"/>
                <w:color w:val="auto"/>
              </w:rPr>
            </w:pPr>
            <w:r>
              <w:rPr>
                <w:rFonts w:ascii="Courier New" w:cs="Courier New" w:eastAsia="Courier New" w:hAnsi="Courier New"/>
                <w:sz w:val="18"/>
                <w:szCs w:val="18"/>
                <w:color w:val="auto"/>
                <w:w w:val="98"/>
              </w:rPr>
              <w:t>David B. Rayburn . . . . . . Executive Vice President - Operations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July 2000</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53</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Modine Manufacturing Company,</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Racine, Wisconsin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heat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 equipment)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George E. Wardeberg . . . .</w:t>
            </w:r>
          </w:p>
        </w:tc>
        <w:tc>
          <w:tcPr>
            <w:tcW w:w="3780" w:type="dxa"/>
            <w:vAlign w:val="bottom"/>
          </w:tcPr>
          <w:p>
            <w:pPr>
              <w:ind w:left="40"/>
              <w:spacing w:after="0"/>
              <w:rPr>
                <w:sz w:val="20"/>
                <w:szCs w:val="20"/>
                <w:color w:val="auto"/>
              </w:rPr>
            </w:pPr>
            <w:r>
              <w:rPr>
                <w:rFonts w:ascii="Courier New" w:cs="Courier New" w:eastAsia="Courier New" w:hAnsi="Courier New"/>
                <w:sz w:val="18"/>
                <w:szCs w:val="18"/>
                <w:color w:val="auto"/>
              </w:rPr>
              <w:t>Vice Chairman</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July 1997</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66</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Wisconsin Energy Corporation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 holding company with subsidiaries in</w:t>
            </w: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utility and non-utility businesses)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Marshall &amp; Ilsley Corporation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 EXPIRE</w:t>
            </w:r>
          </w:p>
        </w:tc>
        <w:tc>
          <w:tcPr>
            <w:tcW w:w="3780" w:type="dxa"/>
            <w:vAlign w:val="bottom"/>
          </w:tcPr>
          <w:p>
            <w:pPr>
              <w:ind w:left="40"/>
              <w:spacing w:after="0"/>
              <w:rPr>
                <w:sz w:val="20"/>
                <w:szCs w:val="20"/>
                <w:color w:val="auto"/>
              </w:rPr>
            </w:pPr>
            <w:r>
              <w:rPr>
                <w:rFonts w:ascii="Courier New" w:cs="Courier New" w:eastAsia="Courier New" w:hAnsi="Courier New"/>
                <w:sz w:val="18"/>
                <w:szCs w:val="18"/>
                <w:color w:val="auto"/>
              </w:rPr>
              <w:t>IN 2002: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Michael E. Batten . . . . .</w:t>
            </w:r>
          </w:p>
        </w:tc>
        <w:tc>
          <w:tcPr>
            <w:tcW w:w="40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Chairman and Chief Executive Officer,</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May 1974</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61</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Briggs &amp; Stratton Corporation,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Sensient Technologies Corporation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David L. Swift . . . . . . . Former Chairman, President and</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July 1995</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64</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Acme-Cleveland Corporation,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Pepper Pike, Ohio</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diversified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industrial products)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4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Alltrista Corporation, LESCO, Inc. and</w:t>
            </w: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Cuno Incorporated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David R. Zimmer. . . . . . . Chief Executive Officer,</w:t>
            </w:r>
          </w:p>
        </w:tc>
        <w:tc>
          <w:tcPr>
            <w:tcW w:w="2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July 1995</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55</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Twitchell Corporation,</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Dothan, AL</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privately held manufacturer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marketer of highly engineered,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3060"/>
        <w:spacing w:after="0" w:line="238" w:lineRule="auto"/>
        <w:rPr>
          <w:sz w:val="20"/>
          <w:szCs w:val="20"/>
          <w:color w:val="auto"/>
        </w:rPr>
      </w:pPr>
      <w:r>
        <w:rPr>
          <w:rFonts w:ascii="Courier New" w:cs="Courier New" w:eastAsia="Courier New" w:hAnsi="Courier New"/>
          <w:sz w:val="18"/>
          <w:szCs w:val="18"/>
          <w:color w:val="auto"/>
        </w:rPr>
        <w:t>synthetic yarns, fabrics, extrusions,</w:t>
      </w:r>
    </w:p>
    <w:p>
      <w:pPr>
        <w:ind w:left="3060"/>
        <w:spacing w:after="0"/>
        <w:rPr>
          <w:sz w:val="20"/>
          <w:szCs w:val="20"/>
          <w:color w:val="auto"/>
        </w:rPr>
      </w:pPr>
      <w:r>
        <w:rPr>
          <w:rFonts w:ascii="Courier New" w:cs="Courier New" w:eastAsia="Courier New" w:hAnsi="Courier New"/>
          <w:sz w:val="18"/>
          <w:szCs w:val="18"/>
          <w:color w:val="auto"/>
        </w:rPr>
        <w:t>and coatings)</w:t>
      </w:r>
    </w:p>
    <w:p>
      <w:pPr>
        <w:ind w:left="3060"/>
        <w:spacing w:after="0" w:line="237" w:lineRule="auto"/>
        <w:rPr>
          <w:sz w:val="20"/>
          <w:szCs w:val="20"/>
          <w:color w:val="auto"/>
        </w:rPr>
      </w:pPr>
      <w:r>
        <w:rPr>
          <w:rFonts w:ascii="Courier New" w:cs="Courier New" w:eastAsia="Courier New" w:hAnsi="Courier New"/>
          <w:sz w:val="18"/>
          <w:szCs w:val="18"/>
          <w:color w:val="auto"/>
        </w:rPr>
        <w:t>Also Director,</w:t>
      </w:r>
    </w:p>
    <w:p>
      <w:pPr>
        <w:ind w:left="3060"/>
        <w:spacing w:after="0" w:line="238" w:lineRule="auto"/>
        <w:rPr>
          <w:sz w:val="20"/>
          <w:szCs w:val="20"/>
          <w:color w:val="auto"/>
        </w:rPr>
      </w:pPr>
      <w:r>
        <w:rPr>
          <w:rFonts w:ascii="Courier New" w:cs="Courier New" w:eastAsia="Courier New" w:hAnsi="Courier New"/>
          <w:sz w:val="18"/>
          <w:szCs w:val="18"/>
          <w:color w:val="auto"/>
        </w:rPr>
        <w:t>Detrex Corporation</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ind w:left="2540"/>
        <w:spacing w:after="0" w:line="238" w:lineRule="auto"/>
        <w:rPr>
          <w:sz w:val="20"/>
          <w:szCs w:val="20"/>
          <w:color w:val="auto"/>
        </w:rPr>
      </w:pPr>
      <w:r>
        <w:rPr>
          <w:rFonts w:ascii="Courier New" w:cs="Courier New" w:eastAsia="Courier New" w:hAnsi="Courier New"/>
          <w:sz w:val="18"/>
          <w:szCs w:val="18"/>
          <w:color w:val="auto"/>
        </w:rPr>
        <w:t>DIRECTOR COMMITTEES AND ATTENDANCE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MEETINGS AND ATTENDANCE</w:t>
      </w:r>
    </w:p>
    <w:p>
      <w:pPr>
        <w:spacing w:after="0" w:line="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Corporation's Board of Directors met 6 times during the year ended June 30, 2001. There were two absences from these meetings.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COMMITTEE MEETINGS AND ATTENDANCE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Executive Selection and Salary and Audit Committees met 1 and 3 times respectively, during the year. The Director Nominating and Board Affairs Committee did not meet during the year. The Pension and Finance Committees met 2 times during the year. Each Director attended at least 75% of the meetings requiring his attendance.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spacing w:after="0" w:line="238" w:lineRule="auto"/>
        <w:rPr>
          <w:sz w:val="20"/>
          <w:szCs w:val="20"/>
          <w:color w:val="auto"/>
        </w:rPr>
      </w:pPr>
      <w:r>
        <w:rPr>
          <w:rFonts w:ascii="Courier New" w:cs="Courier New" w:eastAsia="Courier New" w:hAnsi="Courier New"/>
          <w:sz w:val="18"/>
          <w:szCs w:val="18"/>
          <w:color w:val="auto"/>
        </w:rPr>
        <w:t>Audit Committee</w:t>
      </w:r>
    </w:p>
    <w:p>
      <w:pPr>
        <w:spacing w:after="0" w:line="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Audit Committee reviews with the Corporation's Internal Auditor and Independent Public Accountants their activities, reports and comments, and recommends to the Board any action which it deems appropriate. The Committee recommends to the Board the selection of auditors.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Finance Committee considers management's proposed financial policies and actions, and makes appropriate recommendations to the Board regarding: Debt and capital structure, acquisitions, capital budgets, dividend policy and other financial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Nominating and Board Affairs Committee</w:t>
      </w:r>
    </w:p>
    <w:p>
      <w:pPr>
        <w:spacing w:after="0" w:line="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Nominating and Board Affairs Committee recommends nominees for the Board to the Board of Directors. The Committee will consider nominees recommended by shareholders in writing to the Secretary. In addition, the Committee reviews proposed changes in corporate structure and governance, committee structure and function, and meeting schedules, making recommendations to the Board as appropriate.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Executive Selection and Salary Committee reviews nominees for Corporate offices and related compensation levels, making recommendations to the Board of Directors as considered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ind w:left="540"/>
        <w:spacing w:after="0" w:line="238" w:lineRule="auto"/>
        <w:rPr>
          <w:sz w:val="20"/>
          <w:szCs w:val="20"/>
          <w:color w:val="auto"/>
        </w:rPr>
      </w:pPr>
      <w:r>
        <w:rPr>
          <w:rFonts w:ascii="Courier New" w:cs="Courier New" w:eastAsia="Courier New" w:hAnsi="Courier New"/>
          <w:sz w:val="18"/>
          <w:szCs w:val="18"/>
          <w:color w:val="auto"/>
        </w:rPr>
        <w:t>The Directors' committees are currently comprised of the following</w:t>
      </w:r>
    </w:p>
    <w:tbl>
      <w:tblPr>
        <w:tblLayout w:type="fixed"/>
        <w:tblInd w:w="0" w:type="dxa"/>
        <w:tblCellMar>
          <w:top w:w="0" w:type="dxa"/>
          <w:left w:w="0" w:type="dxa"/>
          <w:bottom w:w="0" w:type="dxa"/>
          <w:right w:w="0" w:type="dxa"/>
        </w:tblCellMar>
      </w:tblPr>
      <w:tr>
        <w:trPr>
          <w:trHeight w:val="203"/>
        </w:trPr>
        <w:tc>
          <w:tcPr>
            <w:tcW w:w="6380" w:type="dxa"/>
            <w:vAlign w:val="bottom"/>
            <w:gridSpan w:val="4"/>
          </w:tcPr>
          <w:p>
            <w:pPr>
              <w:spacing w:after="0"/>
              <w:rPr>
                <w:sz w:val="20"/>
                <w:szCs w:val="20"/>
                <w:color w:val="auto"/>
              </w:rPr>
            </w:pPr>
            <w:r>
              <w:rPr>
                <w:rFonts w:ascii="Courier New" w:cs="Courier New" w:eastAsia="Courier New" w:hAnsi="Courier New"/>
                <w:sz w:val="18"/>
                <w:szCs w:val="18"/>
                <w:color w:val="auto"/>
              </w:rPr>
              <w:t>Directors; the Chairman of the Committee is listed first:</w:t>
            </w:r>
          </w:p>
        </w:tc>
        <w:tc>
          <w:tcPr>
            <w:tcW w:w="17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w:t>
            </w:r>
          </w:p>
        </w:tc>
        <w:tc>
          <w:tcPr>
            <w:tcW w:w="17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Selection</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Finance</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Pension</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Salary</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Board Affairs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 - -</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 - -</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 - - -</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 - - - - - -</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Swift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Wardeberg</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Zimmer</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Powers</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Mellowes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Mellowes</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Powers</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Mellowes</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Swift</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Powers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Rayburn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Rayburn</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Rayburn</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Zimmer</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Zimmer</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Wardeberg</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Swift</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Wardeberg</w:t>
            </w:r>
          </w:p>
        </w:tc>
        <w:tc>
          <w:tcPr>
            <w:tcW w:w="2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Joyce</w:t>
            </w:r>
          </w:p>
        </w:tc>
        <w:tc>
          <w:tcPr>
            <w:tcW w:w="2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Parrish</w:t>
            </w:r>
          </w:p>
        </w:tc>
        <w:tc>
          <w:tcPr>
            <w:tcW w:w="226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Corporation's Chief Executive Officer and the 4 most highly paid executive officers for the 3 fiscal years ended June 30, 1999, 2000, and 2001, respectively.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SUMMARY COMPENSATION TABLE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Annual</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Long-Term</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Compensation</w:t>
            </w:r>
          </w:p>
        </w:tc>
        <w:tc>
          <w:tcPr>
            <w:tcW w:w="14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Compensation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 - - - - -</w:t>
            </w:r>
          </w:p>
        </w:tc>
        <w:tc>
          <w:tcPr>
            <w:tcW w:w="14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 - - - - -</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Stock</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All Other</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Salary</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Bonus</w:t>
            </w:r>
          </w:p>
        </w:tc>
        <w:tc>
          <w:tcPr>
            <w:tcW w:w="2940" w:type="dxa"/>
            <w:vAlign w:val="bottom"/>
            <w:gridSpan w:val="4"/>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Options  Compensation</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 - - - - - - - -</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 - -</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 - - -</w:t>
            </w:r>
          </w:p>
        </w:tc>
        <w:tc>
          <w:tcPr>
            <w:tcW w:w="280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w w:val="96"/>
              </w:rPr>
              <w:t>- - - -  - - - - - - - -</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$358,721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$174,141</w:t>
            </w:r>
          </w:p>
        </w:tc>
        <w:tc>
          <w:tcPr>
            <w:tcW w:w="140" w:type="dxa"/>
            <w:vAlign w:val="bottom"/>
          </w:tcPr>
          <w:p>
            <w:pPr>
              <w:spacing w:after="0"/>
              <w:rPr>
                <w:sz w:val="24"/>
                <w:szCs w:val="2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8"/>
                <w:szCs w:val="18"/>
                <w:color w:val="auto"/>
              </w:rPr>
              <w:t>6,000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17,366</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345,000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119,800</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6,000</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12,503</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345,000</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9,000</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21,539</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$267,107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$103,785</w:t>
            </w:r>
          </w:p>
        </w:tc>
        <w:tc>
          <w:tcPr>
            <w:tcW w:w="140" w:type="dxa"/>
            <w:vAlign w:val="bottom"/>
          </w:tcPr>
          <w:p>
            <w:pPr>
              <w:spacing w:after="0"/>
              <w:rPr>
                <w:sz w:val="24"/>
                <w:szCs w:val="2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8"/>
                <w:szCs w:val="18"/>
                <w:color w:val="auto"/>
              </w:rPr>
              <w:t>3,000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8,665</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263,154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59,400</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3,000</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5,921</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259,100</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4,500</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7,532</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$180,312</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$ 52,553</w:t>
            </w:r>
          </w:p>
        </w:tc>
        <w:tc>
          <w:tcPr>
            <w:tcW w:w="140" w:type="dxa"/>
            <w:vAlign w:val="bottom"/>
          </w:tcPr>
          <w:p>
            <w:pPr>
              <w:spacing w:after="0"/>
              <w:rPr>
                <w:sz w:val="24"/>
                <w:szCs w:val="2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8"/>
                <w:szCs w:val="18"/>
                <w:color w:val="auto"/>
              </w:rPr>
              <w:t>2,500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9,454</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171,600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35,700</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2,000</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9,720</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&amp;</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169,425</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2,500</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8,878</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Treasurer</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Paul A. Pelligrino</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$141,949</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$ 34,446</w:t>
            </w:r>
          </w:p>
        </w:tc>
        <w:tc>
          <w:tcPr>
            <w:tcW w:w="140" w:type="dxa"/>
            <w:vAlign w:val="bottom"/>
          </w:tcPr>
          <w:p>
            <w:pPr>
              <w:spacing w:after="0"/>
              <w:rPr>
                <w:sz w:val="24"/>
                <w:szCs w:val="2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8"/>
                <w:szCs w:val="18"/>
                <w:color w:val="auto"/>
              </w:rPr>
              <w:t>2,000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6,220</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134,846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24,400</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2,000</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6,068</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129,615</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2,500</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6,728</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$135,404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$ 39,645</w:t>
            </w:r>
          </w:p>
        </w:tc>
        <w:tc>
          <w:tcPr>
            <w:tcW w:w="140" w:type="dxa"/>
            <w:vAlign w:val="bottom"/>
          </w:tcPr>
          <w:p>
            <w:pPr>
              <w:spacing w:after="0"/>
              <w:rPr>
                <w:sz w:val="24"/>
                <w:szCs w:val="2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8"/>
                <w:szCs w:val="18"/>
                <w:color w:val="auto"/>
              </w:rPr>
              <w:t>5,000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59,184</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Manufacturing</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Represents annual incentive bonuses determined by the Board of Directors. See"Board Executive Selection and Salary Committee Report on Executive Compensation-Annual Incentives". Bonuses represent amounts earned during the fiscal year and are paid in the subsequent fiscal year.</w:t>
      </w:r>
    </w:p>
    <w:p>
      <w:pPr>
        <w:spacing w:after="0" w:line="207" w:lineRule="exact"/>
        <w:rPr>
          <w:sz w:val="20"/>
          <w:szCs w:val="20"/>
          <w:color w:val="auto"/>
        </w:rPr>
      </w:pPr>
    </w:p>
    <w:p>
      <w:pPr>
        <w:ind w:right="2519" w:firstLine="105"/>
        <w:spacing w:after="0" w:line="236" w:lineRule="auto"/>
        <w:rPr>
          <w:sz w:val="20"/>
          <w:szCs w:val="20"/>
          <w:color w:val="auto"/>
        </w:rPr>
      </w:pPr>
      <w:r>
        <w:rPr>
          <w:rFonts w:ascii="Courier New" w:cs="Courier New" w:eastAsia="Courier New" w:hAnsi="Courier New"/>
          <w:sz w:val="18"/>
          <w:szCs w:val="18"/>
          <w:color w:val="auto"/>
        </w:rPr>
        <w:t>Amounts are comprised of Corporation's 401(k) matching contributions and Corporation paid life insurance includible in income, included for Mr. Feiertag is a one-time bonus and upon commencement of employment.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summarizes option grants during fiscal year 2001 to the executive officers named in the Summary Compensation Table above, and the potential realizable values at assumed annual rates of stock price appreciation for the applicable 5 or 10 year option term.</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Potential</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Realizable Value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at Assumed Annual Rates</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1380" w:type="dxa"/>
            <w:vAlign w:val="bottom"/>
          </w:tcPr>
          <w:p>
            <w:pPr>
              <w:spacing w:after="0"/>
              <w:rPr>
                <w:sz w:val="17"/>
                <w:szCs w:val="17"/>
                <w:color w:val="auto"/>
              </w:rPr>
            </w:pP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Individual</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Grants</w:t>
            </w:r>
          </w:p>
        </w:tc>
        <w:tc>
          <w:tcPr>
            <w:tcW w:w="122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Option Term</w:t>
            </w:r>
          </w:p>
        </w:tc>
      </w:tr>
      <w:tr>
        <w:trPr>
          <w:trHeight w:val="203"/>
        </w:trPr>
        <w:tc>
          <w:tcPr>
            <w:tcW w:w="138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of Total</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jc w:val="center"/>
              <w:ind w:right="133"/>
              <w:spacing w:after="0" w:line="203" w:lineRule="exact"/>
              <w:rPr>
                <w:sz w:val="20"/>
                <w:szCs w:val="20"/>
                <w:color w:val="auto"/>
              </w:rPr>
            </w:pPr>
            <w:r>
              <w:rPr>
                <w:rFonts w:ascii="Courier New" w:cs="Courier New" w:eastAsia="Courier New" w:hAnsi="Courier New"/>
                <w:sz w:val="18"/>
                <w:szCs w:val="18"/>
                <w:color w:val="auto"/>
                <w:w w:val="97"/>
              </w:rPr>
              <w:t>Options</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Expiration</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w:t>
            </w:r>
          </w:p>
        </w:tc>
        <w:tc>
          <w:tcPr>
            <w:tcW w:w="2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Granted Employees</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Price  Date</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360" w:type="dxa"/>
            <w:vAlign w:val="bottom"/>
          </w:tcPr>
          <w:p>
            <w:pPr>
              <w:jc w:val="center"/>
              <w:ind w:right="113"/>
              <w:spacing w:after="0"/>
              <w:rPr>
                <w:sz w:val="20"/>
                <w:szCs w:val="20"/>
                <w:color w:val="auto"/>
              </w:rPr>
            </w:pPr>
            <w:r>
              <w:rPr>
                <w:rFonts w:ascii="Courier New" w:cs="Courier New" w:eastAsia="Courier New" w:hAnsi="Courier New"/>
                <w:sz w:val="18"/>
                <w:szCs w:val="18"/>
                <w:color w:val="auto"/>
                <w:w w:val="96"/>
              </w:rPr>
              <w:t>3,000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w:t>
            </w:r>
          </w:p>
        </w:tc>
        <w:tc>
          <w:tcPr>
            <w:tcW w:w="3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$17.8125</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8/04/05</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14,764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$ 85,166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1360" w:type="dxa"/>
            <w:vAlign w:val="bottom"/>
          </w:tcPr>
          <w:p>
            <w:pPr>
              <w:jc w:val="center"/>
              <w:ind w:right="113"/>
              <w:spacing w:after="0" w:line="203" w:lineRule="exact"/>
              <w:rPr>
                <w:sz w:val="20"/>
                <w:szCs w:val="20"/>
                <w:color w:val="auto"/>
              </w:rPr>
            </w:pPr>
            <w:r>
              <w:rPr>
                <w:rFonts w:ascii="Courier New" w:cs="Courier New" w:eastAsia="Courier New" w:hAnsi="Courier New"/>
                <w:sz w:val="18"/>
                <w:szCs w:val="18"/>
                <w:color w:val="auto"/>
                <w:w w:val="96"/>
              </w:rPr>
              <w:t>3,000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19.5937</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8/04/10</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36,968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93,683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360" w:type="dxa"/>
            <w:vAlign w:val="bottom"/>
          </w:tcPr>
          <w:p>
            <w:pPr>
              <w:jc w:val="center"/>
              <w:ind w:right="113"/>
              <w:spacing w:after="0" w:line="203" w:lineRule="exact"/>
              <w:rPr>
                <w:sz w:val="20"/>
                <w:szCs w:val="20"/>
                <w:color w:val="auto"/>
              </w:rPr>
            </w:pPr>
            <w:r>
              <w:rPr>
                <w:rFonts w:ascii="Courier New" w:cs="Courier New" w:eastAsia="Courier New" w:hAnsi="Courier New"/>
                <w:sz w:val="18"/>
                <w:szCs w:val="18"/>
                <w:color w:val="auto"/>
                <w:w w:val="96"/>
              </w:rPr>
              <w:t>3,000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17.8125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8/04/10</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33,607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85,166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360" w:type="dxa"/>
            <w:vAlign w:val="bottom"/>
          </w:tcPr>
          <w:p>
            <w:pPr>
              <w:jc w:val="center"/>
              <w:ind w:right="113"/>
              <w:spacing w:after="0" w:line="203" w:lineRule="exact"/>
              <w:rPr>
                <w:sz w:val="20"/>
                <w:szCs w:val="20"/>
                <w:color w:val="auto"/>
              </w:rPr>
            </w:pPr>
            <w:r>
              <w:rPr>
                <w:rFonts w:ascii="Courier New" w:cs="Courier New" w:eastAsia="Courier New" w:hAnsi="Courier New"/>
                <w:sz w:val="18"/>
                <w:szCs w:val="18"/>
                <w:color w:val="auto"/>
                <w:w w:val="96"/>
              </w:rPr>
              <w:t>2,500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17.8125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8/04/10</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28,005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70,971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 Pelligrino</w:t>
            </w:r>
          </w:p>
        </w:tc>
        <w:tc>
          <w:tcPr>
            <w:tcW w:w="1360" w:type="dxa"/>
            <w:vAlign w:val="bottom"/>
          </w:tcPr>
          <w:p>
            <w:pPr>
              <w:jc w:val="center"/>
              <w:ind w:right="113"/>
              <w:spacing w:after="0" w:line="203" w:lineRule="exact"/>
              <w:rPr>
                <w:sz w:val="20"/>
                <w:szCs w:val="20"/>
                <w:color w:val="auto"/>
              </w:rPr>
            </w:pPr>
            <w:r>
              <w:rPr>
                <w:rFonts w:ascii="Courier New" w:cs="Courier New" w:eastAsia="Courier New" w:hAnsi="Courier New"/>
                <w:sz w:val="18"/>
                <w:szCs w:val="18"/>
                <w:color w:val="auto"/>
                <w:w w:val="96"/>
              </w:rPr>
              <w:t>2,000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17.8125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8/04/10</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56,777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Feiertag</w:t>
            </w:r>
          </w:p>
        </w:tc>
        <w:tc>
          <w:tcPr>
            <w:tcW w:w="1360" w:type="dxa"/>
            <w:vAlign w:val="bottom"/>
          </w:tcPr>
          <w:p>
            <w:pPr>
              <w:jc w:val="center"/>
              <w:ind w:right="113"/>
              <w:spacing w:after="0" w:line="203" w:lineRule="exact"/>
              <w:rPr>
                <w:sz w:val="20"/>
                <w:szCs w:val="20"/>
                <w:color w:val="auto"/>
              </w:rPr>
            </w:pPr>
            <w:r>
              <w:rPr>
                <w:rFonts w:ascii="Courier New" w:cs="Courier New" w:eastAsia="Courier New" w:hAnsi="Courier New"/>
                <w:sz w:val="18"/>
                <w:szCs w:val="18"/>
                <w:color w:val="auto"/>
                <w:w w:val="96"/>
              </w:rPr>
              <w:t>5,000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17.8125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10/23/10</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49,132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124,511</w:t>
            </w:r>
          </w:p>
        </w:tc>
      </w:tr>
    </w:tbl>
    <w:p>
      <w:pPr>
        <w:spacing w:after="0" w:line="200" w:lineRule="exact"/>
        <w:rPr>
          <w:sz w:val="20"/>
          <w:szCs w:val="20"/>
          <w:color w:val="auto"/>
        </w:rPr>
      </w:pPr>
    </w:p>
    <w:p>
      <w:pPr>
        <w:spacing w:after="0" w:line="209" w:lineRule="exact"/>
        <w:rPr>
          <w:sz w:val="20"/>
          <w:szCs w:val="20"/>
          <w:color w:val="auto"/>
        </w:rPr>
      </w:pPr>
    </w:p>
    <w:p>
      <w:pPr>
        <w:ind w:right="2319" w:firstLine="105"/>
        <w:spacing w:after="0" w:line="237" w:lineRule="auto"/>
        <w:rPr>
          <w:sz w:val="20"/>
          <w:szCs w:val="20"/>
          <w:color w:val="auto"/>
        </w:rPr>
      </w:pPr>
      <w:r>
        <w:rPr>
          <w:rFonts w:ascii="Courier New" w:cs="Courier New" w:eastAsia="Courier New" w:hAnsi="Courier New"/>
          <w:sz w:val="18"/>
          <w:szCs w:val="18"/>
          <w:color w:val="auto"/>
        </w:rPr>
        <w:t>During the fiscal year ended June 30, 2001, a total of 42,550 options were granted to officers, key employees and directors, with 35,550 granted under the 1998 Incentive Compensation Plan, and 7,000 options granted under the 1998 Stock Option Plan for Non-Employee Directors.</w:t>
      </w:r>
    </w:p>
    <w:p>
      <w:pPr>
        <w:spacing w:after="0" w:line="207" w:lineRule="exact"/>
        <w:rPr>
          <w:sz w:val="20"/>
          <w:szCs w:val="20"/>
          <w:color w:val="auto"/>
        </w:rPr>
      </w:pPr>
    </w:p>
    <w:p>
      <w:pPr>
        <w:jc w:val="both"/>
        <w:ind w:right="2419" w:firstLine="105"/>
        <w:spacing w:after="0" w:line="236" w:lineRule="auto"/>
        <w:rPr>
          <w:sz w:val="20"/>
          <w:szCs w:val="20"/>
          <w:color w:val="auto"/>
        </w:rPr>
      </w:pPr>
      <w:r>
        <w:rPr>
          <w:rFonts w:ascii="Courier New" w:cs="Courier New" w:eastAsia="Courier New" w:hAnsi="Courier New"/>
          <w:sz w:val="18"/>
          <w:szCs w:val="18"/>
          <w:color w:val="auto"/>
        </w:rPr>
        <w:t>The exercise price is the fair market value on the date of grant, except for incentive stock options granted to Mr. Batten which are exercisable at 110% of the fair market value at date of grant.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AGGREGATED OPTION EXERCISES IN</w:t>
      </w:r>
    </w:p>
    <w:p>
      <w:pPr>
        <w:ind w:left="1900"/>
        <w:spacing w:after="0" w:line="238" w:lineRule="auto"/>
        <w:rPr>
          <w:sz w:val="20"/>
          <w:szCs w:val="20"/>
          <w:color w:val="auto"/>
        </w:rPr>
      </w:pPr>
      <w:r>
        <w:rPr>
          <w:rFonts w:ascii="Courier New" w:cs="Courier New" w:eastAsia="Courier New" w:hAnsi="Courier New"/>
          <w:sz w:val="18"/>
          <w:szCs w:val="18"/>
          <w:color w:val="auto"/>
        </w:rPr>
        <w:t>LAST FISCAL YEAR AND YEAR-END OPTION VALUES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2001 by the named executive officers and the value of such officers' unexercised options at June 30, 2001.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gridSpan w:val="2"/>
          </w:tcPr>
          <w:p>
            <w:pPr>
              <w:jc w:val="center"/>
              <w:ind w:left="212"/>
              <w:spacing w:after="0"/>
              <w:rPr>
                <w:sz w:val="20"/>
                <w:szCs w:val="20"/>
                <w:color w:val="auto"/>
              </w:rPr>
            </w:pPr>
            <w:r>
              <w:rPr>
                <w:rFonts w:ascii="Courier New" w:cs="Courier New" w:eastAsia="Courier New" w:hAnsi="Courier New"/>
                <w:sz w:val="18"/>
                <w:szCs w:val="18"/>
                <w:color w:val="auto"/>
                <w:w w:val="97"/>
              </w:rPr>
              <w:t>Total Number</w:t>
            </w:r>
          </w:p>
        </w:tc>
        <w:tc>
          <w:tcPr>
            <w:tcW w:w="580" w:type="dxa"/>
            <w:vAlign w:val="bottom"/>
          </w:tcPr>
          <w:p>
            <w:pPr>
              <w:spacing w:after="0"/>
              <w:rPr>
                <w:sz w:val="17"/>
                <w:szCs w:val="17"/>
                <w:color w:val="auto"/>
              </w:rPr>
            </w:pPr>
          </w:p>
        </w:tc>
        <w:tc>
          <w:tcPr>
            <w:tcW w:w="26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Total Value</w:t>
            </w:r>
          </w:p>
        </w:tc>
      </w:tr>
      <w:tr>
        <w:trPr>
          <w:trHeight w:val="203"/>
        </w:trPr>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of Unexercised</w:t>
            </w:r>
          </w:p>
        </w:tc>
        <w:tc>
          <w:tcPr>
            <w:tcW w:w="580" w:type="dxa"/>
            <w:vAlign w:val="bottom"/>
          </w:tcPr>
          <w:p>
            <w:pPr>
              <w:spacing w:after="0"/>
              <w:rPr>
                <w:sz w:val="17"/>
                <w:szCs w:val="17"/>
                <w:color w:val="auto"/>
              </w:rPr>
            </w:pPr>
          </w:p>
        </w:tc>
        <w:tc>
          <w:tcPr>
            <w:tcW w:w="2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of Unexercised,</w:t>
            </w:r>
          </w:p>
        </w:tc>
      </w:tr>
      <w:tr>
        <w:trPr>
          <w:trHeight w:val="203"/>
        </w:trPr>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Options Held</w:t>
            </w:r>
          </w:p>
        </w:tc>
        <w:tc>
          <w:tcPr>
            <w:tcW w:w="580" w:type="dxa"/>
            <w:vAlign w:val="bottom"/>
          </w:tcPr>
          <w:p>
            <w:pPr>
              <w:spacing w:after="0"/>
              <w:rPr>
                <w:sz w:val="17"/>
                <w:szCs w:val="17"/>
                <w:color w:val="auto"/>
              </w:rPr>
            </w:pPr>
          </w:p>
        </w:tc>
        <w:tc>
          <w:tcPr>
            <w:tcW w:w="2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06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c>
          <w:tcPr>
            <w:tcW w:w="1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 Fiscal Year</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End</w:t>
            </w:r>
          </w:p>
        </w:tc>
        <w:tc>
          <w:tcPr>
            <w:tcW w:w="2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Held at Fiscal Year End</w:t>
            </w:r>
          </w:p>
        </w:tc>
      </w:tr>
      <w:tr>
        <w:trPr>
          <w:trHeight w:val="203"/>
        </w:trPr>
        <w:tc>
          <w:tcPr>
            <w:tcW w:w="106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Acquired on</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Real-</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w:t>
            </w: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Unexer-</w:t>
            </w:r>
          </w:p>
        </w:tc>
        <w:tc>
          <w:tcPr>
            <w:tcW w:w="1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Exer-</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Exercise</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ized</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cisable</w:t>
            </w: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cisable</w:t>
            </w:r>
          </w:p>
        </w:tc>
        <w:tc>
          <w:tcPr>
            <w:tcW w:w="1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cisable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800" w:type="dxa"/>
            <w:vAlign w:val="bottom"/>
          </w:tcPr>
          <w:p>
            <w:pPr>
              <w:spacing w:after="0"/>
              <w:rPr>
                <w:sz w:val="24"/>
                <w:szCs w:val="24"/>
                <w:color w:val="auto"/>
              </w:rPr>
            </w:pPr>
          </w:p>
        </w:tc>
        <w:tc>
          <w:tcPr>
            <w:tcW w:w="5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59,500</w:t>
            </w:r>
          </w:p>
        </w:tc>
        <w:tc>
          <w:tcPr>
            <w:tcW w:w="6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ind w:left="260"/>
              <w:spacing w:after="0"/>
              <w:rPr>
                <w:sz w:val="20"/>
                <w:szCs w:val="20"/>
                <w:color w:val="auto"/>
              </w:rPr>
            </w:pPr>
            <w:r>
              <w:rPr>
                <w:rFonts w:ascii="Courier New" w:cs="Courier New" w:eastAsia="Courier New" w:hAnsi="Courier New"/>
                <w:sz w:val="18"/>
                <w:szCs w:val="18"/>
                <w:color w:val="auto"/>
              </w:rPr>
              <w:t>$  0</w:t>
            </w:r>
          </w:p>
        </w:tc>
        <w:tc>
          <w:tcPr>
            <w:tcW w:w="1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800" w:type="dxa"/>
            <w:vAlign w:val="bottom"/>
          </w:tcPr>
          <w:p>
            <w:pPr>
              <w:spacing w:after="0"/>
              <w:rPr>
                <w:sz w:val="17"/>
                <w:szCs w:val="17"/>
                <w:color w:val="auto"/>
              </w:rPr>
            </w:pPr>
          </w:p>
        </w:tc>
        <w:tc>
          <w:tcPr>
            <w:tcW w:w="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36,500</w:t>
            </w:r>
          </w:p>
        </w:tc>
        <w:tc>
          <w:tcPr>
            <w:tcW w:w="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 Parrish</w:t>
            </w:r>
          </w:p>
        </w:tc>
        <w:tc>
          <w:tcPr>
            <w:tcW w:w="800" w:type="dxa"/>
            <w:vAlign w:val="bottom"/>
          </w:tcPr>
          <w:p>
            <w:pPr>
              <w:spacing w:after="0"/>
              <w:rPr>
                <w:sz w:val="17"/>
                <w:szCs w:val="17"/>
                <w:color w:val="auto"/>
              </w:rPr>
            </w:pPr>
          </w:p>
        </w:tc>
        <w:tc>
          <w:tcPr>
            <w:tcW w:w="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22,300</w:t>
            </w:r>
          </w:p>
        </w:tc>
        <w:tc>
          <w:tcPr>
            <w:tcW w:w="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925</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 Pelligrino</w:t>
            </w:r>
          </w:p>
        </w:tc>
        <w:tc>
          <w:tcPr>
            <w:tcW w:w="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9,000</w:t>
            </w:r>
          </w:p>
        </w:tc>
        <w:tc>
          <w:tcPr>
            <w:tcW w:w="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 Feiertag</w:t>
            </w:r>
          </w:p>
        </w:tc>
        <w:tc>
          <w:tcPr>
            <w:tcW w:w="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64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1,125</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Retirement Income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Plan</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w:t>
            </w:r>
          </w:p>
        </w:tc>
        <w:tc>
          <w:tcPr>
            <w:tcW w:w="3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Twin Disc, Inc., Retirement Plan</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 Salaried</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Employees provides non-</w:t>
            </w:r>
          </w:p>
        </w:tc>
      </w:tr>
      <w:tr>
        <w:trPr>
          <w:trHeight w:val="203"/>
        </w:trPr>
        <w:tc>
          <w:tcPr>
            <w:tcW w:w="5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contributory benefits based upon both years of service</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and the employees'</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highest consecutive</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5-year average annual</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during</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last 10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calendar</w:t>
            </w:r>
          </w:p>
        </w:tc>
        <w:tc>
          <w:tcPr>
            <w:tcW w:w="4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years of service. The non-contributory</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benefits were</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frozen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31, 1996.</w:t>
            </w:r>
          </w:p>
        </w:tc>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Plan is integrated with</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Social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Security. The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following</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table presents the non-contributory benefits</w:t>
            </w:r>
          </w:p>
        </w:tc>
        <w:tc>
          <w:tcPr>
            <w:tcW w:w="35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payable for life under the Plan</w:t>
            </w:r>
          </w:p>
        </w:tc>
      </w:tr>
      <w:tr>
        <w:trPr>
          <w:trHeight w:val="203"/>
        </w:trPr>
        <w:tc>
          <w:tcPr>
            <w:tcW w:w="71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to employees assuming normal retirement in the current year.</w:t>
            </w:r>
          </w:p>
        </w:tc>
        <w:tc>
          <w:tcPr>
            <w:tcW w:w="110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AVERAGE HIGH</w:t>
            </w:r>
          </w:p>
        </w:tc>
        <w:tc>
          <w:tcPr>
            <w:tcW w:w="1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NON-CONTRIBUTORY</w:t>
            </w:r>
          </w:p>
        </w:tc>
        <w:tc>
          <w:tcPr>
            <w:tcW w:w="2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PENSION BASED ON</w:t>
            </w:r>
          </w:p>
        </w:tc>
        <w:tc>
          <w:tcPr>
            <w:tcW w:w="110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122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YEARS OF CREDIT SERVICE</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 YEARS</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 YEARS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25 YEARS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 YEARS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 YEARS</w:t>
            </w:r>
          </w:p>
        </w:tc>
      </w:tr>
      <w:tr>
        <w:trPr>
          <w:trHeight w:val="405"/>
        </w:trPr>
        <w:tc>
          <w:tcPr>
            <w:tcW w:w="158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7"/>
              </w:rPr>
              <w:t>$ 50,000</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$ 9,469</w:t>
            </w:r>
          </w:p>
        </w:tc>
        <w:tc>
          <w:tcPr>
            <w:tcW w:w="1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$18,939</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$20,984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$22,214</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$25,166</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75,000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14,669</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29,338</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32,639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34,717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39,230</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100,000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19,869</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39,738</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44,294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47,219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53,293</w:t>
            </w:r>
          </w:p>
        </w:tc>
      </w:tr>
      <w:tr>
        <w:trPr>
          <w:trHeight w:val="203"/>
        </w:trPr>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150,000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30,270</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60,538</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67,604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72,225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81,420</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The values reflected in the table represent the application of the Plan formula to the appropriate amounts of compensation and years of service. Benefits payable under the Plan, however, must be in compliance with the</w:t>
      </w:r>
    </w:p>
    <w:p>
      <w:pPr>
        <w:sectPr>
          <w:pgSz w:w="11900" w:h="16838" w:orient="portrait"/>
          <w:cols w:equalWidth="0" w:num="1">
            <w:col w:w="10219"/>
          </w:cols>
          <w:pgMar w:left="240" w:top="312" w:right="1440" w:bottom="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applicable guidelines or maximum prescribed in the Internal Revenue Code and in the Employee Retirement Income Security Act of 1974 (ERISA), as currently stated or as adjusted from time to time. As of December 31, 1996, the credited years of service for each of the Corporation's executive officers named in the Summary Compensation Table is as follows: Mr. Batten 27 years; Mr. Joyce 6 years; Mr. Parrish 23 years; and Mr. Pelligrino 30 years. Mr. Feiertag was not an employee as of December 31, 1996, therefore has no accrued benefit under the Plan.</w:t>
      </w:r>
    </w:p>
    <w:p>
      <w:pPr>
        <w:sectPr>
          <w:pgSz w:w="11900" w:h="16838" w:orient="portrait"/>
          <w:cols w:equalWidth="0" w:num="1">
            <w:col w:w="10219"/>
          </w:cols>
          <w:pgMar w:left="240" w:top="14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Effective January 1, 1997, the Plan was amended to add a cash balance formula for post-January 1, 1997, accruals. Benefits under the Plan are generally equal to the sum of the benefits as frozen on December 31, 1996, plus benefits that accumulate under the cash balance formula beginning on January 1, 1997. Benefits under the cash balance formula are generally stated as a lump sum amount, but may be distributed as a lump sum or an annuity. Accruals under the cash balance formula are based on a percentage of compensation, from 4.5% to 6.5% based on years of service, with interest credits at the thirty year U.S. Treasury Bond rate with a minimum guaranty of 3%. To record these pay credits and interest credits, a hypothetical account balance is maintained for each participant. The hypothetical account balance for each named executive as of June 30, 2001, is as follows: Mr. Batten $70,393; Mr. Joyce $50,602; Mr. Parrish $65,272; Mr. Pelligrino $60,053; and Mr. Feiertag $9,015. If the named executives continue in their respective positions and retire at the normal retirement age of 65, their estimated annual pension amount under cash balance portion of the Plan would be: Mr. Batten $10,682; Mr. Joyce $8,913; Mr. Parrish $11,010; Mr. Pelligrino $7,227; and Mr. Feiertag $21,778.</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supplemental retirement benefit is extended to qualified management. The supplemental retirement benefit is calculated as a single life annuity at an amount approximating 50% of the highest rate of pay attained during a specified period. The benefit is payable in the form of a single life annuity, contingent annuity, 10-year temporary annuity, a single lump sum payment, or two payments. The contingent annuity provides for payments to continue to the surviving spouse at a rate equal to 50% of the rate previously paid to the participant. In the event of death of a plan member after attaining a retirement age but prior to retirement, the surviving spouse will receive a lump sum benefit.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Outside Directors of the Corporation (non-corporation employees) are paid an annual retainer of $10,000. In addition, outside Directors receive a $1,300 fee for each board meeting and each committee meeting attended. Directors who are officers do not receive any fees in addition to their remuneration as officers.</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Outside Directors (non-Corporation employees) are eligible to participate in the 1988 Non-Qualified Stock Option Plan for Officers, Key Employees and Directors and the 1998 Stock Option Plan for Non-Employee Directors.</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who reach the age of 68 or who retire from full-time employment are required to retire from the Board of Directors effective as of the completion of their current term. Retired outside directors are entitled to a retirement benefit for a limited period equal to the sum of:</w:t>
      </w:r>
    </w:p>
    <w:p>
      <w:pPr>
        <w:spacing w:after="0" w:line="203" w:lineRule="exact"/>
        <w:rPr>
          <w:sz w:val="20"/>
          <w:szCs w:val="20"/>
          <w:color w:val="auto"/>
        </w:rPr>
      </w:pPr>
    </w:p>
    <w:p>
      <w:pPr>
        <w:ind w:left="860" w:hanging="325"/>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left="860" w:right="2419" w:hanging="325"/>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monthly fees for Director Meetings at the rate prevailing at the time of retirement.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w:t>
      </w:r>
    </w:p>
    <w:p>
      <w:pPr>
        <w:spacing w:after="0" w:line="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Corporation has entered into agreements with certain of its key executives, including Messrs. Batten, Joyce, Parrish, Pelligrino and Feiertag. The agreements provide for severance benefits to be paid to the executive following a change in control of the Corporation (as defined in those agreements) and a termination (as defined in those agreements) of the employment of the executive. Upon the occurrence of the events, as specified in the agreements, which would entitle the executive to the payment of severance benefits, the maximum contingent liability of the Corporation for the payment of such severance benefits would be approximately $2,902,000. Severance benefits for an executive officer would generally consist of the sum of the executive's highest annual base salary between the change in control and the date of termination plus the executive's most recent annual bonus times the lesser of 1.50 (2.75 for Messrs. Batten, Joyce and Parrish) or the number of whole and fractional years between the termination date and his normal retirement date. In addition, the executive would be entitled to the cash value of any shares of common stock subject to unexercised stock options held by the executive and a continuance of fringe benefits for 24 months following termination. The agreements are specifically designed to assure that benefits will not exceed the limitations and provisions of Sec. 280(g) of the Internal Revenue Code.</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2740" w:right="3259" w:hanging="1369"/>
        <w:spacing w:after="0" w:line="235" w:lineRule="auto"/>
        <w:rPr>
          <w:sz w:val="20"/>
          <w:szCs w:val="20"/>
          <w:color w:val="auto"/>
        </w:rPr>
      </w:pPr>
      <w:r>
        <w:rPr>
          <w:rFonts w:ascii="Courier New" w:cs="Courier New" w:eastAsia="Courier New" w:hAnsi="Courier New"/>
          <w:sz w:val="18"/>
          <w:szCs w:val="18"/>
          <w:color w:val="auto"/>
        </w:rPr>
        <w:t>Board Executive Selection and Salary Committee Report on Executive Compensation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4"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The Corporation's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185"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The Executive Selection and Salary Committee of the Board of Directors (the "Committee") is comprised of 3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deems relevant.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Committee regularly reviews each executive's base salary. Base salaries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85"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Overall, executive salaries were increased at rates comparable to the increases provided at other companies and are near market levels.</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reflected in the Summary Compensation Table on page 8, Mr. Batten's base salary was increased in fiscal year 2001 by $13,721. In determining Mr. Batten's base salary in 2001, the Committee considered the Company's financial performance for the year, Mr. Batten's individual performance, and his long-term contributions to the success of the Corporation. The Committee also compared Mr. Batten's base salary to the base salaries of CEOs at comparative companies.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Twin Disc Incentive Bonus Program (the "Annual Plan") promotes the Corporation's pay-for-performance philosophy by providing executives with direct financial incentives in the form of annual cash bonuses to achieve corporate, business unit, and individual performance goals. Annual bonus opportunities allow the Corporation to communicate specific goals that are of primary importance during the coming year and motivate executives to achieve these goals.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and target bonus levels based on a percentage of base salary. Executives earn bonuses to the extent to which preestablished goals are achieved.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fiscal year 2001 bonus awards were granted as earnings targets were attained indicating prior long-term decisions are providing favorable results. Corporate goals in 2001 were based on target earnings and return on net assets employed.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 fiscal year 2001, Mr. Batten received a bonus under the Annual Plan of $174,141. This reflects achievements towards the Corporation's goals relating to earnings and return on net assets employed in fiscal year 2001.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Long-term incentives are provided pursuant to the Corporation's 1988 Non-Qualified Stock Option Plan for Officers, Key Employees and Directors, the 1988 Incentive Stock Option Plan, the 1998 Incentive Compensation Plan and the</w:t>
      </w:r>
    </w:p>
    <w:p>
      <w:pPr>
        <w:spacing w:after="0" w:line="233" w:lineRule="auto"/>
        <w:rPr>
          <w:sz w:val="20"/>
          <w:szCs w:val="20"/>
          <w:color w:val="auto"/>
        </w:rPr>
      </w:pPr>
      <w:r>
        <w:rPr>
          <w:rFonts w:ascii="Courier New" w:cs="Courier New" w:eastAsia="Courier New" w:hAnsi="Courier New"/>
          <w:sz w:val="18"/>
          <w:szCs w:val="18"/>
          <w:color w:val="auto"/>
        </w:rPr>
        <w:t>1998 Stock Option Plan for Non-Employee Directors.</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keeping with the Corporation's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 Consistent with the above stated goals, Mr. Batten received options to purchase 6,000 shares in fiscal year 2001.</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Stock options are granted at an option price not less than the fair market value of the Corporation's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162(m) of the Internal Revenue Code, enacted in 1993, generally disallows a tax deduction to public companies for compensation over $1 million paid to the Company's CEO and four other most highly compensated executive officers. Qualifying performance-based compensation will not be subject to the deduction limit if certain requirements are met. The compensation of the Corporation's CEO and the four other most highly compensated executive officers currently does not approach the disqualifying threshold. In the future, in the event the disqualifying threshold becomes an issue, the Committee will weigh all the facts and circumstances in existence at the time.</w:t>
      </w:r>
    </w:p>
    <w:p>
      <w:pPr>
        <w:spacing w:after="0" w:line="178"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Executive Selection and Salary Committee</w:t>
      </w:r>
    </w:p>
    <w:p>
      <w:pPr>
        <w:ind w:left="4960"/>
        <w:spacing w:after="0" w:line="238" w:lineRule="auto"/>
        <w:rPr>
          <w:sz w:val="20"/>
          <w:szCs w:val="20"/>
          <w:color w:val="auto"/>
        </w:rPr>
      </w:pPr>
      <w:r>
        <w:rPr>
          <w:rFonts w:ascii="Courier New" w:cs="Courier New" w:eastAsia="Courier New" w:hAnsi="Courier New"/>
          <w:sz w:val="18"/>
          <w:szCs w:val="18"/>
          <w:color w:val="auto"/>
        </w:rPr>
        <w:t>Paul J. Powers, Chairman</w:t>
      </w:r>
    </w:p>
    <w:p>
      <w:pPr>
        <w:ind w:left="4960"/>
        <w:spacing w:after="0"/>
        <w:rPr>
          <w:sz w:val="20"/>
          <w:szCs w:val="20"/>
          <w:color w:val="auto"/>
        </w:rPr>
      </w:pPr>
      <w:r>
        <w:rPr>
          <w:rFonts w:ascii="Courier New" w:cs="Courier New" w:eastAsia="Courier New" w:hAnsi="Courier New"/>
          <w:sz w:val="18"/>
          <w:szCs w:val="18"/>
          <w:color w:val="auto"/>
        </w:rPr>
        <w:t>David L. Swift</w:t>
      </w:r>
    </w:p>
    <w:p>
      <w:pPr>
        <w:ind w:left="4960"/>
        <w:spacing w:after="0" w:line="237" w:lineRule="auto"/>
        <w:rPr>
          <w:sz w:val="20"/>
          <w:szCs w:val="20"/>
          <w:color w:val="auto"/>
        </w:rPr>
      </w:pPr>
      <w:r>
        <w:rPr>
          <w:rFonts w:ascii="Courier New" w:cs="Courier New" w:eastAsia="Courier New" w:hAnsi="Courier New"/>
          <w:sz w:val="18"/>
          <w:szCs w:val="18"/>
          <w:color w:val="auto"/>
        </w:rPr>
        <w:t>David R. Zimmer</w:t>
      </w:r>
    </w:p>
    <w:p>
      <w:pPr>
        <w:sectPr>
          <w:pgSz w:w="11900" w:h="16838" w:orient="portrait"/>
          <w:cols w:equalWidth="0" w:num="1">
            <w:col w:w="10219"/>
          </w:cols>
          <w:pgMar w:left="240" w:top="312" w:right="1440" w:bottom="0" w:gutter="0" w:footer="0" w:header="0"/>
        </w:sectPr>
      </w:pPr>
    </w:p>
    <w:bookmarkStart w:id="13" w:name="page14"/>
    <w:bookmarkEnd w:id="13"/>
    <w:p>
      <w:pPr>
        <w:ind w:left="2820"/>
        <w:spacing w:after="0"/>
        <w:rPr>
          <w:sz w:val="20"/>
          <w:szCs w:val="20"/>
          <w:color w:val="auto"/>
        </w:rPr>
      </w:pPr>
      <w:r>
        <w:rPr>
          <w:rFonts w:ascii="Courier New" w:cs="Courier New" w:eastAsia="Courier New" w:hAnsi="Courier New"/>
          <w:sz w:val="16"/>
          <w:szCs w:val="16"/>
          <w:color w:val="auto"/>
        </w:rPr>
        <w:t>July 26, 2001</w:t>
      </w:r>
    </w:p>
    <w:p>
      <w:pPr>
        <w:sectPr>
          <w:pgSz w:w="11900" w:h="16838" w:orient="portrait"/>
          <w:cols w:equalWidth="0" w:num="1">
            <w:col w:w="9019"/>
          </w:cols>
          <w:pgMar w:left="1440" w:top="14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13</w:t>
      </w:r>
    </w:p>
    <w:p>
      <w:pPr>
        <w:ind w:left="2220"/>
        <w:spacing w:after="0" w:line="238" w:lineRule="auto"/>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has developed an updated charter for the Committee, which is reproduced as an appendix to this proxy statement. The charter reflects standards set forth in new SEC regulations and New York Stock Exchange rules. All members of the Audit Committee are independent, as defined in Sections 303.01(B)(2)(a) of the listing standards of the New York Stock Exchange.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three times during fiscal 2000-2001.</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61 (Communication with Audit Committee).</w:t>
      </w:r>
    </w:p>
    <w:p>
      <w:pPr>
        <w:spacing w:after="0" w:line="21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Committee received the written disclosures and the letter required from the independent accountants as required by the Independence Standards Board Standard No. 1 (Independence Discussions with Audit Committee). The Committee also discussed with PricewaterhouseCoopers LLP matters relating to its independence.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2001, for filing with the Securities and Exchange Commission.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Audit Committee</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David L. Swift, Chairman</w:t>
      </w:r>
    </w:p>
    <w:p>
      <w:pPr>
        <w:ind w:left="4960"/>
        <w:spacing w:after="0" w:line="238" w:lineRule="auto"/>
        <w:rPr>
          <w:sz w:val="20"/>
          <w:szCs w:val="20"/>
          <w:color w:val="auto"/>
        </w:rPr>
      </w:pPr>
      <w:r>
        <w:rPr>
          <w:rFonts w:ascii="Courier New" w:cs="Courier New" w:eastAsia="Courier New" w:hAnsi="Courier New"/>
          <w:sz w:val="18"/>
          <w:szCs w:val="18"/>
          <w:color w:val="auto"/>
        </w:rPr>
        <w:t>John A. Mellowes</w:t>
      </w:r>
    </w:p>
    <w:p>
      <w:pPr>
        <w:ind w:left="4960"/>
        <w:spacing w:after="0"/>
        <w:rPr>
          <w:sz w:val="20"/>
          <w:szCs w:val="20"/>
          <w:color w:val="auto"/>
        </w:rPr>
      </w:pPr>
      <w:r>
        <w:rPr>
          <w:rFonts w:ascii="Courier New" w:cs="Courier New" w:eastAsia="Courier New" w:hAnsi="Courier New"/>
          <w:sz w:val="18"/>
          <w:szCs w:val="18"/>
          <w:color w:val="auto"/>
        </w:rPr>
        <w:t>David B. Rayburn</w:t>
      </w:r>
    </w:p>
    <w:p>
      <w:pPr>
        <w:ind w:left="4960"/>
        <w:spacing w:after="0" w:line="237" w:lineRule="auto"/>
        <w:rPr>
          <w:sz w:val="20"/>
          <w:szCs w:val="20"/>
          <w:color w:val="auto"/>
        </w:rPr>
      </w:pPr>
      <w:r>
        <w:rPr>
          <w:rFonts w:ascii="Courier New" w:cs="Courier New" w:eastAsia="Courier New" w:hAnsi="Courier New"/>
          <w:sz w:val="18"/>
          <w:szCs w:val="18"/>
          <w:color w:val="auto"/>
        </w:rPr>
        <w:t>George E. Wardeberg</w:t>
      </w:r>
    </w:p>
    <w:p>
      <w:pPr>
        <w:ind w:left="4020"/>
        <w:spacing w:after="0" w:line="238" w:lineRule="auto"/>
        <w:rPr>
          <w:sz w:val="20"/>
          <w:szCs w:val="20"/>
          <w:color w:val="auto"/>
        </w:rPr>
      </w:pPr>
      <w:r>
        <w:rPr>
          <w:rFonts w:ascii="Courier New" w:cs="Courier New" w:eastAsia="Courier New" w:hAnsi="Courier New"/>
          <w:sz w:val="18"/>
          <w:szCs w:val="18"/>
          <w:color w:val="auto"/>
        </w:rPr>
        <w:t>July 26,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firm of PricewaterhouseCoopers LLP has audited the Corporation's books annually since 1928. Representatives of PricewaterhouseCoopers LLP are expected to be present at the meeting and, while no formal statement will be made by them, they will be available to respond to appropriate questions.</w:t>
      </w:r>
    </w:p>
    <w:p>
      <w:pPr>
        <w:sectPr>
          <w:pgSz w:w="11900" w:h="16838" w:orient="portrait"/>
          <w:cols w:equalWidth="0" w:num="1">
            <w:col w:w="10219"/>
          </w:cols>
          <w:pgMar w:left="24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14</w:t>
      </w:r>
    </w:p>
    <w:p>
      <w:pPr>
        <w:spacing w:after="0" w:line="238" w:lineRule="auto"/>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right="2199" w:firstLine="527"/>
        <w:spacing w:after="0" w:line="270" w:lineRule="auto"/>
        <w:rPr>
          <w:sz w:val="20"/>
          <w:szCs w:val="20"/>
          <w:color w:val="auto"/>
        </w:rPr>
      </w:pPr>
      <w:r>
        <w:rPr>
          <w:rFonts w:ascii="Courier New" w:cs="Courier New" w:eastAsia="Courier New" w:hAnsi="Courier New"/>
          <w:sz w:val="16"/>
          <w:szCs w:val="16"/>
          <w:color w:val="auto"/>
        </w:rPr>
        <w:t>The following table compares total shareholder return over the last 5 fiscal years to the Standard &amp; Poor's Diversified Machinery Index and the Russell 2000 index. The S&amp;P Diversified Machinery Index consists of a broad range of manufacturers. The Russell 2000 Index consists of a broad range of 2,000 Companies. The Corporation believes, because of the similarity of its business with those companies contained in the S&amp;P Diversified Machinery Index, that comparison of shareholder return with this index is appropriate. Total return values for the Corporation's common stock, the S&amp;P Diversified Machinery Index and the Russell 2000 Index were calculated based upon an assumption of a $100 investment on June 30, 1996 and based upon cumulative total return values assuming reinvestment of dividends on a quarterly basis.</w:t>
      </w:r>
    </w:p>
    <w:p>
      <w:pPr>
        <w:spacing w:after="0" w:line="38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5320" w:type="dxa"/>
            <w:vAlign w:val="bottom"/>
            <w:gridSpan w:val="5"/>
          </w:tcPr>
          <w:p>
            <w:pPr>
              <w:jc w:val="right"/>
              <w:ind w:right="112"/>
              <w:spacing w:after="0"/>
              <w:rPr>
                <w:sz w:val="20"/>
                <w:szCs w:val="20"/>
                <w:color w:val="auto"/>
              </w:rPr>
            </w:pPr>
            <w:r>
              <w:rPr>
                <w:rFonts w:ascii="Courier New" w:cs="Courier New" w:eastAsia="Courier New" w:hAnsi="Courier New"/>
                <w:sz w:val="18"/>
                <w:szCs w:val="18"/>
                <w:color w:val="auto"/>
              </w:rPr>
              <w:t>Comparison of Five-Year Cumulative Total Return</w:t>
            </w:r>
          </w:p>
        </w:tc>
        <w:tc>
          <w:tcPr>
            <w:tcW w:w="840" w:type="dxa"/>
            <w:vAlign w:val="bottom"/>
          </w:tcPr>
          <w:p>
            <w:pPr>
              <w:spacing w:after="0"/>
              <w:rPr>
                <w:sz w:val="17"/>
                <w:szCs w:val="17"/>
                <w:color w:val="auto"/>
              </w:rPr>
            </w:pPr>
          </w:p>
        </w:tc>
      </w:tr>
      <w:tr>
        <w:trPr>
          <w:trHeight w:val="203"/>
        </w:trPr>
        <w:tc>
          <w:tcPr>
            <w:tcW w:w="68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Twin Disc, Inc.; S&amp;P Diversified Machinery; and Russell</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15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06/30/96</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06/30/97</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06/30/99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06/30/00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06/30/01</w:t>
            </w:r>
          </w:p>
        </w:tc>
      </w:tr>
      <w:tr>
        <w:trPr>
          <w:trHeight w:val="203"/>
        </w:trPr>
        <w:tc>
          <w:tcPr>
            <w:tcW w:w="1520" w:type="dxa"/>
            <w:vAlign w:val="bottom"/>
          </w:tcPr>
          <w:p>
            <w:pPr>
              <w:spacing w:after="0"/>
              <w:rPr>
                <w:sz w:val="17"/>
                <w:szCs w:val="17"/>
                <w:color w:val="auto"/>
              </w:rPr>
            </w:pPr>
          </w:p>
        </w:tc>
        <w:tc>
          <w:tcPr>
            <w:tcW w:w="5320" w:type="dxa"/>
            <w:vAlign w:val="bottom"/>
            <w:gridSpan w:val="5"/>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  --------  --------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126.79</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136.68</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94.17</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83.60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81.12</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S&amp;P Div. Mach.</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145.19</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209.12</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209.39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214.32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132.28</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116.34</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135.54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137.57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157.28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158.31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(a) BENEFICIAL OWNERSHIP</w:t>
      </w:r>
    </w:p>
    <w:p>
      <w:pPr>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2000 to June 30, 2001, all Section 16(a) filing requirements applicable to its executive officers, Directors and greater than ten (10%) beneficial owners were complied with.</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Aggregate fees, including out-of-pocket expenses, for professional services rendered by PricewaterhouseCoopers LLP ("PricewaterhouseCoopers") in connection with (i) the audit of the Company's consolidated financial statements as of and for the year ended June 30, 2001, including statutory audits of the financial statements of the Company's affiliates that are relied on in performance of the audit of the Company's consolidated financial statements, and (ii) the limited reviews of the Company's quarterly financial statements were $246,000.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SYSTEMS DESIGN AND IMPLEMENTATION FEES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During the year ended June 30,2001, PricewaterhouseCoopers rendered no professional services to the Company in connection with the design and implementation of financial information systems.</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TOTAL FEES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to the other fees described above, aggregate fees, including out-of-pocket expenses, of $459,000 were paid to PricewaterhouseCoopers during the year ended June 30, 2001, primarily for the following professional services: tax-related services, due diligence for acquisitions, and other non-recurring audit services.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 Committee has determined that the provision of services for (a) financial information systems design and implementation fees listed above, if any, and (b) all other fees listed above, is compatible with maintaining PricewaterhouseCoopers LLP's independence.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Shareholder Communications Inc., New York, NY has been retained to assist in solicitation of proxies for the Annual Meeting at a fee not to exceed $7,000 plus expenses.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w:t>
      </w:r>
    </w:p>
    <w:p>
      <w:pPr>
        <w:ind w:left="2860"/>
        <w:spacing w:after="0" w:line="238" w:lineRule="auto"/>
        <w:rPr>
          <w:sz w:val="20"/>
          <w:szCs w:val="20"/>
          <w:color w:val="auto"/>
        </w:rPr>
      </w:pPr>
      <w:r>
        <w:rPr>
          <w:rFonts w:ascii="Courier New" w:cs="Courier New" w:eastAsia="Courier New" w:hAnsi="Courier New"/>
          <w:sz w:val="18"/>
          <w:szCs w:val="18"/>
          <w:color w:val="auto"/>
        </w:rPr>
        <w:t>TWIN DISC, INCORPORATED</w:t>
      </w:r>
    </w:p>
    <w:p>
      <w:pPr>
        <w:ind w:left="2860"/>
        <w:spacing w:after="0"/>
        <w:rPr>
          <w:sz w:val="20"/>
          <w:szCs w:val="20"/>
          <w:color w:val="auto"/>
        </w:rPr>
      </w:pPr>
      <w:r>
        <w:rPr>
          <w:rFonts w:ascii="Courier New" w:cs="Courier New" w:eastAsia="Courier New" w:hAnsi="Courier New"/>
          <w:sz w:val="18"/>
          <w:szCs w:val="18"/>
          <w:color w:val="auto"/>
        </w:rPr>
        <w:t>AUDIT COMMITTEE CHARTER</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audit committee shall be comprised of only independent directors. An independent director is free of any relationship that could influence his or her judgment as a committee member. When there is any doubt about independence the director should recuse themselves from any decisions that might be influenced by that relationship.</w:t>
      </w:r>
    </w:p>
    <w:p>
      <w:pPr>
        <w:spacing w:after="0" w:line="209"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The primary function of the audit committee is to assist the board in fulfilling its oversight responsibilities by reviewing published financial information, the systems of internal controls, and all audit processes.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responsibilities</w:t>
      </w:r>
    </w:p>
    <w:p>
      <w:pPr>
        <w:spacing w:after="0" w:line="207" w:lineRule="exact"/>
        <w:rPr>
          <w:sz w:val="20"/>
          <w:szCs w:val="20"/>
          <w:color w:val="auto"/>
        </w:rPr>
      </w:pPr>
    </w:p>
    <w:p>
      <w:pPr>
        <w:ind w:left="1060" w:right="199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provides open avenues of communication among the internal auditor, the independent accountants and the board of directors.</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must report committee actions to the full board of directors and may make appropriate recommendations.</w:t>
      </w:r>
    </w:p>
    <w:p>
      <w:pPr>
        <w:spacing w:after="0" w:line="208"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has the power to conduct or authorize investigations into matters within the committee's scope of responsibilities. The committee is authorized to retain independent counsel, accountants or others it needs to assist in an investigation.</w:t>
      </w:r>
    </w:p>
    <w:p>
      <w:pPr>
        <w:spacing w:after="0" w:line="208" w:lineRule="exact"/>
        <w:rPr>
          <w:rFonts w:ascii="Courier New" w:cs="Courier New" w:eastAsia="Courier New" w:hAnsi="Courier New"/>
          <w:sz w:val="18"/>
          <w:szCs w:val="18"/>
          <w:color w:val="auto"/>
        </w:rPr>
      </w:pPr>
    </w:p>
    <w:p>
      <w:pPr>
        <w:ind w:left="1060" w:right="2319" w:hanging="525"/>
        <w:spacing w:after="0" w:line="273"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will meet at least three times each year. The audit committee chairman has the power to call a committee meeting whenever he or she thinks there is a need. The committee may ask members of management or others to attend the meeting and is authorized to receive all pertinent information from management.</w:t>
      </w:r>
    </w:p>
    <w:p>
      <w:pPr>
        <w:spacing w:after="0" w:line="185"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Responsibilities for engaging independent accountants and appointing the internal auditor</w:t>
      </w:r>
    </w:p>
    <w:p>
      <w:pPr>
        <w:spacing w:after="0" w:line="208" w:lineRule="exact"/>
        <w:rPr>
          <w:sz w:val="20"/>
          <w:szCs w:val="20"/>
          <w:color w:val="auto"/>
        </w:rPr>
      </w:pPr>
    </w:p>
    <w:p>
      <w:pPr>
        <w:ind w:left="1060" w:right="199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select the independent accountants for company audits. The committee's selection is subject to approval by the full board of directors and the shareholders. The audit committee also will review and set fees paid to the independent accountants and review and approve dismissal of the independent accountants.</w:t>
      </w:r>
    </w:p>
    <w:p>
      <w:pPr>
        <w:sectPr>
          <w:pgSz w:w="11900" w:h="16838" w:orient="portrait"/>
          <w:cols w:equalWidth="0" w:num="1">
            <w:col w:w="10219"/>
          </w:cols>
          <w:pgMar w:left="240" w:top="312" w:right="1440" w:bottom="0" w:gutter="0" w:footer="0" w:header="0"/>
        </w:sectPr>
      </w:pPr>
    </w:p>
    <w:bookmarkStart w:id="17" w:name="page18"/>
    <w:bookmarkEnd w:id="17"/>
    <w:p>
      <w:pPr>
        <w:ind w:left="525" w:right="2099" w:hanging="525"/>
        <w:spacing w:after="0" w:line="236" w:lineRule="auto"/>
        <w:tabs>
          <w:tab w:leader="none" w:pos="5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review and have veto power over the appointment, replacement, reassignment or dismissal of the internal auditor.</w:t>
      </w:r>
    </w:p>
    <w:p>
      <w:pPr>
        <w:spacing w:after="0" w:line="208" w:lineRule="exact"/>
        <w:rPr>
          <w:rFonts w:ascii="Courier New" w:cs="Courier New" w:eastAsia="Courier New" w:hAnsi="Courier New"/>
          <w:sz w:val="18"/>
          <w:szCs w:val="18"/>
          <w:color w:val="auto"/>
        </w:rPr>
      </w:pPr>
    </w:p>
    <w:p>
      <w:pPr>
        <w:ind w:left="525" w:right="1999" w:hanging="525"/>
        <w:spacing w:after="0" w:line="237" w:lineRule="auto"/>
        <w:tabs>
          <w:tab w:leader="none" w:pos="5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confirm and assure the independence of the internal auditor and the independent accountants, including a review of management consulting services provided by the independent accountants and the fees paid for them.</w:t>
      </w:r>
    </w:p>
    <w:p>
      <w:pPr>
        <w:sectPr>
          <w:pgSz w:w="11900" w:h="16838" w:orient="portrait"/>
          <w:cols w:equalWidth="0" w:num="1">
            <w:col w:w="9684"/>
          </w:cols>
          <w:pgMar w:left="775" w:top="344" w:right="1440" w:bottom="1440"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left="1060" w:right="2099" w:hanging="525"/>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consider, in consultation with the independent accountants and the internal auditor, their audit scope and procedural plans.</w:t>
      </w:r>
    </w:p>
    <w:p>
      <w:pPr>
        <w:spacing w:after="0" w:line="208" w:lineRule="exact"/>
        <w:rPr>
          <w:rFonts w:ascii="Courier New" w:cs="Courier New" w:eastAsia="Courier New" w:hAnsi="Courier New"/>
          <w:sz w:val="18"/>
          <w:szCs w:val="18"/>
          <w:color w:val="auto"/>
        </w:rPr>
      </w:pPr>
    </w:p>
    <w:p>
      <w:pPr>
        <w:ind w:left="1060" w:right="2199" w:hanging="525"/>
        <w:spacing w:after="0" w:line="279"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will consider recommendations by management or the independent accountants to engage additional accountants. The audit committee will decide which firm, if any, is to be engaged.</w:t>
      </w:r>
    </w:p>
    <w:p>
      <w:pPr>
        <w:spacing w:after="0" w:line="178" w:lineRule="exact"/>
        <w:rPr>
          <w:rFonts w:ascii="Courier New" w:cs="Courier New" w:eastAsia="Courier New" w:hAnsi="Courier New"/>
          <w:sz w:val="16"/>
          <w:szCs w:val="16"/>
          <w:color w:val="auto"/>
        </w:rPr>
      </w:pPr>
    </w:p>
    <w:p>
      <w:pPr>
        <w:ind w:left="1060" w:right="209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make sure that the internal auditor and the independent accountants coordinate the internal and external audits. The purpose of coordinating these efforts is to assure completeness of coverage, reduce redundancy and use audit resources effectively.</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Responsibilities for reviewing internal audits, the annual external audit and the review of quarterly and annual financial statements</w:t>
      </w:r>
    </w:p>
    <w:p>
      <w:pPr>
        <w:spacing w:after="0" w:line="208" w:lineRule="exact"/>
        <w:rPr>
          <w:sz w:val="20"/>
          <w:szCs w:val="20"/>
          <w:color w:val="auto"/>
        </w:rPr>
      </w:pPr>
    </w:p>
    <w:p>
      <w:pPr>
        <w:ind w:left="1060" w:right="2099" w:hanging="525"/>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ensure that the independent accountants view the board of directors as their client, that they will be available to the full board of directors at least annually and that they will provide the audit committee with a timely analysis of significant financial reporting issues.</w:t>
      </w:r>
    </w:p>
    <w:p>
      <w:pPr>
        <w:spacing w:after="0" w:line="208" w:lineRule="exact"/>
        <w:rPr>
          <w:rFonts w:ascii="Courier New" w:cs="Courier New" w:eastAsia="Courier New" w:hAnsi="Courier New"/>
          <w:sz w:val="18"/>
          <w:szCs w:val="18"/>
          <w:color w:val="auto"/>
        </w:rPr>
      </w:pPr>
    </w:p>
    <w:p>
      <w:pPr>
        <w:ind w:left="1060" w:right="2319" w:hanging="525"/>
        <w:spacing w:after="0" w:line="279"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will require management, the internal auditor and the independent accountants to report significant risks and exposures and will assess management's steps to minimize them.</w:t>
      </w:r>
    </w:p>
    <w:p>
      <w:pPr>
        <w:spacing w:after="0" w:line="178" w:lineRule="exact"/>
        <w:rPr>
          <w:rFonts w:ascii="Courier New" w:cs="Courier New" w:eastAsia="Courier New" w:hAnsi="Courier New"/>
          <w:sz w:val="16"/>
          <w:szCs w:val="16"/>
          <w:color w:val="auto"/>
        </w:rPr>
      </w:pPr>
    </w:p>
    <w:p>
      <w:pPr>
        <w:ind w:left="1060" w:right="219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review the following with the independent accountants and the internal auditor:</w:t>
      </w:r>
    </w:p>
    <w:p>
      <w:pPr>
        <w:spacing w:after="0" w:line="208" w:lineRule="exact"/>
        <w:rPr>
          <w:rFonts w:ascii="Courier New" w:cs="Courier New" w:eastAsia="Courier New" w:hAnsi="Courier New"/>
          <w:sz w:val="18"/>
          <w:szCs w:val="18"/>
          <w:color w:val="auto"/>
        </w:rPr>
      </w:pPr>
    </w:p>
    <w:p>
      <w:pPr>
        <w:ind w:left="1380" w:right="2739" w:hanging="319"/>
        <w:spacing w:after="0" w:line="290" w:lineRule="auto"/>
        <w:tabs>
          <w:tab w:leader="none" w:pos="13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adequacy of the company's internal controls, including computerized information system controls and security.</w:t>
      </w:r>
    </w:p>
    <w:p>
      <w:pPr>
        <w:spacing w:after="0" w:line="169" w:lineRule="exact"/>
        <w:rPr>
          <w:rFonts w:ascii="Courier New" w:cs="Courier New" w:eastAsia="Courier New" w:hAnsi="Courier New"/>
          <w:sz w:val="16"/>
          <w:szCs w:val="16"/>
          <w:color w:val="auto"/>
        </w:rPr>
      </w:pPr>
    </w:p>
    <w:p>
      <w:pPr>
        <w:ind w:left="1380" w:right="2099" w:hanging="319"/>
        <w:spacing w:after="0" w:line="236"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findings and recommendations made by the independent accountants or internal auditor, together with management's responses to them.</w:t>
      </w:r>
    </w:p>
    <w:p>
      <w:pPr>
        <w:spacing w:after="0" w:line="208" w:lineRule="exact"/>
        <w:rPr>
          <w:rFonts w:ascii="Courier New" w:cs="Courier New" w:eastAsia="Courier New" w:hAnsi="Courier New"/>
          <w:sz w:val="18"/>
          <w:szCs w:val="18"/>
          <w:color w:val="auto"/>
        </w:rPr>
      </w:pPr>
    </w:p>
    <w:p>
      <w:pPr>
        <w:ind w:left="1060" w:right="2839" w:hanging="525"/>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Shortly after the annual examination is completed, the audit committee will review the following with management and the independent accountants:</w:t>
      </w:r>
    </w:p>
    <w:p>
      <w:pPr>
        <w:spacing w:after="0" w:line="208" w:lineRule="exact"/>
        <w:rPr>
          <w:rFonts w:ascii="Courier New" w:cs="Courier New" w:eastAsia="Courier New" w:hAnsi="Courier New"/>
          <w:sz w:val="18"/>
          <w:szCs w:val="18"/>
          <w:color w:val="auto"/>
        </w:rPr>
      </w:pPr>
    </w:p>
    <w:p>
      <w:pPr>
        <w:ind w:left="1380" w:hanging="319"/>
        <w:spacing w:after="0"/>
        <w:tabs>
          <w:tab w:leader="none" w:pos="138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financial statements and related footnotes.</w:t>
      </w:r>
    </w:p>
    <w:p>
      <w:pPr>
        <w:spacing w:after="0" w:line="223" w:lineRule="exact"/>
        <w:rPr>
          <w:rFonts w:ascii="Courier New" w:cs="Courier New" w:eastAsia="Courier New" w:hAnsi="Courier New"/>
          <w:sz w:val="16"/>
          <w:szCs w:val="16"/>
          <w:color w:val="auto"/>
        </w:rPr>
      </w:pPr>
    </w:p>
    <w:p>
      <w:pPr>
        <w:ind w:left="1380" w:right="3039" w:hanging="319"/>
        <w:spacing w:after="0" w:line="235"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accountant's audit of and report on the financial statements.</w:t>
      </w:r>
    </w:p>
    <w:p>
      <w:pPr>
        <w:spacing w:after="0" w:line="208" w:lineRule="exact"/>
        <w:rPr>
          <w:rFonts w:ascii="Courier New" w:cs="Courier New" w:eastAsia="Courier New" w:hAnsi="Courier New"/>
          <w:sz w:val="18"/>
          <w:szCs w:val="18"/>
          <w:color w:val="auto"/>
        </w:rPr>
      </w:pPr>
    </w:p>
    <w:p>
      <w:pPr>
        <w:ind w:left="1380" w:right="2099" w:hanging="319"/>
        <w:spacing w:after="0" w:line="237"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accountant's qualitative judgments about the appropriateness, not just the acceptability, of accounting principles and financial disclosures and how aggressive (or conservative) the accounting principles and underlying estimates are.</w:t>
      </w:r>
    </w:p>
    <w:p>
      <w:pPr>
        <w:spacing w:after="0" w:line="208" w:lineRule="exact"/>
        <w:rPr>
          <w:rFonts w:ascii="Courier New" w:cs="Courier New" w:eastAsia="Courier New" w:hAnsi="Courier New"/>
          <w:sz w:val="18"/>
          <w:szCs w:val="18"/>
          <w:color w:val="auto"/>
        </w:rPr>
      </w:pPr>
    </w:p>
    <w:p>
      <w:pPr>
        <w:ind w:left="1380" w:right="2099" w:hanging="319"/>
        <w:spacing w:after="0" w:line="235"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serious difficulties or disputes with management encountered during the course of the audit.</w:t>
      </w:r>
    </w:p>
    <w:p>
      <w:pPr>
        <w:spacing w:after="0" w:line="208" w:lineRule="exact"/>
        <w:rPr>
          <w:rFonts w:ascii="Courier New" w:cs="Courier New" w:eastAsia="Courier New" w:hAnsi="Courier New"/>
          <w:sz w:val="18"/>
          <w:szCs w:val="18"/>
          <w:color w:val="auto"/>
        </w:rPr>
      </w:pPr>
    </w:p>
    <w:p>
      <w:pPr>
        <w:ind w:left="1380" w:right="2099" w:hanging="319"/>
        <w:spacing w:after="0" w:line="235"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findings that GAAS requires the independent accountants to discuss with the committee.</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will consider and review with management and the internal auditor:</w:t>
      </w:r>
    </w:p>
    <w:p>
      <w:pPr>
        <w:spacing w:after="0" w:line="208" w:lineRule="exact"/>
        <w:rPr>
          <w:rFonts w:ascii="Courier New" w:cs="Courier New" w:eastAsia="Courier New" w:hAnsi="Courier New"/>
          <w:sz w:val="18"/>
          <w:szCs w:val="18"/>
          <w:color w:val="auto"/>
        </w:rPr>
      </w:pPr>
    </w:p>
    <w:p>
      <w:pPr>
        <w:ind w:left="1380" w:right="2419" w:hanging="319"/>
        <w:spacing w:after="0" w:line="236"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difficulties the internal auditor encountered while conducting audits, including any restrictions on the scope of their work or access to required information.</w:t>
      </w:r>
    </w:p>
    <w:p>
      <w:pPr>
        <w:spacing w:after="0" w:line="208" w:lineRule="exact"/>
        <w:rPr>
          <w:rFonts w:ascii="Courier New" w:cs="Courier New" w:eastAsia="Courier New" w:hAnsi="Courier New"/>
          <w:sz w:val="18"/>
          <w:szCs w:val="18"/>
          <w:color w:val="auto"/>
        </w:rPr>
      </w:pPr>
    </w:p>
    <w:p>
      <w:pPr>
        <w:ind w:left="1380" w:right="2199" w:hanging="319"/>
        <w:spacing w:after="0" w:line="235" w:lineRule="auto"/>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changes to the planned scope of management's internal audit plan considered advisable.</w:t>
      </w:r>
    </w:p>
    <w:p>
      <w:pPr>
        <w:spacing w:after="0" w:line="202" w:lineRule="exact"/>
        <w:rPr>
          <w:rFonts w:ascii="Courier New" w:cs="Courier New" w:eastAsia="Courier New" w:hAnsi="Courier New"/>
          <w:sz w:val="18"/>
          <w:szCs w:val="18"/>
          <w:color w:val="auto"/>
        </w:rPr>
      </w:pPr>
    </w:p>
    <w:p>
      <w:pPr>
        <w:ind w:left="1380" w:hanging="319"/>
        <w:spacing w:after="0"/>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audit department's budget and staffing.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Periodic responsibilities</w:t>
      </w:r>
    </w:p>
    <w:p>
      <w:pPr>
        <w:spacing w:after="0" w:line="201"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update the committee's charter annually.</w:t>
      </w:r>
    </w:p>
    <w:p>
      <w:pPr>
        <w:spacing w:after="0" w:line="206" w:lineRule="exact"/>
        <w:rPr>
          <w:rFonts w:ascii="Courier New" w:cs="Courier New" w:eastAsia="Courier New" w:hAnsi="Courier New"/>
          <w:sz w:val="18"/>
          <w:szCs w:val="18"/>
          <w:color w:val="auto"/>
        </w:rPr>
      </w:pPr>
    </w:p>
    <w:p>
      <w:pPr>
        <w:ind w:left="1060" w:right="219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policies and procedures covering officers' expense accounts and perquisites, including their use of corporate assets, and consider the results of any review of those areas by the internal auditor and the independent accountants.</w:t>
      </w:r>
    </w:p>
    <w:p>
      <w:pPr>
        <w:sectPr>
          <w:pgSz w:w="11900" w:h="16838" w:orient="portrait"/>
          <w:cols w:equalWidth="0" w:num="1">
            <w:col w:w="10219"/>
          </w:cols>
          <w:pgMar w:left="240" w:top="312" w:right="1440" w:bottom="0" w:gutter="0" w:footer="0" w:header="0"/>
        </w:sectPr>
      </w:pPr>
    </w:p>
    <w:bookmarkStart w:id="19" w:name="page20"/>
    <w:bookmarkEnd w:id="19"/>
    <w:p>
      <w:pPr>
        <w:ind w:left="525" w:right="2199" w:hanging="525"/>
        <w:spacing w:after="0" w:line="236" w:lineRule="auto"/>
        <w:tabs>
          <w:tab w:leader="none" w:pos="5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the internal auditor and the independent accountants, the results of their examination of compliance with the company's guidelines for business conduct.</w:t>
      </w:r>
    </w:p>
    <w:p>
      <w:pPr>
        <w:spacing w:after="0" w:line="208" w:lineRule="exact"/>
        <w:rPr>
          <w:rFonts w:ascii="Courier New" w:cs="Courier New" w:eastAsia="Courier New" w:hAnsi="Courier New"/>
          <w:sz w:val="18"/>
          <w:szCs w:val="18"/>
          <w:color w:val="auto"/>
        </w:rPr>
      </w:pPr>
    </w:p>
    <w:p>
      <w:pPr>
        <w:jc w:val="both"/>
        <w:ind w:left="525" w:right="2099" w:hanging="525"/>
        <w:spacing w:after="0" w:line="236" w:lineRule="auto"/>
        <w:tabs>
          <w:tab w:leader="none" w:pos="5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legal and regulatory matters that may have a material effect on the organization's financial statements, compliance policies and programs and reports from regulators.</w:t>
      </w:r>
    </w:p>
    <w:p>
      <w:pPr>
        <w:spacing w:after="0" w:line="208" w:lineRule="exact"/>
        <w:rPr>
          <w:rFonts w:ascii="Courier New" w:cs="Courier New" w:eastAsia="Courier New" w:hAnsi="Courier New"/>
          <w:sz w:val="18"/>
          <w:szCs w:val="18"/>
          <w:color w:val="auto"/>
        </w:rPr>
      </w:pPr>
    </w:p>
    <w:p>
      <w:pPr>
        <w:ind w:left="525" w:right="1999" w:hanging="525"/>
        <w:spacing w:after="0" w:line="279" w:lineRule="auto"/>
        <w:tabs>
          <w:tab w:leader="none" w:pos="52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 with the internal auditor, the independent accountants and management in separate executive sessions to discuss any matters the committee or these groups believe should be discussed privately.</w:t>
      </w:r>
    </w:p>
    <w:p>
      <w:pPr>
        <w:spacing w:after="0" w:line="173" w:lineRule="exact"/>
        <w:rPr>
          <w:sz w:val="20"/>
          <w:szCs w:val="20"/>
          <w:color w:val="auto"/>
        </w:rPr>
      </w:pPr>
    </w:p>
    <w:p>
      <w:pPr>
        <w:ind w:left="4845"/>
        <w:spacing w:after="0"/>
        <w:rPr>
          <w:sz w:val="20"/>
          <w:szCs w:val="20"/>
          <w:color w:val="auto"/>
        </w:rPr>
      </w:pPr>
      <w:r>
        <w:rPr>
          <w:rFonts w:ascii="Courier New" w:cs="Courier New" w:eastAsia="Courier New" w:hAnsi="Courier New"/>
          <w:sz w:val="18"/>
          <w:szCs w:val="18"/>
          <w:color w:val="auto"/>
        </w:rPr>
        <w:t>Audit Committee Charter</w:t>
      </w:r>
    </w:p>
    <w:sectPr>
      <w:pgSz w:w="11900" w:h="16838" w:orient="portrait"/>
      <w:cols w:equalWidth="0" w:num="1">
        <w:col w:w="9684"/>
      </w:cols>
      <w:pgMar w:left="775"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2019-12-13T07:50:08Z</dcterms:created>
  <dcterms:modified xsi:type="dcterms:W3CDTF">2019-12-13T07:50:08Z</dcterms:modified>
</cp:coreProperties>
</file>