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220" w:val="left"/>
          <w:tab w:leader="none" w:pos="4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  Definitive Additional Materials</w:t>
            </w:r>
          </w:p>
        </w:tc>
      </w:tr>
      <w:tr>
        <w:trPr>
          <w:trHeight w:val="230"/>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  Soliciting Material Pursuant to Section 240.14a-2.</w:t>
            </w:r>
          </w:p>
        </w:tc>
      </w:tr>
      <w:tr>
        <w:trPr>
          <w:trHeight w:val="392"/>
        </w:trPr>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52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1"/>
              </w:rPr>
              <w:t>Twin Disc, Incorporated</w:t>
            </w:r>
          </w:p>
        </w:tc>
      </w:tr>
      <w:tr>
        <w:trPr>
          <w:trHeight w:val="20"/>
        </w:trPr>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140" w:type="dxa"/>
            <w:vAlign w:val="bottom"/>
            <w:gridSpan w:val="3"/>
          </w:tcPr>
          <w:p>
            <w:pPr>
              <w:jc w:val="center"/>
              <w:ind w:left="2870"/>
              <w:spacing w:after="0"/>
              <w:rPr>
                <w:sz w:val="20"/>
                <w:szCs w:val="20"/>
                <w:color w:val="auto"/>
              </w:rPr>
            </w:pPr>
            <w:r>
              <w:rPr>
                <w:rFonts w:ascii="Arial" w:cs="Arial" w:eastAsia="Arial" w:hAnsi="Arial"/>
                <w:sz w:val="18"/>
                <w:szCs w:val="18"/>
                <w:color w:val="auto"/>
                <w:w w:val="91"/>
              </w:rPr>
              <w:t>(Name of Registrant as Specified In Its Charter)</w:t>
            </w:r>
          </w:p>
        </w:tc>
      </w:tr>
      <w:tr>
        <w:trPr>
          <w:trHeight w:val="418"/>
        </w:trPr>
        <w:tc>
          <w:tcPr>
            <w:tcW w:w="160" w:type="dxa"/>
            <w:vAlign w:val="bottom"/>
          </w:tcPr>
          <w:p>
            <w:pPr>
              <w:spacing w:after="0"/>
              <w:rPr>
                <w:sz w:val="24"/>
                <w:szCs w:val="24"/>
                <w:color w:val="auto"/>
              </w:rPr>
            </w:pPr>
          </w:p>
        </w:tc>
        <w:tc>
          <w:tcPr>
            <w:tcW w:w="8140" w:type="dxa"/>
            <w:vAlign w:val="bottom"/>
            <w:gridSpan w:val="3"/>
          </w:tcPr>
          <w:p>
            <w:pPr>
              <w:jc w:val="center"/>
              <w:ind w:left="2890"/>
              <w:spacing w:after="0"/>
              <w:rPr>
                <w:sz w:val="20"/>
                <w:szCs w:val="20"/>
                <w:color w:val="auto"/>
              </w:rPr>
            </w:pPr>
            <w:r>
              <w:rPr>
                <w:rFonts w:ascii="Arial" w:cs="Arial" w:eastAsia="Arial" w:hAnsi="Arial"/>
                <w:sz w:val="18"/>
                <w:szCs w:val="18"/>
                <w:color w:val="auto"/>
                <w:w w:val="89"/>
              </w:rPr>
              <w:t>____________________________________________</w:t>
            </w:r>
          </w:p>
        </w:tc>
      </w:tr>
      <w:tr>
        <w:trPr>
          <w:trHeight w:val="230"/>
        </w:trPr>
        <w:tc>
          <w:tcPr>
            <w:tcW w:w="160" w:type="dxa"/>
            <w:vAlign w:val="bottom"/>
          </w:tcPr>
          <w:p>
            <w:pPr>
              <w:spacing w:after="0"/>
              <w:rPr>
                <w:sz w:val="20"/>
                <w:szCs w:val="20"/>
                <w:color w:val="auto"/>
              </w:rPr>
            </w:pPr>
          </w:p>
        </w:tc>
        <w:tc>
          <w:tcPr>
            <w:tcW w:w="8140" w:type="dxa"/>
            <w:vAlign w:val="bottom"/>
            <w:gridSpan w:val="3"/>
          </w:tcPr>
          <w:p>
            <w:pPr>
              <w:jc w:val="center"/>
              <w:ind w:left="2890"/>
              <w:spacing w:after="0"/>
              <w:rPr>
                <w:sz w:val="20"/>
                <w:szCs w:val="20"/>
                <w:color w:val="auto"/>
              </w:rPr>
            </w:pPr>
            <w:r>
              <w:rPr>
                <w:rFonts w:ascii="Arial" w:cs="Arial" w:eastAsia="Arial" w:hAnsi="Arial"/>
                <w:sz w:val="18"/>
                <w:szCs w:val="18"/>
                <w:color w:val="auto"/>
                <w:w w:val="91"/>
              </w:rPr>
              <w:t>(Name of Person(s) Filing Proxy Statement if other than the Registrant)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1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1340" w:hanging="481"/>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340" w:hanging="481"/>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40" w:hanging="481"/>
        <w:spacing w:after="0" w:line="277" w:lineRule="auto"/>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transactions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340" w:hanging="481"/>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238" w:lineRule="exact"/>
        <w:rPr>
          <w:rFonts w:ascii="Arial" w:cs="Arial" w:eastAsia="Arial" w:hAnsi="Arial"/>
          <w:sz w:val="18"/>
          <w:szCs w:val="18"/>
          <w:color w:val="auto"/>
        </w:rPr>
      </w:pPr>
    </w:p>
    <w:p>
      <w:pPr>
        <w:ind w:left="1340" w:hanging="481"/>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-1116330</wp:posOffset>
            </wp:positionV>
            <wp:extent cx="2889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-833755</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-413385</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-130175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152400</wp:posOffset>
            </wp:positionV>
            <wp:extent cx="2889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Fee paid previously with preliminary materials.</w:t>
      </w:r>
    </w:p>
    <w:p>
      <w:pPr>
        <w:spacing w:after="0" w:line="225" w:lineRule="exact"/>
        <w:rPr>
          <w:sz w:val="24"/>
          <w:szCs w:val="24"/>
          <w:color w:val="auto"/>
        </w:rPr>
      </w:pPr>
    </w:p>
    <w:p>
      <w:pPr>
        <w:ind w:right="680" w:firstLine="8"/>
        <w:spacing w:after="0" w:line="258"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1300" w:hanging="45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300" w:hanging="45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300" w:hanging="45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300" w:hanging="45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-695960</wp:posOffset>
            </wp:positionV>
            <wp:extent cx="2881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-413385</wp:posOffset>
            </wp:positionV>
            <wp:extent cx="2881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-130175</wp:posOffset>
            </wp:positionV>
            <wp:extent cx="2881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152400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11430</wp:posOffset>
            </wp:positionV>
            <wp:extent cx="1724025"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 – OCTOBER 31,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Twin Disc, Incorporated, a Wisconsin corporation (the “Corporation”), will be held at 2:00 P.M. (Central Time)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Thursday, October 31, 2019, at the Corporate Offices, 1328 Racine Street, Racine, Wisconsin 53403 (the “Annual Meeting”) for the following purposes:</w:t>
      </w:r>
    </w:p>
    <w:p>
      <w:pPr>
        <w:spacing w:after="0" w:line="222" w:lineRule="exact"/>
        <w:rPr>
          <w:sz w:val="20"/>
          <w:szCs w:val="20"/>
          <w:color w:val="auto"/>
        </w:rPr>
      </w:pPr>
    </w:p>
    <w:p>
      <w:pPr>
        <w:ind w:left="500" w:hanging="6"/>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serve until the Annual Meeting of Shareholders in 2022 and one director to serve until the Annual Meeting of Shareholders in 2020.</w:t>
      </w:r>
    </w:p>
    <w:p>
      <w:pPr>
        <w:spacing w:after="0" w:line="170" w:lineRule="exact"/>
        <w:rPr>
          <w:rFonts w:ascii="Arial" w:cs="Arial" w:eastAsia="Arial" w:hAnsi="Arial"/>
          <w:sz w:val="18"/>
          <w:szCs w:val="18"/>
          <w:color w:val="auto"/>
        </w:rPr>
      </w:pPr>
    </w:p>
    <w:p>
      <w:pPr>
        <w:ind w:left="680" w:hanging="18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25" w:lineRule="exact"/>
        <w:rPr>
          <w:rFonts w:ascii="Arial" w:cs="Arial" w:eastAsia="Arial" w:hAnsi="Arial"/>
          <w:sz w:val="18"/>
          <w:szCs w:val="18"/>
          <w:color w:val="auto"/>
        </w:rPr>
      </w:pPr>
    </w:p>
    <w:p>
      <w:pPr>
        <w:ind w:left="500" w:right="100" w:hanging="6"/>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June 30, 2020.</w:t>
      </w:r>
    </w:p>
    <w:p>
      <w:pPr>
        <w:spacing w:after="0" w:line="170" w:lineRule="exact"/>
        <w:rPr>
          <w:rFonts w:ascii="Arial" w:cs="Arial" w:eastAsia="Arial" w:hAnsi="Arial"/>
          <w:sz w:val="18"/>
          <w:szCs w:val="18"/>
          <w:color w:val="auto"/>
        </w:rPr>
      </w:pPr>
    </w:p>
    <w:p>
      <w:pPr>
        <w:ind w:left="680" w:hanging="18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22, 2019, shall be entitled to vote at the Annual Meeting.</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8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S. Knutson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October 31, 2019</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Our proxy materials, including the Proxy Statement and 2019 Annual Report on Form 10-K, are available over the internet at </w:t>
      </w:r>
      <w:r>
        <w:rPr>
          <w:rFonts w:ascii="Arial" w:cs="Arial" w:eastAsia="Arial" w:hAnsi="Arial"/>
          <w:sz w:val="18"/>
          <w:szCs w:val="18"/>
          <w:b w:val="1"/>
          <w:bCs w:val="1"/>
          <w:u w:val="single" w:color="auto"/>
          <w:color w:val="auto"/>
        </w:rPr>
        <w:t>http://ir.twindisc.com/proxy</w:t>
      </w:r>
      <w:r>
        <w:rPr>
          <w:rFonts w:ascii="Arial" w:cs="Arial" w:eastAsia="Arial" w:hAnsi="Arial"/>
          <w:sz w:val="18"/>
          <w:szCs w:val="18"/>
          <w:color w:val="auto"/>
        </w:rPr>
        <w:t>, and most of our stockholders will receive only a notice (“Notice”) containing instructions on how to access the proxy materials over the internet and vote online. If you receive this Notice but would still like to receive paper copies of the proxy materials, please follow the instructions on the Notice or on the website referred to on the Notice.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THREE OPTIONS YOU HAVE FOR VOTING YOUR SHARES: (1) YOU MAY DIRECT YOUR VOTE VIA THE INTERNET; (2) YOU MAY DIRECT YOUR VOTE BY TELEPHONE; OR (3) IF YOU RECEIVED PAPER COPIES OF THE PROXY MATERIALS, YOU MAY SIGN AND RETURN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2019 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12,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Thursday, October 31, 2019, or any adjournment thereof. Holders of common stock of record at the close of business on August 22, 2019,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first send this proxy statement to shareholders on or about September 12,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APPOINTMENT AND REVOCATION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may vote by delivery, either in person, by mail or by messenger, of the enclosed proxy appointment form. Appointment forms must be received by the Secretary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Shareholders may also vote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Wednesday, October 30, 2019. Shareholders that vote via the Internet should understand that there might be costs associated with electronic access that they must bear, such as usage charges from Internet access providers and telecommunications companies.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record date with respect to this solicitation is August 22, 2019. On that date, there were outstanding 13,332,485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SHAREHOLDER PROPOSALS FOR 2020</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2020 Annual Meeting of Shareholders, the proposal must be received at the Corporation’s principal executive offices no later than May 15, 2020. Shareholder proposals received later than July 14, 2020 will be considered untimely, and will not be considered at the Corporation’s 2020 Annual Meeting. Any such proposal must comply with the requirements of Section (14)(a) of the Corporation’s Restated Bylaws.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2020 Annual Meeting, such notice must be delivered to or mailed and received at the principal executive offices of the Corporation no later than July 14, 2020. Any such notice must comply with the requirements of Section (14)(b) of the Corporation’s Restated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Brokers and other nominees may vote on the ratification of the appointment of RSM US LLP as our independent auditors for the fiscal year ending June 30, 2020 (Proposal No. 3) without specific instructions from beneficial owners. Therefore, no broker non-votes are expected to exist in connection with this proposal. However, brokers or other nominees may not vote on the election of Directors (Proposal No. 1) or the advisory vote on Named Executive Officer compensation (Proposal No. 2) without specific instructions from the beneficial owners of the shares. Therefore, an undetermined number of broker non-votes may occur on Proposals No. 1 and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20, 2019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Nature of</w:t>
            </w: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4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Beneficial</w:t>
            </w:r>
          </w:p>
        </w:tc>
        <w:tc>
          <w:tcPr>
            <w:tcW w:w="2040" w:type="dxa"/>
            <w:vAlign w:val="bottom"/>
          </w:tcPr>
          <w:p>
            <w:pPr>
              <w:jc w:val="right"/>
              <w:ind w:right="770"/>
              <w:spacing w:after="0"/>
              <w:rPr>
                <w:sz w:val="20"/>
                <w:szCs w:val="20"/>
                <w:color w:val="auto"/>
              </w:rPr>
            </w:pPr>
            <w:r>
              <w:rPr>
                <w:rFonts w:ascii="Arial" w:cs="Arial" w:eastAsia="Arial" w:hAnsi="Arial"/>
                <w:sz w:val="18"/>
                <w:szCs w:val="18"/>
                <w:b w:val="1"/>
                <w:bCs w:val="1"/>
                <w:color w:val="auto"/>
              </w:rPr>
              <w:t>Amount</w:t>
            </w: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Address</w:t>
            </w:r>
          </w:p>
        </w:tc>
        <w:tc>
          <w:tcPr>
            <w:tcW w:w="24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Ownership</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Owned</w:t>
            </w: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704 Waters Edge Rd.</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Power to vote</w:t>
            </w:r>
          </w:p>
        </w:tc>
        <w:tc>
          <w:tcPr>
            <w:tcW w:w="2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2,412,647</w:t>
            </w:r>
            <w:r>
              <w:rPr>
                <w:rFonts w:ascii="Arial" w:cs="Arial" w:eastAsia="Arial" w:hAnsi="Arial"/>
                <w:sz w:val="15"/>
                <w:szCs w:val="15"/>
                <w:color w:val="auto"/>
              </w:rPr>
              <w:t>(1)</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Racine, WI</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Beneficial</w:t>
            </w:r>
          </w:p>
        </w:tc>
        <w:tc>
          <w:tcPr>
            <w:tcW w:w="2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182,101</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GAMCO Investors, Inc.</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Power to vote &amp;</w:t>
            </w:r>
          </w:p>
        </w:tc>
        <w:tc>
          <w:tcPr>
            <w:tcW w:w="2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2,345,654</w:t>
            </w:r>
            <w:r>
              <w:rPr>
                <w:rFonts w:ascii="Arial" w:cs="Arial" w:eastAsia="Arial" w:hAnsi="Arial"/>
                <w:sz w:val="15"/>
                <w:szCs w:val="15"/>
                <w:color w:val="auto"/>
              </w:rPr>
              <w:t>(2)</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Rye, NY</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dispose of stock</w:t>
            </w: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Dimensional Fund</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6300 Bee Cave Road</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Power to vote &amp;</w:t>
            </w:r>
          </w:p>
        </w:tc>
        <w:tc>
          <w:tcPr>
            <w:tcW w:w="2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687,244</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Advisor, L.P.</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Austin, TX</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dispose of stock</w:t>
            </w: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Juniper Investment</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555 Madison Avenue</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Power to vote &amp;</w:t>
            </w:r>
          </w:p>
        </w:tc>
        <w:tc>
          <w:tcPr>
            <w:tcW w:w="2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672,894</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New York, NY</w:t>
            </w:r>
          </w:p>
        </w:tc>
        <w:tc>
          <w:tcPr>
            <w:tcW w:w="2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dispose of stock</w:t>
            </w: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a non-immediate family member.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shares held by various entities which are directly or indirectly controlled by Mario J. Gabelli and for which he acts as chief investment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20, 2019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 of</w:t>
            </w:r>
          </w:p>
        </w:tc>
        <w:tc>
          <w:tcPr>
            <w:tcW w:w="2620" w:type="dxa"/>
            <w:vAlign w:val="bottom"/>
          </w:tcPr>
          <w:p>
            <w:pPr>
              <w:jc w:val="right"/>
              <w:ind w:right="468"/>
              <w:spacing w:after="0"/>
              <w:rPr>
                <w:sz w:val="20"/>
                <w:szCs w:val="20"/>
                <w:color w:val="auto"/>
              </w:rPr>
            </w:pPr>
            <w:r>
              <w:rPr>
                <w:rFonts w:ascii="Arial" w:cs="Arial" w:eastAsia="Arial" w:hAnsi="Arial"/>
                <w:sz w:val="18"/>
                <w:szCs w:val="18"/>
                <w:b w:val="1"/>
                <w:bCs w:val="1"/>
                <w:color w:val="auto"/>
              </w:rPr>
              <w:t>Amount and Nature</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620" w:type="dxa"/>
            <w:vAlign w:val="bottom"/>
          </w:tcPr>
          <w:p>
            <w:pPr>
              <w:jc w:val="right"/>
              <w:ind w:right="208"/>
              <w:spacing w:after="0" w:line="271" w:lineRule="exact"/>
              <w:rPr>
                <w:sz w:val="20"/>
                <w:szCs w:val="20"/>
                <w:color w:val="auto"/>
              </w:rPr>
            </w:pPr>
            <w:r>
              <w:rPr>
                <w:rFonts w:ascii="Arial" w:cs="Arial" w:eastAsia="Arial" w:hAnsi="Arial"/>
                <w:sz w:val="18"/>
                <w:szCs w:val="18"/>
                <w:b w:val="1"/>
                <w:bCs w:val="1"/>
                <w:color w:val="auto"/>
                <w:w w:val="99"/>
              </w:rPr>
              <w:t xml:space="preserve">of Beneficial Ownership </w:t>
            </w:r>
            <w:r>
              <w:rPr>
                <w:rFonts w:ascii="Arial" w:cs="Arial" w:eastAsia="Arial" w:hAnsi="Arial"/>
                <w:sz w:val="30"/>
                <w:szCs w:val="30"/>
                <w:b w:val="1"/>
                <w:bCs w:val="1"/>
                <w:color w:val="auto"/>
                <w:w w:val="99"/>
                <w:vertAlign w:val="superscript"/>
              </w:rPr>
              <w:t>(1)</w:t>
            </w:r>
          </w:p>
        </w:tc>
        <w:tc>
          <w:tcPr>
            <w:tcW w:w="1620" w:type="dxa"/>
            <w:vAlign w:val="bottom"/>
          </w:tcPr>
          <w:p>
            <w:pPr>
              <w:jc w:val="right"/>
              <w:ind w:right="92"/>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John H. Batten</w:t>
            </w:r>
          </w:p>
        </w:tc>
        <w:tc>
          <w:tcPr>
            <w:tcW w:w="2620" w:type="dxa"/>
            <w:vAlign w:val="bottom"/>
            <w:shd w:val="clear" w:color="auto" w:fill="000000"/>
          </w:tcPr>
          <w:p>
            <w:pPr>
              <w:jc w:val="right"/>
              <w:ind w:right="648"/>
              <w:spacing w:after="0" w:line="29" w:lineRule="exact"/>
              <w:rPr>
                <w:sz w:val="20"/>
                <w:szCs w:val="20"/>
                <w:color w:val="auto"/>
              </w:rPr>
            </w:pPr>
            <w:r>
              <w:rPr>
                <w:rFonts w:ascii="Arial" w:cs="Arial" w:eastAsia="Arial" w:hAnsi="Arial"/>
                <w:sz w:val="3"/>
                <w:szCs w:val="3"/>
                <w:color w:val="auto"/>
              </w:rPr>
              <w:t>2,594,748</w:t>
            </w:r>
          </w:p>
        </w:tc>
        <w:tc>
          <w:tcPr>
            <w:tcW w:w="1620" w:type="dxa"/>
            <w:vAlign w:val="bottom"/>
            <w:shd w:val="clear" w:color="auto" w:fill="000000"/>
          </w:tcPr>
          <w:p>
            <w:pPr>
              <w:jc w:val="right"/>
              <w:ind w:right="452"/>
              <w:spacing w:after="0" w:line="29" w:lineRule="exact"/>
              <w:rPr>
                <w:sz w:val="20"/>
                <w:szCs w:val="20"/>
                <w:color w:val="auto"/>
              </w:rPr>
            </w:pPr>
            <w:r>
              <w:rPr>
                <w:rFonts w:ascii="Arial" w:cs="Arial" w:eastAsia="Arial" w:hAnsi="Arial"/>
                <w:sz w:val="3"/>
                <w:szCs w:val="3"/>
                <w:color w:val="auto"/>
              </w:rPr>
              <w:t>19.5%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Jeffrey S. Knutson</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61,494</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(3)</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Dean J. Bratel</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54,439</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(4)</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Michael Doar</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41,282</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Janet P. Giesselman</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12,129</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David W. Johnson</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13,798</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David B. Rayburn</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48,256</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Michael C. Smiley</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24,264</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Harold M. Stratton II</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40,982</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David R. Zimmer</w:t>
            </w:r>
          </w:p>
        </w:tc>
        <w:tc>
          <w:tcPr>
            <w:tcW w:w="2620" w:type="dxa"/>
            <w:vAlign w:val="bottom"/>
            <w:shd w:val="clear" w:color="auto" w:fill="CCEEFF"/>
          </w:tcPr>
          <w:p>
            <w:pPr>
              <w:jc w:val="right"/>
              <w:ind w:right="648"/>
              <w:spacing w:after="0" w:line="27" w:lineRule="exact"/>
              <w:rPr>
                <w:sz w:val="20"/>
                <w:szCs w:val="20"/>
                <w:color w:val="auto"/>
              </w:rPr>
            </w:pPr>
            <w:r>
              <w:rPr>
                <w:rFonts w:ascii="Arial" w:cs="Arial" w:eastAsia="Arial" w:hAnsi="Arial"/>
                <w:sz w:val="3"/>
                <w:szCs w:val="3"/>
                <w:color w:val="auto"/>
              </w:rPr>
              <w:t>35,132</w:t>
            </w:r>
          </w:p>
        </w:tc>
        <w:tc>
          <w:tcPr>
            <w:tcW w:w="1620" w:type="dxa"/>
            <w:vAlign w:val="bottom"/>
            <w:shd w:val="clear" w:color="auto" w:fill="CCEEFF"/>
          </w:tcPr>
          <w:p>
            <w:pPr>
              <w:jc w:val="right"/>
              <w:ind w:right="512"/>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All Directors and Executive Officers as a group</w:t>
            </w:r>
          </w:p>
        </w:tc>
        <w:tc>
          <w:tcPr>
            <w:tcW w:w="2620" w:type="dxa"/>
            <w:vAlign w:val="bottom"/>
            <w:vMerge w:val="restart"/>
          </w:tcPr>
          <w:p>
            <w:pPr>
              <w:jc w:val="right"/>
              <w:ind w:right="648"/>
              <w:spacing w:after="0"/>
              <w:rPr>
                <w:sz w:val="20"/>
                <w:szCs w:val="20"/>
                <w:color w:val="auto"/>
              </w:rPr>
            </w:pPr>
            <w:r>
              <w:rPr>
                <w:rFonts w:ascii="Arial" w:cs="Arial" w:eastAsia="Arial" w:hAnsi="Arial"/>
                <w:sz w:val="18"/>
                <w:szCs w:val="18"/>
                <w:color w:val="auto"/>
              </w:rPr>
              <w:t>3,049,083</w:t>
            </w:r>
          </w:p>
        </w:tc>
        <w:tc>
          <w:tcPr>
            <w:tcW w:w="1620" w:type="dxa"/>
            <w:vAlign w:val="bottom"/>
            <w:vMerge w:val="restart"/>
          </w:tcPr>
          <w:p>
            <w:pPr>
              <w:jc w:val="right"/>
              <w:ind w:right="45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9"/>
        </w:trPr>
        <w:tc>
          <w:tcPr>
            <w:tcW w:w="3740" w:type="dxa"/>
            <w:vAlign w:val="bottom"/>
            <w:gridSpan w:val="2"/>
          </w:tcPr>
          <w:p>
            <w:pPr>
              <w:spacing w:after="0" w:line="30" w:lineRule="exact"/>
              <w:rPr>
                <w:sz w:val="20"/>
                <w:szCs w:val="20"/>
                <w:color w:val="auto"/>
              </w:rPr>
            </w:pPr>
            <w:r>
              <w:rPr>
                <w:rFonts w:ascii="Arial" w:cs="Arial" w:eastAsia="Arial" w:hAnsi="Arial"/>
                <w:sz w:val="3"/>
                <w:szCs w:val="3"/>
                <w:color w:val="auto"/>
              </w:rPr>
              <w:t>(15 persons)</w:t>
            </w:r>
          </w:p>
        </w:tc>
        <w:tc>
          <w:tcPr>
            <w:tcW w:w="2620" w:type="dxa"/>
            <w:vAlign w:val="bottom"/>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20" w:type="dxa"/>
            <w:vAlign w:val="bottom"/>
          </w:tcPr>
          <w:p>
            <w:pPr>
              <w:jc w:val="right"/>
              <w:ind w:right="468"/>
              <w:spacing w:after="0"/>
              <w:rPr>
                <w:sz w:val="20"/>
                <w:szCs w:val="20"/>
                <w:color w:val="auto"/>
              </w:rPr>
            </w:pPr>
            <w:r>
              <w:rPr>
                <w:rFonts w:ascii="Arial" w:cs="Arial" w:eastAsia="Arial" w:hAnsi="Arial"/>
                <w:sz w:val="15"/>
                <w:szCs w:val="15"/>
                <w:color w:val="auto"/>
              </w:rPr>
              <w:t>(5)</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Denotes ownership of less than one percent of shares outstanding.</w:t>
      </w:r>
    </w:p>
    <w:p>
      <w:pPr>
        <w:spacing w:after="0" w:line="225" w:lineRule="exact"/>
        <w:rPr>
          <w:sz w:val="20"/>
          <w:szCs w:val="20"/>
          <w:color w:val="auto"/>
        </w:rPr>
      </w:pPr>
    </w:p>
    <w:p>
      <w:pPr>
        <w:ind w:left="500" w:right="1460" w:hanging="6"/>
        <w:spacing w:after="0" w:line="274" w:lineRule="auto"/>
        <w:tabs>
          <w:tab w:leader="none" w:pos="755"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00" w:right="1600" w:hanging="6"/>
        <w:spacing w:after="0" w:line="250" w:lineRule="auto"/>
        <w:tabs>
          <w:tab w:leader="none" w:pos="7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2,412,647 shares held by Mr. Batten as trustee under various family trusts and as guardian for non-immediate family member. Also includes restricted stock grants of 19,259 shares that vest in fiscal 2021.</w:t>
      </w: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8,117 shares that vest in fiscal 2021, and 13,192 shares that vest in fiscal 2023.</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7,379 shares that vest in fiscal 2021 and 10,639 shares that vest in fiscal 2023.</w:t>
      </w:r>
    </w:p>
    <w:p>
      <w:pPr>
        <w:spacing w:after="0" w:line="9" w:lineRule="exact"/>
        <w:rPr>
          <w:rFonts w:ascii="Arial" w:cs="Arial" w:eastAsia="Arial" w:hAnsi="Arial"/>
          <w:sz w:val="18"/>
          <w:szCs w:val="18"/>
          <w:color w:val="auto"/>
        </w:rPr>
      </w:pPr>
    </w:p>
    <w:p>
      <w:pPr>
        <w:jc w:val="both"/>
        <w:ind w:left="500" w:right="1220" w:hanging="6"/>
        <w:spacing w:after="0" w:line="254" w:lineRule="auto"/>
        <w:tabs>
          <w:tab w:leader="none" w:pos="7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subject to currently exercisable stock options included in the above are as follows: Mr. Doar 1,200, Mr. Rayburn 1,200, Mr. Stratton 1,200 and all Directors and executive officers as a group 3,600. Also included above are unvested restricted shares as follows: Mr. Doar 3,264, Ms. Giesselman 3,264, Mr. Johnson 3,264, Mr. Rayburn 3,264, Mr. Smiley 1,330, Mr. Stratton 3,264 and Mr. Zimmer 3,264.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Board of Directors has nominated the following persons to serve as Directors for the Corporation, each for a term to expire at the Annual Meeting of Shareholders following the fiscal years ending June 30, 2022 and June 30, 2020, as indicated below. Shares of common stock represented by properly executed proxy appointments in the accompanying form or electronic proxy vote will be voted for the three nominees listed unless authority to do so is withheld.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Principal Occupation and Other</w:t>
            </w: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Name and</w:t>
            </w:r>
          </w:p>
        </w:tc>
        <w:tc>
          <w:tcPr>
            <w:tcW w:w="3600" w:type="dxa"/>
            <w:vAlign w:val="bottom"/>
          </w:tcPr>
          <w:p>
            <w:pPr>
              <w:ind w:left="340"/>
              <w:spacing w:after="0"/>
              <w:rPr>
                <w:sz w:val="20"/>
                <w:szCs w:val="20"/>
                <w:color w:val="auto"/>
              </w:rPr>
            </w:pPr>
            <w:r>
              <w:rPr>
                <w:rFonts w:ascii="Arial" w:cs="Arial" w:eastAsia="Arial" w:hAnsi="Arial"/>
                <w:sz w:val="18"/>
                <w:szCs w:val="18"/>
                <w:color w:val="auto"/>
              </w:rPr>
              <w:t>Public Company Directorships</w:t>
            </w:r>
          </w:p>
        </w:tc>
        <w:tc>
          <w:tcPr>
            <w:tcW w:w="33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Current Age</w:t>
            </w:r>
          </w:p>
        </w:tc>
        <w:tc>
          <w:tcPr>
            <w:tcW w:w="3600" w:type="dxa"/>
            <w:vAlign w:val="bottom"/>
          </w:tcPr>
          <w:p>
            <w:pPr>
              <w:ind w:left="340"/>
              <w:spacing w:after="0"/>
              <w:rPr>
                <w:sz w:val="20"/>
                <w:szCs w:val="20"/>
                <w:color w:val="auto"/>
              </w:rPr>
            </w:pPr>
            <w:r>
              <w:rPr>
                <w:rFonts w:ascii="Arial" w:cs="Arial" w:eastAsia="Arial" w:hAnsi="Arial"/>
                <w:sz w:val="18"/>
                <w:szCs w:val="18"/>
                <w:color w:val="auto"/>
              </w:rPr>
              <w:t>Held Within Past Five Years</w:t>
            </w:r>
          </w:p>
        </w:tc>
        <w:tc>
          <w:tcPr>
            <w:tcW w:w="3300" w:type="dxa"/>
            <w:vAlign w:val="bottom"/>
          </w:tcPr>
          <w:p>
            <w:pPr>
              <w:ind w:left="60"/>
              <w:spacing w:after="0"/>
              <w:rPr>
                <w:sz w:val="20"/>
                <w:szCs w:val="20"/>
                <w:color w:val="auto"/>
              </w:rPr>
            </w:pPr>
            <w:r>
              <w:rPr>
                <w:rFonts w:ascii="Arial" w:cs="Arial" w:eastAsia="Arial" w:hAnsi="Arial"/>
                <w:sz w:val="18"/>
                <w:szCs w:val="18"/>
                <w:color w:val="auto"/>
              </w:rPr>
              <w:t>Skills and Qualifications</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TERMS EXPIRE IN 2022:</w:t>
            </w:r>
          </w:p>
        </w:tc>
        <w:tc>
          <w:tcPr>
            <w:tcW w:w="36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H. Batten</w:t>
            </w:r>
          </w:p>
        </w:tc>
        <w:tc>
          <w:tcPr>
            <w:tcW w:w="3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Chief Executive Officer, Twin Disc,</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Mr. Batten is a sitting CEO of a public</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December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54</w:t>
            </w: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Incorporated since May 2019; formerly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His skill sets include strategic</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President and CEO since July 2013;</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operational planning, financial</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formerly President and Chief Operating</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oversight, and organizational development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Officer since July 2008, and Executive Vice</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well as extensive domestic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President since October 2004.</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international experience in engineered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products and a complex manufacturing</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environment.</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Harold M. Stratton II</w:t>
            </w:r>
          </w:p>
        </w:tc>
        <w:tc>
          <w:tcPr>
            <w:tcW w:w="3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Chairman of the Board and retired Chief</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Mr. Stratton is Board Chairman and retired</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71</w:t>
            </w: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Executive Officer, Strattec Security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CEO of a public company. He is skilled in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Corporation, Milwaukee, Wisconsin (A</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strategic planning, financial oversight,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leading manufacturer of mechanical and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compensation and organizational matters.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electro-mechanical locks, latches, power</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 addition, he has experience in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opening/closing systems and related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international markets and in an industry</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security/access control products for global</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involving complex manufacturing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automotive manufacturers).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products with high engineering content.</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TERM EXPIRES IN 2020:</w:t>
            </w:r>
          </w:p>
        </w:tc>
        <w:tc>
          <w:tcPr>
            <w:tcW w:w="36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C. Smiley</w:t>
            </w:r>
          </w:p>
        </w:tc>
        <w:tc>
          <w:tcPr>
            <w:tcW w:w="3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Former Chief Financial Officer, Zebra</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Mr. Smiley is a former CFO of a public</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August 2019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60</w:t>
            </w: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Technologies Corp., Lincolnshire, Illinois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His competencies include</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global provider of enterprise asset</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strategic planning, financial oversight,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intelligence solutions to identify, track and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mergers and acquisitions, extensive</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manage the deployment of critical assets for</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domestic and international experience in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improved business efficiency). Mr. Smiley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complex manufacturing and engineered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 previously a Director of the</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technology products.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Corporation from 2010-2018.</w:t>
            </w:r>
          </w:p>
        </w:tc>
        <w:tc>
          <w:tcPr>
            <w:tcW w:w="3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Principal Occupation and Other</w:t>
            </w: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Name and</w:t>
            </w:r>
          </w:p>
        </w:tc>
        <w:tc>
          <w:tcPr>
            <w:tcW w:w="3380" w:type="dxa"/>
            <w:vAlign w:val="bottom"/>
          </w:tcPr>
          <w:p>
            <w:pPr>
              <w:ind w:left="120"/>
              <w:spacing w:after="0"/>
              <w:rPr>
                <w:sz w:val="20"/>
                <w:szCs w:val="20"/>
                <w:color w:val="auto"/>
              </w:rPr>
            </w:pPr>
            <w:r>
              <w:rPr>
                <w:rFonts w:ascii="Arial" w:cs="Arial" w:eastAsia="Arial" w:hAnsi="Arial"/>
                <w:sz w:val="18"/>
                <w:szCs w:val="18"/>
                <w:color w:val="auto"/>
              </w:rPr>
              <w:t>Public Company Directorships</w:t>
            </w:r>
          </w:p>
        </w:tc>
        <w:tc>
          <w:tcPr>
            <w:tcW w:w="33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Current Age</w:t>
            </w:r>
          </w:p>
        </w:tc>
        <w:tc>
          <w:tcPr>
            <w:tcW w:w="3380" w:type="dxa"/>
            <w:vAlign w:val="bottom"/>
          </w:tcPr>
          <w:p>
            <w:pPr>
              <w:ind w:left="120"/>
              <w:spacing w:after="0"/>
              <w:rPr>
                <w:sz w:val="20"/>
                <w:szCs w:val="20"/>
                <w:color w:val="auto"/>
              </w:rPr>
            </w:pPr>
            <w:r>
              <w:rPr>
                <w:rFonts w:ascii="Arial" w:cs="Arial" w:eastAsia="Arial" w:hAnsi="Arial"/>
                <w:sz w:val="18"/>
                <w:szCs w:val="18"/>
                <w:color w:val="auto"/>
              </w:rPr>
              <w:t>Held Within Past Five Years</w:t>
            </w:r>
          </w:p>
        </w:tc>
        <w:tc>
          <w:tcPr>
            <w:tcW w:w="3300" w:type="dxa"/>
            <w:vAlign w:val="bottom"/>
          </w:tcPr>
          <w:p>
            <w:pPr>
              <w:ind w:left="60"/>
              <w:spacing w:after="0"/>
              <w:rPr>
                <w:sz w:val="20"/>
                <w:szCs w:val="20"/>
                <w:color w:val="auto"/>
              </w:rPr>
            </w:pPr>
            <w:r>
              <w:rPr>
                <w:rFonts w:ascii="Arial" w:cs="Arial" w:eastAsia="Arial" w:hAnsi="Arial"/>
                <w:sz w:val="18"/>
                <w:szCs w:val="18"/>
                <w:color w:val="auto"/>
              </w:rPr>
              <w:t>Skills and Qualifications</w:t>
            </w: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426"/>
        </w:trPr>
        <w:tc>
          <w:tcPr>
            <w:tcW w:w="5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CONTINUING DIRECTORS WHOSE TERMS EXPIRE IN 2020:</w:t>
            </w:r>
          </w:p>
        </w:tc>
        <w:tc>
          <w:tcPr>
            <w:tcW w:w="330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Doar</w:t>
            </w:r>
          </w:p>
        </w:tc>
        <w:tc>
          <w:tcPr>
            <w:tcW w:w="3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Chairman and Chief Executive Officer,</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Mr. Doar is a sitting CEO of a public</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October 2008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64</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Hurco Companies, Inc., Indianapolis,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company. His experience includes strategic</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Indiana (A global manufacturer of machine</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planning, financial oversight, compensation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tools)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organizational competencies.</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R. Zimmer</w:t>
            </w:r>
          </w:p>
        </w:tc>
        <w:tc>
          <w:tcPr>
            <w:tcW w:w="3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Retired Managing Partner, Stonebridge</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Mr. Zimmer is a former CEO of a public</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1995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73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LLC, Troy, Michigan (A merger,</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company and has also held a CFO position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and value consulting firm);</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in a public company. His skill sets include</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Formerly Chief Executive Officer, Twitchell</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strategic planning, financial oversight,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Corporation, Dothan, Alabama (A privately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and organizational</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held manufacturer and marketer of highly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development. His career includes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engineered synthetic yarns, fabrics,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international business in complex</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extrusions, and coatings); Also Director,</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manufacturing related industries, as well as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Strattec Security Corporation.</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mergers and acquisitions.</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2021:</w:t>
            </w: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B. Rayburn</w:t>
            </w:r>
          </w:p>
        </w:tc>
        <w:tc>
          <w:tcPr>
            <w:tcW w:w="3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Retired President and Chief Executive</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As a former CEO of a public company, Mr.</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71</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Officer, Modine Manufacturing Company,</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Rayburn has experience and skill sets in</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Racine, Wisconsin (A manufacturer of heat</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strategic planning, financial oversight,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equipment); Also Director,</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compensation policy and practices as well</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Lindsay Corporation (A provider of</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as organizational structure. In addition, Mr.</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irrigation and water management systems).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Rayburn’s background includes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international business, mergers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acquisitions, engineering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manufacturing in an industry related to the</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Janet P. Giesselman</w:t>
            </w:r>
          </w:p>
        </w:tc>
        <w:tc>
          <w:tcPr>
            <w:tcW w:w="3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Retired President and General Manager of</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Ms. Giesselman is a retired senior executive</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June 2015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65</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Dow Oil &amp; Gas, a business unit of The Dow</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a global public company. Her</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Chemical Company, Midland, Michigan.</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background includes strategic planning,</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Also Director, Ag Growth International (A</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financial oversight, sales, marketing, start-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global provider of grain handling and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ups, mergers and acquisitions and global</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storage equipment), Director, Omnova</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regulatory expertise. Ms. Giesselman has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Solutions (A global provider of emulsion</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extensive international experience and a</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polymers, specialty chemicals and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broad background in the oil and gas and the</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decorative and functional surfaces) and</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agricultural sectors.</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 .</w:t>
            </w:r>
          </w:p>
        </w:tc>
        <w:tc>
          <w:tcPr>
            <w:tcW w:w="3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Avicanna, Inc. (A</w:t>
            </w: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biopharmaceutical company</w:t>
            </w: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focused on cannabinoid-</w:t>
            </w: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products).</w:t>
            </w:r>
          </w:p>
        </w:tc>
        <w:tc>
          <w:tcPr>
            <w:tcW w:w="3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W. Johnson</w:t>
            </w:r>
          </w:p>
        </w:tc>
        <w:tc>
          <w:tcPr>
            <w:tcW w:w="3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Vice President and Chief Financial Officer,</w:t>
            </w:r>
          </w:p>
        </w:tc>
        <w:tc>
          <w:tcPr>
            <w:tcW w:w="3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Mr. Johnson is a sitting CFO of a public</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 56</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Johnson Outdoors, Inc., Racine, Wisconsin</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His strengths include financial</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 global provider of outdoor recreation</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leadership, new business development,</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operational restructuring, cost savings and</w:t>
            </w:r>
          </w:p>
        </w:tc>
        <w:tc>
          <w:tcPr>
            <w:tcW w:w="2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strategic analysis.</w:t>
            </w:r>
          </w:p>
        </w:tc>
        <w:tc>
          <w:tcPr>
            <w:tcW w:w="2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80" w:type="dxa"/>
            <w:vAlign w:val="bottom"/>
          </w:tcPr>
          <w:p>
            <w:pPr>
              <w:ind w:left="3140"/>
              <w:spacing w:after="0"/>
              <w:rPr>
                <w:sz w:val="20"/>
                <w:szCs w:val="20"/>
                <w:color w:val="auto"/>
              </w:rPr>
            </w:pPr>
            <w:r>
              <w:rPr>
                <w:rFonts w:ascii="Arial" w:cs="Arial" w:eastAsia="Arial" w:hAnsi="Arial"/>
                <w:sz w:val="18"/>
                <w:szCs w:val="18"/>
                <w:color w:val="auto"/>
              </w:rPr>
              <w:t>7</w:t>
            </w:r>
          </w:p>
        </w:tc>
        <w:tc>
          <w:tcPr>
            <w:tcW w:w="3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PROPOSAL 2: ADVISORY VOTE ON THE COMPENSATION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CORPORATION’S NAMED EXECUTIVE OFFICERS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2019 compensation practices and programs for the Named Executive Officers by voting on the following resolution:</w:t>
      </w:r>
    </w:p>
    <w:p>
      <w:pPr>
        <w:spacing w:after="0" w:line="167" w:lineRule="exact"/>
        <w:rPr>
          <w:sz w:val="20"/>
          <w:szCs w:val="20"/>
          <w:color w:val="auto"/>
        </w:rPr>
      </w:pPr>
    </w:p>
    <w:p>
      <w:pPr>
        <w:ind w:left="660" w:right="78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Corporation’s Named Executive Officers, as disclosed pursuant to Item 402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S-K including the executive compensation disclosures, is hereby </w:t>
      </w:r>
      <w:r>
        <w:rPr>
          <w:rFonts w:ascii="Arial" w:cs="Arial" w:eastAsia="Arial" w:hAnsi="Arial"/>
          <w:sz w:val="18"/>
          <w:szCs w:val="18"/>
          <w:b w:val="1"/>
          <w:bCs w:val="1"/>
          <w:color w:val="auto"/>
        </w:rPr>
        <w:t>APPROVED</w:t>
      </w:r>
      <w:r>
        <w:rPr>
          <w:rFonts w:ascii="Arial" w:cs="Arial" w:eastAsia="Arial" w:hAnsi="Arial"/>
          <w:sz w:val="18"/>
          <w:szCs w:val="18"/>
          <w:color w:val="auto"/>
        </w:rPr>
        <w:t>.</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2016 subject to three-year objectives for revenue, return on invested capital and earnings per share.</w:t>
      </w:r>
    </w:p>
    <w:p>
      <w:pPr>
        <w:ind w:right="200"/>
        <w:spacing w:after="0" w:line="261" w:lineRule="auto"/>
        <w:rPr>
          <w:sz w:val="20"/>
          <w:szCs w:val="20"/>
          <w:color w:val="auto"/>
        </w:rPr>
      </w:pPr>
      <w:r>
        <w:rPr>
          <w:rFonts w:ascii="Arial" w:cs="Arial" w:eastAsia="Arial" w:hAnsi="Arial"/>
          <w:sz w:val="18"/>
          <w:szCs w:val="18"/>
          <w:color w:val="auto"/>
        </w:rPr>
        <w:t>Based on the cumulative performance of the Corporation over the past three fiscal years with respect to these three performance measures, the 2016 awards vested at 78.86% of target. The remaining shares expired unvested in 2019.</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PROPOSAL 3: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has selected RSM US LLP (“RSM”) as our independent registered public accounting firm for the fiscal year ending June 30, 2020, including service to our consolidated subsidiaries. RSM has acted in this capacity since fiscal 2018, following a competitive bidding process. A representative of RSM will be present at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Aggregate fees billed or expected to be billed for professional services rendered by RSM in connection with (i) the audit of the Corporation’s consolidated financial statements as of and for the years ended June 30, 2019 and June 30, 2018, including statutory audits of the financial statements of the Corporation’s affiliates, and (ii) the reviews of the Corporation’s quarterly financial statements were $1,295,900 and $823,300, respectively. Fiscal 2019 fees include procedures and accounting consultations related to the Veth Propulsion business combination, additional statutory audits as a result of the Veth Propulsion acquisition and the Twinsa legal entity restructuring, and services related to new accounting standards.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Aggregate fees billed for professional services rendered by RSM for assurance and services reasonably related to the performance of the audit or review of the Corporation’s financial statements not included in audit fees above were $298,200 and $12,300 for the years ended June 30, 2019 and 2018, respectively. The fiscal 2019 fees are related to the Corporation’s registration statements, and consist of services performed to provide consents and comfort letters in support of the Form S-3 and Form S-8. Audit-related fees also consist of the audit of the pre-acquisition financial statements, interim reviews and related financial information of Veth Propulsion that were included in the Form 8-K/A. The fiscal 2018 fee relates to work associated with the evaluation and reporting for the Tax Cuts and Jobs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Aggregate fees of $0 and $0 were billed by RSM during the years ended June 30, 2019 and 2018, respectively, pertaining to tax compliance, tax advice, and tax planning. Included in this amount are fees for tax compliance services of $0 and $0 during the years ended June 30,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June 30, 2019 and 2018, $0 and $0 were billed by RSM for products and services other than those listed above.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2019, 100% of audit-related, tax and other fees were pre-approved.</w:t>
      </w:r>
    </w:p>
    <w:p>
      <w:pPr>
        <w:spacing w:after="0" w:line="18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THE BOARD OF DIRECTORS RECOMMENDS THAT YOU VOTE TO RATIFY THE SELECTION OF RSM US LLP AS OUR INDEPENDENT AUDITORS FOR THE FISCAL YEAR ENDING JUNE 30, 2020. UNLESS YOU INDICATE OTHERWISE, YOUR PROXY WILL BE VOTED "FOR" RATIFICATION.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Chief Executive Officer and with key members of management, by reviewing materials provided to them, and by participating in meetings of the Board of Directors and its committees.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and/or through appropriate mailings.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Rayburn, Smiley, Stratton and Zimmer, and Ms. Giesselman.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5"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Various committees of the Board also have roles in the oversight of risk management. In particular, the Finance and Risk Management Committee oversees the Company’s risk management framework and strategy, management’s proposed financial policies and actions, and the financial status of the Company’s defined benefit pension plans.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Arial" w:cs="Arial" w:eastAsia="Arial" w:hAnsi="Arial"/>
          <w:sz w:val="17"/>
          <w:szCs w:val="17"/>
          <w:u w:val="single" w:color="auto"/>
          <w:color w:val="auto"/>
        </w:rPr>
        <w:t>www.twindisc.com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2018 or fiscal 2019 requiring disclosure under the rules of the Securities and Exchange Commission.</w:t>
      </w:r>
    </w:p>
    <w:p>
      <w:pPr>
        <w:spacing w:after="0" w:line="18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Corporation’s Board of Directors met five times during the year ended June 30, 2019. Among incumbent Directors, there were no absences from these meetings. The Audit Committee met five times during the year. The Nominating and Governance Committee met two times during the year. The Compensation and Executive Development Committee met four times during the year. The Finance and Risk Management Committee met three times during the year. Each incumbent Director attended at least 75% of the aggregate of the total number of meetings of the Board of Directors and of the Committees on which the Director served.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It was most recently reviewed on April 30, 2019.</w:t>
      </w:r>
    </w:p>
    <w:p>
      <w:pPr>
        <w:spacing w:after="0" w:line="2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Mr. Doar, Ms. Giesselman, Mr. Smiley and Mr. Zimmer) qualifies as an “audit committee financial expert” within the meaning of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5" w:lineRule="exact"/>
        <w:rPr>
          <w:sz w:val="20"/>
          <w:szCs w:val="20"/>
          <w:color w:val="auto"/>
        </w:rPr>
      </w:pPr>
    </w:p>
    <w:p>
      <w:pPr>
        <w:ind w:left="1140" w:hanging="160"/>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23" w:lineRule="exact"/>
        <w:rPr>
          <w:rFonts w:ascii="Arial" w:cs="Arial" w:eastAsia="Arial" w:hAnsi="Arial"/>
          <w:sz w:val="18"/>
          <w:szCs w:val="18"/>
          <w:color w:val="auto"/>
        </w:rPr>
      </w:pPr>
    </w:p>
    <w:p>
      <w:pPr>
        <w:ind w:left="1140" w:hanging="160"/>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5" w:lineRule="exact"/>
        <w:rPr>
          <w:sz w:val="20"/>
          <w:szCs w:val="20"/>
          <w:color w:val="auto"/>
        </w:rPr>
      </w:pPr>
    </w:p>
    <w:p>
      <w:pPr>
        <w:ind w:left="1140" w:right="100" w:hanging="160"/>
        <w:spacing w:after="0" w:line="277" w:lineRule="auto"/>
        <w:tabs>
          <w:tab w:leader="none" w:pos="1116"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ind w:left="1140" w:hanging="160"/>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23" w:lineRule="exact"/>
        <w:rPr>
          <w:rFonts w:ascii="Arial" w:cs="Arial" w:eastAsia="Arial" w:hAnsi="Arial"/>
          <w:sz w:val="18"/>
          <w:szCs w:val="18"/>
          <w:color w:val="auto"/>
        </w:rPr>
      </w:pPr>
    </w:p>
    <w:p>
      <w:pPr>
        <w:ind w:left="1140" w:right="160" w:hanging="160"/>
        <w:spacing w:after="0" w:line="281" w:lineRule="auto"/>
        <w:tabs>
          <w:tab w:leader="none" w:pos="1126"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1" w:lineRule="exact"/>
        <w:rPr>
          <w:rFonts w:ascii="Arial" w:cs="Arial" w:eastAsia="Arial" w:hAnsi="Arial"/>
          <w:sz w:val="16"/>
          <w:szCs w:val="16"/>
          <w:color w:val="auto"/>
        </w:rPr>
      </w:pPr>
    </w:p>
    <w:p>
      <w:pPr>
        <w:ind w:left="1140" w:right="120" w:hanging="160"/>
        <w:spacing w:after="0" w:line="281" w:lineRule="auto"/>
        <w:tabs>
          <w:tab w:leader="none" w:pos="1126" w:val="left"/>
        </w:tabs>
        <w:numPr>
          <w:ilvl w:val="0"/>
          <w:numId w:val="9"/>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spacing w:after="0" w:line="1" w:lineRule="exact"/>
        <w:rPr>
          <w:rFonts w:ascii="Arial" w:cs="Arial" w:eastAsia="Arial" w:hAnsi="Arial"/>
          <w:sz w:val="16"/>
          <w:szCs w:val="16"/>
          <w:color w:val="auto"/>
        </w:rPr>
      </w:pPr>
    </w:p>
    <w:p>
      <w:pPr>
        <w:ind w:left="1140" w:right="40" w:hanging="160"/>
        <w:spacing w:after="0" w:line="250" w:lineRule="auto"/>
        <w:tabs>
          <w:tab w:leader="none" w:pos="112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8"/>
          <w:szCs w:val="18"/>
          <w:color w:val="auto"/>
        </w:rPr>
      </w:pPr>
    </w:p>
    <w:p>
      <w:pPr>
        <w:ind w:left="1120" w:hanging="140"/>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Risk Management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Finance and Risk Management Committee assists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oversees the Company’s risk management framework and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xml:space="preserve"> The independence of the Committee is in compliance with SEC regulations, the listing standards of the NASDAQ Stock Market and the Corporation’s Guidelines for Corporate Governance.</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8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Name and address of the shareholder, whether an entity or an individual, making the recommendation;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ind w:left="1300" w:hanging="644"/>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ind w:left="1300" w:hanging="644"/>
        <w:spacing w:after="0" w:line="261"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Compensation and Executive Development Committee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Executive Development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charter of the Compensation and Executive Development Committee is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Corporation last updated the Compensation and Executive Development Committee charter on March 21, 2019.</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Role of Consultants</w:t>
      </w:r>
      <w:r>
        <w:rPr>
          <w:rFonts w:ascii="Arial" w:cs="Arial" w:eastAsia="Arial" w:hAnsi="Arial"/>
          <w:sz w:val="18"/>
          <w:szCs w:val="18"/>
          <w:color w:val="auto"/>
        </w:rPr>
        <w:t xml:space="preserve"> - The Compensation and Executive Development Committee periodically engages an independent consultant to review its compensation program for the officers of the Corporation, in order to ensure market competitiveness. Historically, the Committee engaged an independent compensation consultant for this purpose every two years. For fiscal 2019, the Committee engaged Willis Towers Watson, a global human resources firm, to conduct a detailed review of competitive compensation levels for similar positions in similar industries. The Committee considered that information in setting executive compensation for fiscal 2019.</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and Executive Development Committee makes all compensation decisions for the CEO, Mr. Batten, and approves recommendations for compensation actions for all other elected officers of the Corporation. As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CEO. It alone determines the salary adjustment, bonus payment and equity awards for Mr. Batten.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Committee Membership</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Finance</w:t>
            </w:r>
          </w:p>
        </w:tc>
        <w:tc>
          <w:tcPr>
            <w:tcW w:w="2820" w:type="dxa"/>
            <w:vAlign w:val="bottom"/>
            <w:gridSpan w:val="3"/>
          </w:tcPr>
          <w:p>
            <w:pPr>
              <w:jc w:val="center"/>
              <w:ind w:left="70"/>
              <w:spacing w:after="0"/>
              <w:rPr>
                <w:sz w:val="20"/>
                <w:szCs w:val="20"/>
                <w:color w:val="auto"/>
              </w:rPr>
            </w:pPr>
            <w:r>
              <w:rPr>
                <w:rFonts w:ascii="Arial" w:cs="Arial" w:eastAsia="Arial" w:hAnsi="Arial"/>
                <w:sz w:val="18"/>
                <w:szCs w:val="18"/>
                <w:color w:val="auto"/>
                <w:w w:val="91"/>
              </w:rPr>
              <w:t>Compensation &amp;</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And Risk</w:t>
            </w:r>
          </w:p>
        </w:tc>
        <w:tc>
          <w:tcPr>
            <w:tcW w:w="1000" w:type="dxa"/>
            <w:vAlign w:val="bottom"/>
          </w:tcPr>
          <w:p>
            <w:pPr>
              <w:spacing w:after="0"/>
              <w:rPr>
                <w:sz w:val="18"/>
                <w:szCs w:val="18"/>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Executive</w:t>
            </w:r>
          </w:p>
        </w:tc>
        <w:tc>
          <w:tcPr>
            <w:tcW w:w="188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Nominating and</w:t>
            </w:r>
          </w:p>
        </w:tc>
      </w:tr>
      <w:tr>
        <w:trPr>
          <w:trHeight w:val="190"/>
        </w:trPr>
        <w:tc>
          <w:tcPr>
            <w:tcW w:w="220" w:type="dxa"/>
            <w:vAlign w:val="bottom"/>
          </w:tcPr>
          <w:p>
            <w:pPr>
              <w:spacing w:after="0"/>
              <w:rPr>
                <w:sz w:val="16"/>
                <w:szCs w:val="16"/>
                <w:color w:val="auto"/>
              </w:rPr>
            </w:pPr>
          </w:p>
        </w:tc>
        <w:tc>
          <w:tcPr>
            <w:tcW w:w="2380" w:type="dxa"/>
            <w:vAlign w:val="bottom"/>
            <w:gridSpan w:val="2"/>
          </w:tcPr>
          <w:p>
            <w:pPr>
              <w:jc w:val="center"/>
              <w:ind w:right="1980"/>
              <w:spacing w:after="0" w:line="190" w:lineRule="exact"/>
              <w:rPr>
                <w:sz w:val="20"/>
                <w:szCs w:val="20"/>
                <w:color w:val="auto"/>
              </w:rPr>
            </w:pPr>
            <w:r>
              <w:rPr>
                <w:rFonts w:ascii="Arial" w:cs="Arial" w:eastAsia="Arial" w:hAnsi="Arial"/>
                <w:sz w:val="18"/>
                <w:szCs w:val="18"/>
                <w:color w:val="auto"/>
                <w:w w:val="97"/>
              </w:rPr>
              <w:t>Audit</w:t>
            </w:r>
          </w:p>
        </w:tc>
        <w:tc>
          <w:tcPr>
            <w:tcW w:w="1840" w:type="dxa"/>
            <w:vAlign w:val="bottom"/>
            <w:gridSpan w:val="2"/>
          </w:tcPr>
          <w:p>
            <w:pPr>
              <w:jc w:val="center"/>
              <w:ind w:right="900"/>
              <w:spacing w:after="0" w:line="190" w:lineRule="exact"/>
              <w:rPr>
                <w:sz w:val="20"/>
                <w:szCs w:val="20"/>
                <w:color w:val="auto"/>
              </w:rPr>
            </w:pPr>
            <w:r>
              <w:rPr>
                <w:rFonts w:ascii="Arial" w:cs="Arial" w:eastAsia="Arial" w:hAnsi="Arial"/>
                <w:sz w:val="18"/>
                <w:szCs w:val="18"/>
                <w:color w:val="auto"/>
                <w:w w:val="89"/>
              </w:rPr>
              <w:t>Management</w:t>
            </w:r>
          </w:p>
        </w:tc>
        <w:tc>
          <w:tcPr>
            <w:tcW w:w="1000" w:type="dxa"/>
            <w:vAlign w:val="bottom"/>
          </w:tcPr>
          <w:p>
            <w:pPr>
              <w:spacing w:after="0"/>
              <w:rPr>
                <w:sz w:val="16"/>
                <w:szCs w:val="16"/>
                <w:color w:val="auto"/>
              </w:rPr>
            </w:pPr>
          </w:p>
        </w:tc>
        <w:tc>
          <w:tcPr>
            <w:tcW w:w="1820" w:type="dxa"/>
            <w:vAlign w:val="bottom"/>
            <w:gridSpan w:val="2"/>
          </w:tcPr>
          <w:p>
            <w:pPr>
              <w:jc w:val="center"/>
              <w:ind w:right="840"/>
              <w:spacing w:after="0" w:line="190" w:lineRule="exact"/>
              <w:rPr>
                <w:sz w:val="20"/>
                <w:szCs w:val="20"/>
                <w:color w:val="auto"/>
              </w:rPr>
            </w:pPr>
            <w:r>
              <w:rPr>
                <w:rFonts w:ascii="Arial" w:cs="Arial" w:eastAsia="Arial" w:hAnsi="Arial"/>
                <w:sz w:val="18"/>
                <w:szCs w:val="18"/>
                <w:color w:val="auto"/>
                <w:w w:val="92"/>
              </w:rPr>
              <w:t>Development</w:t>
            </w:r>
          </w:p>
        </w:tc>
        <w:tc>
          <w:tcPr>
            <w:tcW w:w="860" w:type="dxa"/>
            <w:vAlign w:val="bottom"/>
          </w:tcPr>
          <w:p>
            <w:pPr>
              <w:spacing w:after="0"/>
              <w:rPr>
                <w:sz w:val="16"/>
                <w:szCs w:val="16"/>
                <w:color w:val="auto"/>
              </w:rPr>
            </w:pPr>
          </w:p>
        </w:tc>
        <w:tc>
          <w:tcPr>
            <w:tcW w:w="102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87"/>
              </w:rPr>
              <w:t>Governance</w:t>
            </w:r>
          </w:p>
        </w:tc>
      </w:tr>
      <w:tr>
        <w:trPr>
          <w:trHeight w:val="20"/>
        </w:trPr>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2600" w:type="dxa"/>
            <w:vAlign w:val="bottom"/>
            <w:gridSpan w:val="3"/>
          </w:tcPr>
          <w:p>
            <w:pPr>
              <w:jc w:val="center"/>
              <w:ind w:right="1760"/>
              <w:spacing w:after="0"/>
              <w:rPr>
                <w:sz w:val="20"/>
                <w:szCs w:val="20"/>
                <w:color w:val="auto"/>
              </w:rPr>
            </w:pPr>
            <w:r>
              <w:rPr>
                <w:rFonts w:ascii="Arial" w:cs="Arial" w:eastAsia="Arial" w:hAnsi="Arial"/>
                <w:sz w:val="18"/>
                <w:szCs w:val="18"/>
                <w:color w:val="auto"/>
                <w:w w:val="88"/>
              </w:rPr>
              <w:t>Johnson</w:t>
            </w:r>
          </w:p>
        </w:tc>
        <w:tc>
          <w:tcPr>
            <w:tcW w:w="1840" w:type="dxa"/>
            <w:vAlign w:val="bottom"/>
            <w:gridSpan w:val="2"/>
          </w:tcPr>
          <w:p>
            <w:pPr>
              <w:jc w:val="center"/>
              <w:ind w:right="880"/>
              <w:spacing w:after="0"/>
              <w:rPr>
                <w:sz w:val="20"/>
                <w:szCs w:val="20"/>
                <w:color w:val="auto"/>
              </w:rPr>
            </w:pPr>
            <w:r>
              <w:rPr>
                <w:rFonts w:ascii="Arial" w:cs="Arial" w:eastAsia="Arial" w:hAnsi="Arial"/>
                <w:sz w:val="18"/>
                <w:szCs w:val="18"/>
                <w:color w:val="auto"/>
                <w:w w:val="88"/>
              </w:rPr>
              <w:t>Stratton</w:t>
            </w:r>
          </w:p>
        </w:tc>
        <w:tc>
          <w:tcPr>
            <w:tcW w:w="1000" w:type="dxa"/>
            <w:vAlign w:val="bottom"/>
          </w:tcPr>
          <w:p>
            <w:pPr>
              <w:spacing w:after="0"/>
              <w:rPr>
                <w:sz w:val="19"/>
                <w:szCs w:val="19"/>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Giesselman</w:t>
            </w:r>
          </w:p>
        </w:tc>
        <w:tc>
          <w:tcPr>
            <w:tcW w:w="86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Doar</w:t>
            </w:r>
          </w:p>
        </w:tc>
      </w:tr>
      <w:tr>
        <w:trPr>
          <w:trHeight w:val="216"/>
        </w:trPr>
        <w:tc>
          <w:tcPr>
            <w:tcW w:w="220" w:type="dxa"/>
            <w:vAlign w:val="bottom"/>
          </w:tcPr>
          <w:p>
            <w:pPr>
              <w:spacing w:after="0"/>
              <w:rPr>
                <w:sz w:val="18"/>
                <w:szCs w:val="18"/>
                <w:color w:val="auto"/>
              </w:rPr>
            </w:pPr>
          </w:p>
        </w:tc>
        <w:tc>
          <w:tcPr>
            <w:tcW w:w="2380" w:type="dxa"/>
            <w:vAlign w:val="bottom"/>
            <w:gridSpan w:val="2"/>
          </w:tcPr>
          <w:p>
            <w:pPr>
              <w:jc w:val="center"/>
              <w:ind w:right="1980"/>
              <w:spacing w:after="0"/>
              <w:rPr>
                <w:sz w:val="20"/>
                <w:szCs w:val="20"/>
                <w:color w:val="auto"/>
              </w:rPr>
            </w:pPr>
            <w:r>
              <w:rPr>
                <w:rFonts w:ascii="Arial" w:cs="Arial" w:eastAsia="Arial" w:hAnsi="Arial"/>
                <w:sz w:val="18"/>
                <w:szCs w:val="18"/>
                <w:color w:val="auto"/>
                <w:w w:val="92"/>
              </w:rPr>
              <w:t>Doar</w:t>
            </w:r>
          </w:p>
        </w:tc>
        <w:tc>
          <w:tcPr>
            <w:tcW w:w="1840" w:type="dxa"/>
            <w:vAlign w:val="bottom"/>
            <w:gridSpan w:val="2"/>
          </w:tcPr>
          <w:p>
            <w:pPr>
              <w:jc w:val="center"/>
              <w:ind w:right="880"/>
              <w:spacing w:after="0"/>
              <w:rPr>
                <w:sz w:val="20"/>
                <w:szCs w:val="20"/>
                <w:color w:val="auto"/>
              </w:rPr>
            </w:pPr>
            <w:r>
              <w:rPr>
                <w:rFonts w:ascii="Arial" w:cs="Arial" w:eastAsia="Arial" w:hAnsi="Arial"/>
                <w:sz w:val="18"/>
                <w:szCs w:val="18"/>
                <w:color w:val="auto"/>
                <w:w w:val="88"/>
              </w:rPr>
              <w:t>Johnson</w:t>
            </w:r>
          </w:p>
        </w:tc>
        <w:tc>
          <w:tcPr>
            <w:tcW w:w="1000" w:type="dxa"/>
            <w:vAlign w:val="bottom"/>
          </w:tcPr>
          <w:p>
            <w:pPr>
              <w:spacing w:after="0"/>
              <w:rPr>
                <w:sz w:val="18"/>
                <w:szCs w:val="18"/>
                <w:color w:val="auto"/>
              </w:rPr>
            </w:pPr>
          </w:p>
        </w:tc>
        <w:tc>
          <w:tcPr>
            <w:tcW w:w="182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Doar</w:t>
            </w:r>
          </w:p>
        </w:tc>
        <w:tc>
          <w:tcPr>
            <w:tcW w:w="8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Giesselman</w:t>
            </w:r>
          </w:p>
        </w:tc>
      </w:tr>
      <w:tr>
        <w:trPr>
          <w:trHeight w:val="216"/>
        </w:trPr>
        <w:tc>
          <w:tcPr>
            <w:tcW w:w="2600" w:type="dxa"/>
            <w:vAlign w:val="bottom"/>
            <w:gridSpan w:val="3"/>
          </w:tcPr>
          <w:p>
            <w:pPr>
              <w:jc w:val="center"/>
              <w:ind w:right="1760"/>
              <w:spacing w:after="0"/>
              <w:rPr>
                <w:sz w:val="20"/>
                <w:szCs w:val="20"/>
                <w:color w:val="auto"/>
              </w:rPr>
            </w:pPr>
            <w:r>
              <w:rPr>
                <w:rFonts w:ascii="Arial" w:cs="Arial" w:eastAsia="Arial" w:hAnsi="Arial"/>
                <w:sz w:val="18"/>
                <w:szCs w:val="18"/>
                <w:color w:val="auto"/>
                <w:w w:val="88"/>
              </w:rPr>
              <w:t>Giesselman</w:t>
            </w:r>
          </w:p>
        </w:tc>
        <w:tc>
          <w:tcPr>
            <w:tcW w:w="1840" w:type="dxa"/>
            <w:vAlign w:val="bottom"/>
            <w:gridSpan w:val="2"/>
          </w:tcPr>
          <w:p>
            <w:pPr>
              <w:jc w:val="center"/>
              <w:ind w:right="880"/>
              <w:spacing w:after="0"/>
              <w:rPr>
                <w:sz w:val="20"/>
                <w:szCs w:val="20"/>
                <w:color w:val="auto"/>
              </w:rPr>
            </w:pPr>
            <w:r>
              <w:rPr>
                <w:rFonts w:ascii="Arial" w:cs="Arial" w:eastAsia="Arial" w:hAnsi="Arial"/>
                <w:sz w:val="18"/>
                <w:szCs w:val="18"/>
                <w:color w:val="auto"/>
                <w:w w:val="96"/>
              </w:rPr>
              <w:t>Smiley</w:t>
            </w:r>
          </w:p>
        </w:tc>
        <w:tc>
          <w:tcPr>
            <w:tcW w:w="100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Stratton</w:t>
            </w:r>
          </w:p>
        </w:tc>
        <w:tc>
          <w:tcPr>
            <w:tcW w:w="8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Johnson</w:t>
            </w:r>
          </w:p>
        </w:tc>
      </w:tr>
      <w:tr>
        <w:trPr>
          <w:trHeight w:val="216"/>
        </w:trPr>
        <w:tc>
          <w:tcPr>
            <w:tcW w:w="2600" w:type="dxa"/>
            <w:vAlign w:val="bottom"/>
            <w:gridSpan w:val="3"/>
          </w:tcPr>
          <w:p>
            <w:pPr>
              <w:jc w:val="center"/>
              <w:ind w:right="1760"/>
              <w:spacing w:after="0"/>
              <w:rPr>
                <w:sz w:val="20"/>
                <w:szCs w:val="20"/>
                <w:color w:val="auto"/>
              </w:rPr>
            </w:pPr>
            <w:r>
              <w:rPr>
                <w:rFonts w:ascii="Arial" w:cs="Arial" w:eastAsia="Arial" w:hAnsi="Arial"/>
                <w:sz w:val="18"/>
                <w:szCs w:val="18"/>
                <w:color w:val="auto"/>
                <w:w w:val="96"/>
              </w:rPr>
              <w:t>Smiley</w:t>
            </w:r>
          </w:p>
        </w:tc>
        <w:tc>
          <w:tcPr>
            <w:tcW w:w="1840" w:type="dxa"/>
            <w:vAlign w:val="bottom"/>
            <w:gridSpan w:val="2"/>
          </w:tcPr>
          <w:p>
            <w:pPr>
              <w:jc w:val="center"/>
              <w:ind w:right="900"/>
              <w:spacing w:after="0"/>
              <w:rPr>
                <w:sz w:val="20"/>
                <w:szCs w:val="20"/>
                <w:color w:val="auto"/>
              </w:rPr>
            </w:pPr>
            <w:r>
              <w:rPr>
                <w:rFonts w:ascii="Arial" w:cs="Arial" w:eastAsia="Arial" w:hAnsi="Arial"/>
                <w:sz w:val="18"/>
                <w:szCs w:val="18"/>
                <w:color w:val="auto"/>
                <w:w w:val="95"/>
              </w:rPr>
              <w:t>Zimmer</w:t>
            </w:r>
          </w:p>
        </w:tc>
        <w:tc>
          <w:tcPr>
            <w:tcW w:w="100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95"/>
              </w:rPr>
              <w:t>Zimmer</w:t>
            </w:r>
          </w:p>
        </w:tc>
        <w:tc>
          <w:tcPr>
            <w:tcW w:w="8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Stratton</w:t>
            </w:r>
          </w:p>
        </w:tc>
      </w:tr>
      <w:tr>
        <w:trPr>
          <w:trHeight w:val="230"/>
        </w:trPr>
        <w:tc>
          <w:tcPr>
            <w:tcW w:w="2600" w:type="dxa"/>
            <w:vAlign w:val="bottom"/>
            <w:gridSpan w:val="3"/>
          </w:tcPr>
          <w:p>
            <w:pPr>
              <w:jc w:val="center"/>
              <w:ind w:right="1740"/>
              <w:spacing w:after="0"/>
              <w:rPr>
                <w:sz w:val="20"/>
                <w:szCs w:val="20"/>
                <w:color w:val="auto"/>
              </w:rPr>
            </w:pPr>
            <w:r>
              <w:rPr>
                <w:rFonts w:ascii="Arial" w:cs="Arial" w:eastAsia="Arial" w:hAnsi="Arial"/>
                <w:sz w:val="18"/>
                <w:szCs w:val="18"/>
                <w:color w:val="auto"/>
                <w:w w:val="95"/>
              </w:rPr>
              <w:t>Zimmer</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9"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0" w:lineRule="exact"/>
        <w:rPr>
          <w:sz w:val="20"/>
          <w:szCs w:val="20"/>
          <w:color w:val="auto"/>
        </w:rPr>
      </w:pPr>
    </w:p>
    <w:p>
      <w:pPr>
        <w:ind w:firstLine="8"/>
        <w:spacing w:after="0" w:line="277" w:lineRule="auto"/>
        <w:tabs>
          <w:tab w:leader="none" w:pos="5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11" w:lineRule="exact"/>
        <w:rPr>
          <w:sz w:val="20"/>
          <w:szCs w:val="20"/>
          <w:color w:val="auto"/>
        </w:rPr>
      </w:pPr>
    </w:p>
    <w:p>
      <w:pPr>
        <w:ind w:firstLine="8"/>
        <w:spacing w:after="0" w:line="342" w:lineRule="auto"/>
        <w:tabs>
          <w:tab w:leader="none" w:pos="4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88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following discussion describes the material components of compensation paid to the Corporation’s Chief Executive Officer and its two most highly compensated executive officers for the fiscal year ended June 30, 2019 (the “Named Executive Officers”). For the fiscal year ended June 30, 2019, the Named Executive Officers are:</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John H. Batten,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Dean J. Bratel, Vice President – Sales and Applied Technology.</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discussion that follows, we will also explain the objectives of our compensation programs, why we pay the compensation we do and how that fits with the Corporation’s commitment to provide value to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 that are tied to the Corporation’s stock price.</w:t>
      </w:r>
    </w:p>
    <w:p>
      <w:pPr>
        <w:spacing w:after="0" w:line="1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24" w:lineRule="exact"/>
        <w:rPr>
          <w:sz w:val="20"/>
          <w:szCs w:val="20"/>
          <w:color w:val="auto"/>
        </w:rPr>
      </w:pPr>
    </w:p>
    <w:p>
      <w:pPr>
        <w:ind w:left="660" w:right="1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left="660" w:right="2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65"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FY2018 and FY2019, the Corporation included earnings per share as one of the performance goals in its long-term incentive awards. The Corporation also promoted additional equity ownership beyond the performance period for the long-term incentive awards by awarding only performance stock and restricted stock as long-term incentive awards in FY2018 and by including performance stock as long-term incentive awards in FY2019.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5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70"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and the listing standards of the NASDAQ Stock Market, and provides mechanisms for the Corporation to enforce its recovery rights. In addition, the Corporation’s long-term incentive plan was designed to maximize the deduction for performance-based compensation under former Section 162(m) of the Internal Revenue Code for awards issued prior to the repeal of Section 162(m).</w:t>
      </w:r>
    </w:p>
    <w:p>
      <w:pPr>
        <w:spacing w:after="0" w:line="172" w:lineRule="exact"/>
        <w:rPr>
          <w:rFonts w:ascii="Arial" w:cs="Arial" w:eastAsia="Arial" w:hAnsi="Arial"/>
          <w:sz w:val="17"/>
          <w:szCs w:val="17"/>
          <w:color w:val="auto"/>
        </w:rPr>
      </w:pPr>
    </w:p>
    <w:p>
      <w:pPr>
        <w:ind w:left="660" w:right="52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3"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Committee annually evaluates the Corporation’s compensation programs to ensure that they do not encourage unnecessary risk-taking.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2019:</w:t>
      </w:r>
    </w:p>
    <w:p>
      <w:pPr>
        <w:spacing w:after="0" w:line="170" w:lineRule="exact"/>
        <w:rPr>
          <w:sz w:val="20"/>
          <w:szCs w:val="20"/>
          <w:color w:val="auto"/>
        </w:rPr>
      </w:pPr>
    </w:p>
    <w:p>
      <w:pPr>
        <w:ind w:left="660" w:right="54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beginning of FY2019, the Committee approved modest increases in the base salaries of some of the Named Executive Officers. The Committee increased the base salary of the CEO, Mr. Batten, by 20%, as the Committee determined that his base salary was below the market median.</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achieved above threshold but less than target results for EBITDA and sales goals under the Corporate Incentive Plan (“CIP”) for FY2019. The trade working capital as a % of sales goal was not achieved. Certain Named Executive Officers also attained their individual goals under the CIP at between threshold and target levels. As a result, bonus payments were made to each of the Named Executive Officers under the CIP, at less than target levels.</w:t>
      </w:r>
    </w:p>
    <w:p>
      <w:pPr>
        <w:spacing w:after="0" w:line="186"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Corporation achieved 57.5% of its cumulative Average Return on Invested Capital goal (weighted 40%), 105.5% on its cumulative average sales revenue goal (weighted 30%), and 80.7% on its average earnings per share (weighted 30%) goals for performance stock granted in 2016 under the Twin Disc, Incorporated 2010 Long-Term Incentive Compensation Plan. As a result, the performance stock awards vested at 78.86% of target.</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required by Section 14A of the Securities Exchange Act of 1934, the Corporation held its shareholder advisory vote on executive compensation at its October 25, 2018, Annual Meeting of Shareholders. The shareholders overwhelmingly approved the say on pay proposal, with more than 95% of the votes cast in favor of the compensation paid to the Corporation’s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5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two times annual base salary for the CFO and President/COO, and one times annual base salary for the remainder of the officer team. Officers have a period of four years to attain their targeted ownership level. The Committee monitors compliance with this guideline, using its discretion to address non-attainment issues. Compliance is reviewed annually.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71" w:lineRule="auto"/>
        <w:rPr>
          <w:sz w:val="20"/>
          <w:szCs w:val="20"/>
          <w:color w:val="auto"/>
        </w:rPr>
      </w:pPr>
      <w:r>
        <w:rPr>
          <w:rFonts w:ascii="Arial" w:cs="Arial" w:eastAsia="Arial" w:hAnsi="Arial"/>
          <w:sz w:val="17"/>
          <w:szCs w:val="17"/>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Committee looks to establish each element of total direct compensation (i.e., base salary, annual incentive compensation, and the annualized value of</w:t>
      </w:r>
    </w:p>
    <w:p>
      <w:pPr>
        <w:spacing w:after="0" w:line="46" w:lineRule="exact"/>
        <w:rPr>
          <w:sz w:val="20"/>
          <w:szCs w:val="20"/>
          <w:color w:val="auto"/>
        </w:rPr>
      </w:pPr>
    </w:p>
    <w:p>
      <w:pPr>
        <w:ind w:right="520"/>
        <w:spacing w:after="0" w:line="234" w:lineRule="auto"/>
        <w:rPr>
          <w:sz w:val="20"/>
          <w:szCs w:val="20"/>
          <w:color w:val="auto"/>
        </w:rPr>
      </w:pPr>
      <w:r>
        <w:rPr>
          <w:rFonts w:ascii="Arial" w:cs="Arial" w:eastAsia="Arial" w:hAnsi="Arial"/>
          <w:sz w:val="16"/>
          <w:szCs w:val="16"/>
          <w:color w:val="auto"/>
        </w:rPr>
        <w:t>long-term incentive compensation granted during the year) near the market median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companies of a similar size and industry. The Committee believes an executive’s target compensation is competitive if it falls within a band of plus or minus 15% from the competitive median of</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Historically, a compensation consultant has been engaged to conduct a detailed review of competitive compensation data every two years.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1" w:name="page22"/>
    <w:bookmarkEnd w:id="21"/>
    <w:p>
      <w:pPr>
        <w:jc w:val="both"/>
        <w:ind w:right="40"/>
        <w:spacing w:after="0" w:line="286" w:lineRule="auto"/>
        <w:rPr>
          <w:sz w:val="20"/>
          <w:szCs w:val="20"/>
          <w:color w:val="auto"/>
        </w:rPr>
      </w:pPr>
      <w:r>
        <w:rPr>
          <w:rFonts w:ascii="Arial" w:cs="Arial" w:eastAsia="Arial" w:hAnsi="Arial"/>
          <w:sz w:val="17"/>
          <w:szCs w:val="17"/>
          <w:color w:val="auto"/>
        </w:rPr>
        <w:t>For FY2019, the Committee engaged Willis Towers Watson, a global human resources firm, to conduct a detailed review of competitive compensation levels for similar positions in similar industries. For this analysis, Willis Towers Watson referenced published data sources, reflecting a market sample of companies consistent with Twin Disc’s industry and size. The benchmarks were obtained from the following surveys:</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2017 Willis Towers Watson CDB Executive Compensation Survey (CDB)</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2017 Willis Towers Watson CSR Top Management Compensation Survey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Relative to each of the data sources, Willis Towers Watson referenced a broad sample of both general industry companies with revenues of less than $1 billion (CDB survey) and durable goods manufacturing companies with revenues between $100 million and $450 million (U.S. Top Management Compensation Study). Market data was adjusted to reflect a revenue scope of approximately $350 million.</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Committee received information on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of each element of executive compensation for comparable executive positions.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7" w:lineRule="exact"/>
        <w:rPr>
          <w:sz w:val="20"/>
          <w:szCs w:val="20"/>
          <w:color w:val="auto"/>
        </w:rPr>
      </w:pPr>
    </w:p>
    <w:p>
      <w:pPr>
        <w:jc w:val="both"/>
        <w:ind w:right="280"/>
        <w:spacing w:after="0" w:line="222" w:lineRule="auto"/>
        <w:rPr>
          <w:sz w:val="20"/>
          <w:szCs w:val="20"/>
          <w:color w:val="auto"/>
        </w:rPr>
      </w:pPr>
      <w:r>
        <w:rPr>
          <w:rFonts w:ascii="Arial" w:cs="Arial" w:eastAsia="Arial" w:hAnsi="Arial"/>
          <w:sz w:val="18"/>
          <w:szCs w:val="18"/>
          <w:color w:val="auto"/>
        </w:rPr>
        <w:t>Base salaries are reviewed each year by the Committee. As discussed above, base salary levels have historically been compared to the market median (i.e.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ind w:right="100"/>
        <w:spacing w:after="0" w:line="264" w:lineRule="auto"/>
        <w:rPr>
          <w:sz w:val="20"/>
          <w:szCs w:val="20"/>
          <w:color w:val="auto"/>
        </w:rPr>
      </w:pPr>
      <w:r>
        <w:rPr>
          <w:rFonts w:ascii="Arial" w:cs="Arial" w:eastAsia="Arial" w:hAnsi="Arial"/>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Incentive Compensation</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8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47"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Twin Disc, Incorporated 2018 Long-Term Incentive Compensation Plan (“LTI Plan”), which was approved by the Corporation’s shareholders at the annual meeting in October 2018,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future values of stock options, performance stock and performance stock units become more unpredictable.</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3" w:name="page24"/>
    <w:bookmarkEnd w:id="23"/>
    <w:p>
      <w:pPr>
        <w:ind w:right="120"/>
        <w:spacing w:after="0" w:line="279" w:lineRule="auto"/>
        <w:rPr>
          <w:sz w:val="20"/>
          <w:szCs w:val="20"/>
          <w:color w:val="auto"/>
        </w:rPr>
      </w:pPr>
      <w:r>
        <w:rPr>
          <w:rFonts w:ascii="Arial" w:cs="Arial" w:eastAsia="Arial" w:hAnsi="Arial"/>
          <w:sz w:val="17"/>
          <w:szCs w:val="17"/>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cycle period.</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Arial" w:cs="Arial" w:eastAsia="Arial" w:hAnsi="Arial"/>
          <w:sz w:val="18"/>
          <w:szCs w:val="18"/>
          <w:i w:val="1"/>
          <w:iCs w:val="1"/>
          <w:color w:val="auto"/>
        </w:rPr>
        <w:t xml:space="preserve">Outstanding Equity Awards at Fiscal Year-End </w:t>
      </w:r>
      <w:r>
        <w:rPr>
          <w:rFonts w:ascii="Arial" w:cs="Arial" w:eastAsia="Arial" w:hAnsi="Arial"/>
          <w:sz w:val="18"/>
          <w:szCs w:val="18"/>
          <w:color w:val="auto"/>
        </w:rPr>
        <w:t>table later in this Executive Compensation discussion.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summarizes the “total compensation” of the Corporation’s Chief Executive Officer, and its two most highly compensated executive officers for the fiscal year ended June 30, 2019.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78" w:lineRule="exact"/>
        <w:rPr>
          <w:sz w:val="20"/>
          <w:szCs w:val="20"/>
          <w:color w:val="auto"/>
        </w:rPr>
      </w:pPr>
    </w:p>
    <w:tbl>
      <w:tblPr>
        <w:tblLayout w:type="fixed"/>
        <w:tblInd w:w="510" w:type="dxa"/>
        <w:tblCellMar>
          <w:top w:w="0" w:type="dxa"/>
          <w:left w:w="0" w:type="dxa"/>
          <w:bottom w:w="0" w:type="dxa"/>
          <w:right w:w="0" w:type="dxa"/>
        </w:tblCellMar>
      </w:tblPr>
      <w:tr>
        <w:trPr>
          <w:trHeight w:val="435"/>
        </w:trPr>
        <w:tc>
          <w:tcPr>
            <w:tcW w:w="2700" w:type="dxa"/>
            <w:vAlign w:val="bottom"/>
            <w:tcBorders>
              <w:top w:val="single" w:sz="8" w:color="auto"/>
              <w:left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320" w:type="dxa"/>
            <w:vAlign w:val="bottom"/>
            <w:tcBorders>
              <w:top w:val="single" w:sz="8" w:color="auto"/>
              <w:right w:val="single" w:sz="8" w:color="auto"/>
            </w:tcBorders>
          </w:tcPr>
          <w:p>
            <w:pPr>
              <w:spacing w:after="0"/>
              <w:rPr>
                <w:sz w:val="24"/>
                <w:szCs w:val="24"/>
                <w:color w:val="auto"/>
              </w:rPr>
            </w:pP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Non-Equity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1320" w:type="dxa"/>
            <w:vAlign w:val="bottom"/>
            <w:tcBorders>
              <w:right w:val="single" w:sz="8" w:color="auto"/>
            </w:tcBorders>
          </w:tcPr>
          <w:p>
            <w:pPr>
              <w:spacing w:after="0"/>
              <w:rPr>
                <w:sz w:val="18"/>
                <w:szCs w:val="18"/>
                <w:color w:val="auto"/>
              </w:rPr>
            </w:pP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Stock</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Compen-</w:t>
            </w:r>
          </w:p>
        </w:tc>
        <w:tc>
          <w:tcPr>
            <w:tcW w:w="1320" w:type="dxa"/>
            <w:vAlign w:val="bottom"/>
            <w:tcBorders>
              <w:right w:val="single" w:sz="8" w:color="auto"/>
            </w:tcBorders>
          </w:tcPr>
          <w:p>
            <w:pPr>
              <w:spacing w:after="0"/>
              <w:rPr>
                <w:sz w:val="18"/>
                <w:szCs w:val="18"/>
                <w:color w:val="auto"/>
              </w:rPr>
            </w:pPr>
          </w:p>
        </w:tc>
      </w:tr>
      <w:tr>
        <w:trPr>
          <w:trHeight w:val="227"/>
        </w:trPr>
        <w:tc>
          <w:tcPr>
            <w:tcW w:w="2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 and Principal Position</w:t>
            </w:r>
          </w:p>
        </w:tc>
        <w:tc>
          <w:tcPr>
            <w:tcW w:w="10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Year</w:t>
            </w:r>
          </w:p>
        </w:tc>
        <w:tc>
          <w:tcPr>
            <w:tcW w:w="13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Salary</w:t>
            </w:r>
          </w:p>
        </w:tc>
        <w:tc>
          <w:tcPr>
            <w:tcW w:w="13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Awards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sation</w:t>
            </w:r>
          </w:p>
        </w:tc>
        <w:tc>
          <w:tcPr>
            <w:tcW w:w="132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3"/>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23"/>
        </w:trPr>
        <w:tc>
          <w:tcPr>
            <w:tcW w:w="2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John H. Batten</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2019</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$576,924</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$943,385</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$360,000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$143,398</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$2,023,707</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Chief</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$500,001</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$654,806</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$727,500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$107,839</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$1,994,028</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Executive Officer</w:t>
            </w:r>
          </w:p>
        </w:tc>
        <w:tc>
          <w:tcPr>
            <w:tcW w:w="10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23"/>
        </w:trPr>
        <w:tc>
          <w:tcPr>
            <w:tcW w:w="2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Jeffrey S. Knutson</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2019</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$343,346</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$304,212</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$140,140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$33,403</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$821,101</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Vice President – Finance,</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$322,309</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$275,978</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$318,010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$33,121</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$949,418</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CFO, Treasurer and Sec’y</w:t>
            </w:r>
          </w:p>
        </w:tc>
        <w:tc>
          <w:tcPr>
            <w:tcW w:w="10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23"/>
        </w:trPr>
        <w:tc>
          <w:tcPr>
            <w:tcW w:w="2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Dean J. Bratel</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2019</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$292,539</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$245,327</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$84,478</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$73,042</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$695,386</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Vice President – Sales</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$279,617</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$250,886</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$275,380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$55,766</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$861,649</w:t>
            </w:r>
          </w:p>
        </w:tc>
      </w:tr>
      <w:tr>
        <w:trPr>
          <w:trHeight w:val="223"/>
        </w:trPr>
        <w:tc>
          <w:tcPr>
            <w:tcW w:w="27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and Applied Technology</w:t>
            </w:r>
          </w:p>
        </w:tc>
        <w:tc>
          <w:tcPr>
            <w:tcW w:w="10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bl>
    <w:p>
      <w:pPr>
        <w:spacing w:after="0" w:line="202" w:lineRule="exact"/>
        <w:rPr>
          <w:sz w:val="20"/>
          <w:szCs w:val="20"/>
          <w:color w:val="auto"/>
        </w:rPr>
      </w:pPr>
    </w:p>
    <w:p>
      <w:pPr>
        <w:ind w:left="340" w:right="80" w:hanging="332"/>
        <w:spacing w:after="0" w:line="29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FY2019, assuming the maximum performance goals are achieved, are as follows: Mr. Batten, $707,538; Mr. Knutson, $228,159; and Mr. Bratel, $184,008. These calculations are based on the closing share price on the date of grant of $25.10 for those awards granted to Messrs. Knutson and Bratel on August 1, 2018, and the closing share price on the date of grant of $25.53 for those awards granted to Mr. Batten on August 24, 2018.</w:t>
      </w:r>
    </w:p>
    <w:p>
      <w:pPr>
        <w:spacing w:after="0" w:line="164" w:lineRule="exact"/>
        <w:rPr>
          <w:rFonts w:ascii="Arial" w:cs="Arial" w:eastAsia="Arial" w:hAnsi="Arial"/>
          <w:sz w:val="16"/>
          <w:szCs w:val="16"/>
          <w:color w:val="auto"/>
        </w:rPr>
      </w:pPr>
    </w:p>
    <w:p>
      <w:pPr>
        <w:ind w:left="340" w:right="24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presents separately the compensation expense recognized in FY2019 and in FY2018 for outstanding awards of performance stock, restricted stock and restricted stock units for Messrs. Batten, Knutson, and Bratel.</w:t>
      </w:r>
    </w:p>
    <w:p>
      <w:pPr>
        <w:spacing w:after="0" w:line="162" w:lineRule="exact"/>
        <w:rPr>
          <w:sz w:val="20"/>
          <w:szCs w:val="20"/>
          <w:color w:val="auto"/>
        </w:rPr>
      </w:pPr>
    </w:p>
    <w:tbl>
      <w:tblPr>
        <w:tblLayout w:type="fixed"/>
        <w:tblInd w:w="510" w:type="dxa"/>
        <w:tblCellMar>
          <w:top w:w="0" w:type="dxa"/>
          <w:left w:w="0" w:type="dxa"/>
          <w:bottom w:w="0" w:type="dxa"/>
          <w:right w:w="0" w:type="dxa"/>
        </w:tblCellMar>
      </w:tblPr>
      <w:tr>
        <w:trPr>
          <w:trHeight w:val="218"/>
        </w:trPr>
        <w:tc>
          <w:tcPr>
            <w:tcW w:w="3660" w:type="dxa"/>
            <w:vAlign w:val="bottom"/>
            <w:tcBorders>
              <w:top w:val="single" w:sz="8" w:color="auto"/>
              <w:left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Restricted Stock</w:t>
            </w:r>
          </w:p>
        </w:tc>
      </w:tr>
      <w:tr>
        <w:trPr>
          <w:trHeight w:val="247"/>
        </w:trPr>
        <w:tc>
          <w:tcPr>
            <w:tcW w:w="366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8"/>
                <w:szCs w:val="18"/>
                <w:color w:val="auto"/>
              </w:rPr>
              <w:t>Name</w:t>
            </w:r>
          </w:p>
        </w:tc>
        <w:tc>
          <w:tcPr>
            <w:tcW w:w="18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Year</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7"/>
              </w:rPr>
              <w:t>Performance Stock</w:t>
            </w:r>
          </w:p>
        </w:tc>
        <w:tc>
          <w:tcPr>
            <w:tcW w:w="16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Restricted Stock</w:t>
            </w: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Units</w:t>
            </w:r>
          </w:p>
        </w:tc>
      </w:tr>
      <w:tr>
        <w:trPr>
          <w:trHeight w:val="206"/>
        </w:trPr>
        <w:tc>
          <w:tcPr>
            <w:tcW w:w="3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John H. Batten</w:t>
            </w: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$469,797</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$230,972</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$146,669</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$216,220</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$330,709</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r>
        <w:trPr>
          <w:trHeight w:val="223"/>
        </w:trPr>
        <w:tc>
          <w:tcPr>
            <w:tcW w:w="3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Jeffrey S. Knutson</w:t>
            </w: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$188,479</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$97,345</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$47,366</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$91,130</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$139,583</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r>
        <w:trPr>
          <w:trHeight w:val="223"/>
        </w:trPr>
        <w:tc>
          <w:tcPr>
            <w:tcW w:w="3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Dean J. Bratel</w:t>
            </w: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$168,146</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$88,497</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$38,197</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$82,843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$126,711</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340" w:right="580" w:hanging="332"/>
        <w:spacing w:after="0" w:line="25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of specific performance targets under the Corporate Incentive Plan, described in the narrative following the Summary Compensation Table.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Compensation consists of the following for each of the Named Executive 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tcBorders>
              <w:right w:val="single" w:sz="8" w:color="auto"/>
            </w:tcBorders>
          </w:tcPr>
          <w:p>
            <w:pPr>
              <w:spacing w:after="0"/>
              <w:rPr>
                <w:sz w:val="19"/>
                <w:szCs w:val="19"/>
                <w:color w:val="auto"/>
              </w:rPr>
            </w:pPr>
          </w:p>
        </w:tc>
        <w:tc>
          <w:tcPr>
            <w:tcW w:w="214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Retirement</w:t>
            </w:r>
          </w:p>
        </w:tc>
        <w:tc>
          <w:tcPr>
            <w:tcW w:w="1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Perquisites</w:t>
            </w:r>
          </w:p>
        </w:tc>
        <w:tc>
          <w:tcPr>
            <w:tcW w:w="1220" w:type="dxa"/>
            <w:vAlign w:val="bottom"/>
            <w:tcBorders>
              <w:top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401(k)</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Savings</w:t>
            </w:r>
          </w:p>
        </w:tc>
        <w:tc>
          <w:tcPr>
            <w:tcW w:w="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Defined</w:t>
            </w:r>
          </w:p>
        </w:tc>
        <w:tc>
          <w:tcPr>
            <w:tcW w:w="12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12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Contribution</w:t>
            </w:r>
          </w:p>
        </w:tc>
        <w:tc>
          <w:tcPr>
            <w:tcW w:w="1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Life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Personal</w:t>
            </w:r>
          </w:p>
        </w:tc>
        <w:tc>
          <w:tcPr>
            <w:tcW w:w="12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47"/>
        </w:trPr>
        <w:tc>
          <w:tcPr>
            <w:tcW w:w="1000" w:type="dxa"/>
            <w:vAlign w:val="bottom"/>
            <w:tcBorders>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Name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Match</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Contribution</w:t>
            </w:r>
          </w:p>
        </w:tc>
        <w:tc>
          <w:tcPr>
            <w:tcW w:w="1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SERP</w:t>
            </w:r>
          </w:p>
        </w:tc>
        <w:tc>
          <w:tcPr>
            <w:tcW w:w="12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Insurance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1"/>
                <w:szCs w:val="21"/>
                <w:color w:val="auto"/>
              </w:rPr>
            </w:pPr>
          </w:p>
        </w:tc>
      </w:tr>
      <w:tr>
        <w:trPr>
          <w:trHeight w:val="206"/>
        </w:trPr>
        <w:tc>
          <w:tcPr>
            <w:tcW w:w="1000" w:type="dxa"/>
            <w:vAlign w:val="bottom"/>
            <w:tcBorders>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J.H. Batten</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$64,963</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$29,000</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$22,561</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$143,399</w:t>
            </w:r>
          </w:p>
        </w:tc>
        <w:tc>
          <w:tcPr>
            <w:tcW w:w="740" w:type="dxa"/>
            <w:vAlign w:val="bottom"/>
          </w:tcPr>
          <w:p>
            <w:pPr>
              <w:spacing w:after="0"/>
              <w:rPr>
                <w:sz w:val="17"/>
                <w:szCs w:val="17"/>
                <w:color w:val="auto"/>
              </w:rPr>
            </w:pPr>
          </w:p>
        </w:tc>
      </w:tr>
      <w:tr>
        <w:trPr>
          <w:trHeight w:val="223"/>
        </w:trPr>
        <w:tc>
          <w:tcPr>
            <w:tcW w:w="100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J.S. Knutson</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$8,633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$24,770</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$33,403</w:t>
            </w:r>
          </w:p>
        </w:tc>
        <w:tc>
          <w:tcPr>
            <w:tcW w:w="740" w:type="dxa"/>
            <w:vAlign w:val="bottom"/>
          </w:tcPr>
          <w:p>
            <w:pPr>
              <w:spacing w:after="0"/>
              <w:rPr>
                <w:sz w:val="19"/>
                <w:szCs w:val="19"/>
                <w:color w:val="auto"/>
              </w:rPr>
            </w:pPr>
          </w:p>
        </w:tc>
      </w:tr>
      <w:tr>
        <w:trPr>
          <w:trHeight w:val="223"/>
        </w:trPr>
        <w:tc>
          <w:tcPr>
            <w:tcW w:w="100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D.J. Bratel</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$9,955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$18,552</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$26,660</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$73,042</w:t>
            </w:r>
          </w:p>
        </w:tc>
        <w:tc>
          <w:tcPr>
            <w:tcW w:w="740" w:type="dxa"/>
            <w:vAlign w:val="bottom"/>
          </w:tcPr>
          <w:p>
            <w:pPr>
              <w:spacing w:after="0"/>
              <w:rPr>
                <w:sz w:val="19"/>
                <w:szCs w:val="19"/>
                <w:color w:val="auto"/>
              </w:rPr>
            </w:pPr>
          </w:p>
        </w:tc>
      </w:tr>
      <w:tr>
        <w:trPr>
          <w:trHeight w:val="426"/>
        </w:trPr>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gridSpan w:val="2"/>
          </w:tcPr>
          <w:p>
            <w:pPr>
              <w:jc w:val="right"/>
              <w:ind w:right="1070"/>
              <w:spacing w:after="0"/>
              <w:rPr>
                <w:sz w:val="20"/>
                <w:szCs w:val="20"/>
                <w:color w:val="auto"/>
              </w:rPr>
            </w:pPr>
            <w:r>
              <w:rPr>
                <w:rFonts w:ascii="Arial" w:cs="Arial" w:eastAsia="Arial" w:hAnsi="Arial"/>
                <w:sz w:val="18"/>
                <w:szCs w:val="18"/>
                <w:color w:val="auto"/>
                <w:w w:val="79"/>
              </w:rPr>
              <w:t>24</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ind w:left="340" w:right="380"/>
        <w:spacing w:after="0" w:line="277" w:lineRule="auto"/>
        <w:rPr>
          <w:sz w:val="20"/>
          <w:szCs w:val="20"/>
          <w:color w:val="auto"/>
        </w:rPr>
      </w:pPr>
      <w:r>
        <w:rPr>
          <w:rFonts w:ascii="Arial" w:cs="Arial" w:eastAsia="Arial" w:hAnsi="Arial"/>
          <w:sz w:val="18"/>
          <w:szCs w:val="18"/>
          <w:color w:val="auto"/>
        </w:rPr>
        <w:t>The Corporation’s Supplemental Executive Retirement Plan (“SERP”) was restated during FY2011 to provide a defined contribution formula for the benefits of Messrs. Batten and Bratel. Mr. Knutson does not participate in the SERP.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Messrs. Batten, Knutson, and Bratel participate in an endorsement split-dollar life insurance plan.</w:t>
      </w:r>
    </w:p>
    <w:p>
      <w:pPr>
        <w:spacing w:after="0" w:line="225" w:lineRule="exact"/>
        <w:rPr>
          <w:sz w:val="20"/>
          <w:szCs w:val="20"/>
          <w:color w:val="auto"/>
        </w:rPr>
      </w:pPr>
    </w:p>
    <w:p>
      <w:pPr>
        <w:jc w:val="both"/>
        <w:ind w:left="340" w:right="160"/>
        <w:spacing w:after="0" w:line="312" w:lineRule="auto"/>
        <w:rPr>
          <w:sz w:val="20"/>
          <w:szCs w:val="20"/>
          <w:color w:val="auto"/>
        </w:rPr>
      </w:pPr>
      <w:r>
        <w:rPr>
          <w:rFonts w:ascii="Arial" w:cs="Arial" w:eastAsia="Arial" w:hAnsi="Arial"/>
          <w:sz w:val="16"/>
          <w:szCs w:val="16"/>
          <w:color w:val="auto"/>
        </w:rPr>
        <w:t>Perquisites and Personal Benefits for Mr. Batten for FY2019 consist of personal use of the company plane ($10,172), supplemental long-term disability premiums, and country club dues. The aggregate total of perquisites and personal benefits for each of the remaining Named Executive Officers was less than $10,000 for FY2019, and therefore need not be disclosed or included in such Named Executive Officers’ “All Other Compensation” total.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For FY2019, the Committee increased the base salaries of Mr. Knutson by 4.8% and Mr. Bratel by 5.3%. The Committee increased the salary of Mr. Batten by 20% because it determined that Mr. Batten’s base salary was below competitive market rates. Prior to that increase, Mr. Batten’s base salary had not been increased above his base salary that had been in effect since FY2014. Mr. Batten had also experienced a 10% reduction in base salary in FY2016 as part of a Racine-based salary reduction program; in FY2017, his base salary was restored to its FY2014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 Granted in FY2019</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amounts in the “Stock Awards” column of the Summary Compensation Table reflect awards made in FY2019 to the Named Executive Officers under the Twin Disc, Incorporated 2018 Long-Term Incentive Compensation Plan. In FY2019, Messrs. Batten, Knutson and Bratel received awards of performance stock. The Committee determined that the long-term incentive awards granted in FY2019 would use a combination of the following performance goals and weightings for the three-year performance period ending in FY2021: (i) average return on invested capital (40%); average annual sales revenue (30%), and</w:t>
      </w:r>
    </w:p>
    <w:p>
      <w:pPr>
        <w:spacing w:after="0" w:line="2" w:lineRule="exact"/>
        <w:rPr>
          <w:sz w:val="20"/>
          <w:szCs w:val="20"/>
          <w:color w:val="auto"/>
        </w:rPr>
      </w:pPr>
    </w:p>
    <w:p>
      <w:pPr>
        <w:ind w:right="260" w:firstLine="8"/>
        <w:spacing w:after="0" w:line="290"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average earnings per share (30%). In addition, the possible range of long-term incentive payments for each performance goal was established as 50% - 150% of the target. These shares will vest on June 30, 2021 if the specific measures are achieved within the payout range.</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order to incent and retain the Corporation’s executives, restricted stock units were also granted to Messrs. Batten, Knutson and Bratel in FY2019. The restricted stock units granted to Mr. Batten will vest on August 24, 2021 and the restricted stock units granted to Messrs. Knutson and Bratel will vest August 1, 2021, provided the executive remains employed with the Corporation until the executive’s vesting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Non-Equity Incentive Plan Compensation</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amounts in the “Non-Equity Incentive Plan Compensation” column of the Summary Compensation Table reflect cash bonuses earned in connection with achievement of specific performance targets under the Corporate Incentive Plan (“CIP”). For FY2019, the target bonuses as a percentage of base salary were set at 75% for Mr. Batten, and 50% for Messrs. Knutson, and Bratel. The CIP targets for the Named Executive Officers were set as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color w:val="auto"/>
              </w:rPr>
              <w:t>Objective</w:t>
            </w:r>
          </w:p>
        </w:tc>
        <w:tc>
          <w:tcPr>
            <w:tcW w:w="700" w:type="dxa"/>
            <w:vAlign w:val="bottom"/>
            <w:gridSpan w:val="2"/>
          </w:tcPr>
          <w:p>
            <w:pPr>
              <w:spacing w:after="0"/>
              <w:rPr>
                <w:sz w:val="20"/>
                <w:szCs w:val="20"/>
                <w:color w:val="auto"/>
              </w:rPr>
            </w:pPr>
            <w:r>
              <w:rPr>
                <w:rFonts w:ascii="Arial" w:cs="Arial" w:eastAsia="Arial" w:hAnsi="Arial"/>
                <w:sz w:val="18"/>
                <w:szCs w:val="18"/>
                <w:color w:val="auto"/>
              </w:rPr>
              <w:t>Weight</w:t>
            </w:r>
          </w:p>
        </w:tc>
        <w:tc>
          <w:tcPr>
            <w:tcW w:w="2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Target</w:t>
            </w:r>
          </w:p>
        </w:tc>
        <w:tc>
          <w:tcPr>
            <w:tcW w:w="2540" w:type="dxa"/>
            <w:vAlign w:val="bottom"/>
          </w:tcPr>
          <w:p>
            <w:pPr>
              <w:spacing w:after="0"/>
              <w:rPr>
                <w:sz w:val="18"/>
                <w:szCs w:val="18"/>
                <w:color w:val="auto"/>
              </w:rPr>
            </w:pPr>
          </w:p>
        </w:tc>
        <w:tc>
          <w:tcPr>
            <w:tcW w:w="4760" w:type="dxa"/>
            <w:vAlign w:val="bottom"/>
            <w:gridSpan w:val="3"/>
          </w:tcPr>
          <w:p>
            <w:pPr>
              <w:ind w:left="720"/>
              <w:spacing w:after="0"/>
              <w:rPr>
                <w:sz w:val="20"/>
                <w:szCs w:val="20"/>
                <w:color w:val="auto"/>
              </w:rPr>
            </w:pPr>
            <w:r>
              <w:rPr>
                <w:rFonts w:ascii="Arial" w:cs="Arial" w:eastAsia="Arial" w:hAnsi="Arial"/>
                <w:sz w:val="18"/>
                <w:szCs w:val="18"/>
                <w:color w:val="auto"/>
              </w:rPr>
              <w:t>Results</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440" w:type="dxa"/>
            <w:vAlign w:val="bottom"/>
            <w:gridSpan w:val="3"/>
          </w:tcPr>
          <w:p>
            <w:pPr>
              <w:spacing w:after="0" w:line="195" w:lineRule="exact"/>
              <w:rPr>
                <w:sz w:val="20"/>
                <w:szCs w:val="20"/>
                <w:color w:val="auto"/>
              </w:rPr>
            </w:pPr>
            <w:r>
              <w:rPr>
                <w:rFonts w:ascii="Arial" w:cs="Arial" w:eastAsia="Arial" w:hAnsi="Arial"/>
                <w:sz w:val="18"/>
                <w:szCs w:val="18"/>
                <w:color w:val="auto"/>
              </w:rPr>
              <w:t>EBITDA</w:t>
            </w:r>
          </w:p>
        </w:tc>
        <w:tc>
          <w:tcPr>
            <w:tcW w:w="5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40%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Target:</w:t>
            </w:r>
          </w:p>
        </w:tc>
        <w:tc>
          <w:tcPr>
            <w:tcW w:w="2540" w:type="dxa"/>
            <w:vAlign w:val="bottom"/>
          </w:tcPr>
          <w:p>
            <w:pPr>
              <w:jc w:val="right"/>
              <w:ind w:right="1430"/>
              <w:spacing w:after="0" w:line="195" w:lineRule="exact"/>
              <w:rPr>
                <w:sz w:val="20"/>
                <w:szCs w:val="20"/>
                <w:color w:val="auto"/>
              </w:rPr>
            </w:pPr>
            <w:r>
              <w:rPr>
                <w:rFonts w:ascii="Arial" w:cs="Arial" w:eastAsia="Arial" w:hAnsi="Arial"/>
                <w:sz w:val="18"/>
                <w:szCs w:val="18"/>
                <w:color w:val="auto"/>
                <w:w w:val="99"/>
              </w:rPr>
              <w:t>$38,286,000</w:t>
            </w:r>
          </w:p>
        </w:tc>
        <w:tc>
          <w:tcPr>
            <w:tcW w:w="4760" w:type="dxa"/>
            <w:vAlign w:val="bottom"/>
            <w:gridSpan w:val="3"/>
          </w:tcPr>
          <w:p>
            <w:pPr>
              <w:ind w:left="720"/>
              <w:spacing w:after="0" w:line="195" w:lineRule="exact"/>
              <w:rPr>
                <w:sz w:val="20"/>
                <w:szCs w:val="20"/>
                <w:color w:val="auto"/>
              </w:rPr>
            </w:pPr>
            <w:r>
              <w:rPr>
                <w:rFonts w:ascii="Arial" w:cs="Arial" w:eastAsia="Arial" w:hAnsi="Arial"/>
                <w:sz w:val="18"/>
                <w:szCs w:val="18"/>
                <w:color w:val="auto"/>
              </w:rPr>
              <w:t>$33,692,000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Threshold: $30,000,000</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Maximum: $50,000,000</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420" w:type="dxa"/>
            <w:vAlign w:val="bottom"/>
            <w:gridSpan w:val="2"/>
          </w:tcPr>
          <w:p>
            <w:pPr>
              <w:spacing w:after="0" w:line="195" w:lineRule="exact"/>
              <w:rPr>
                <w:sz w:val="20"/>
                <w:szCs w:val="20"/>
                <w:color w:val="auto"/>
              </w:rPr>
            </w:pPr>
            <w:r>
              <w:rPr>
                <w:rFonts w:ascii="Arial" w:cs="Arial" w:eastAsia="Arial" w:hAnsi="Arial"/>
                <w:sz w:val="18"/>
                <w:szCs w:val="18"/>
                <w:color w:val="auto"/>
              </w:rPr>
              <w:t>Trade Working</w:t>
            </w:r>
          </w:p>
        </w:tc>
        <w:tc>
          <w:tcPr>
            <w:tcW w:w="5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Target =</w:t>
            </w:r>
          </w:p>
        </w:tc>
        <w:tc>
          <w:tcPr>
            <w:tcW w:w="2540" w:type="dxa"/>
            <w:vAlign w:val="bottom"/>
          </w:tcPr>
          <w:p>
            <w:pPr>
              <w:ind w:left="180"/>
              <w:spacing w:after="0" w:line="195" w:lineRule="exact"/>
              <w:rPr>
                <w:sz w:val="20"/>
                <w:szCs w:val="20"/>
                <w:color w:val="auto"/>
              </w:rPr>
            </w:pPr>
            <w:r>
              <w:rPr>
                <w:rFonts w:ascii="Arial" w:cs="Arial" w:eastAsia="Arial" w:hAnsi="Arial"/>
                <w:sz w:val="18"/>
                <w:szCs w:val="18"/>
                <w:color w:val="auto"/>
              </w:rPr>
              <w:t>30.3%</w:t>
            </w:r>
          </w:p>
        </w:tc>
        <w:tc>
          <w:tcPr>
            <w:tcW w:w="1260" w:type="dxa"/>
            <w:vAlign w:val="bottom"/>
            <w:gridSpan w:val="2"/>
          </w:tcPr>
          <w:p>
            <w:pPr>
              <w:ind w:left="720"/>
              <w:spacing w:after="0" w:line="195" w:lineRule="exact"/>
              <w:rPr>
                <w:sz w:val="20"/>
                <w:szCs w:val="20"/>
                <w:color w:val="auto"/>
              </w:rPr>
            </w:pPr>
            <w:r>
              <w:rPr>
                <w:rFonts w:ascii="Arial" w:cs="Arial" w:eastAsia="Arial" w:hAnsi="Arial"/>
                <w:sz w:val="18"/>
                <w:szCs w:val="18"/>
                <w:color w:val="auto"/>
              </w:rPr>
              <w:t>35.4%</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Capital (%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Threshold = 34.3%</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Maximum = 26.3%</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420" w:type="dxa"/>
            <w:vAlign w:val="bottom"/>
            <w:gridSpan w:val="2"/>
          </w:tcPr>
          <w:p>
            <w:pPr>
              <w:spacing w:after="0" w:line="195" w:lineRule="exact"/>
              <w:rPr>
                <w:sz w:val="20"/>
                <w:szCs w:val="20"/>
                <w:color w:val="auto"/>
              </w:rPr>
            </w:pPr>
            <w:r>
              <w:rPr>
                <w:rFonts w:ascii="Arial" w:cs="Arial" w:eastAsia="Arial" w:hAnsi="Arial"/>
                <w:sz w:val="18"/>
                <w:szCs w:val="18"/>
                <w:color w:val="auto"/>
              </w:rPr>
              <w:t>Sales Revenue</w:t>
            </w:r>
          </w:p>
        </w:tc>
        <w:tc>
          <w:tcPr>
            <w:tcW w:w="5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Target =</w:t>
            </w:r>
          </w:p>
        </w:tc>
        <w:tc>
          <w:tcPr>
            <w:tcW w:w="2540" w:type="dxa"/>
            <w:vAlign w:val="bottom"/>
          </w:tcPr>
          <w:p>
            <w:pPr>
              <w:ind w:left="180"/>
              <w:spacing w:after="0" w:line="195" w:lineRule="exact"/>
              <w:rPr>
                <w:sz w:val="20"/>
                <w:szCs w:val="20"/>
                <w:color w:val="auto"/>
              </w:rPr>
            </w:pPr>
            <w:r>
              <w:rPr>
                <w:rFonts w:ascii="Arial" w:cs="Arial" w:eastAsia="Arial" w:hAnsi="Arial"/>
                <w:sz w:val="18"/>
                <w:szCs w:val="18"/>
                <w:color w:val="auto"/>
              </w:rPr>
              <w:t>$323,287,000</w:t>
            </w:r>
          </w:p>
        </w:tc>
        <w:tc>
          <w:tcPr>
            <w:tcW w:w="4760" w:type="dxa"/>
            <w:vAlign w:val="bottom"/>
            <w:gridSpan w:val="3"/>
          </w:tcPr>
          <w:p>
            <w:pPr>
              <w:ind w:left="720"/>
              <w:spacing w:after="0" w:line="195" w:lineRule="exact"/>
              <w:rPr>
                <w:sz w:val="20"/>
                <w:szCs w:val="20"/>
                <w:color w:val="auto"/>
              </w:rPr>
            </w:pPr>
            <w:r>
              <w:rPr>
                <w:rFonts w:ascii="Arial" w:cs="Arial" w:eastAsia="Arial" w:hAnsi="Arial"/>
                <w:sz w:val="18"/>
                <w:szCs w:val="18"/>
                <w:color w:val="auto"/>
              </w:rPr>
              <w:t>$302,663,000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Threshold = $300,000,000</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Maximum = $375,000,000</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gridSpan w:val="3"/>
          </w:tcPr>
          <w:p>
            <w:pPr>
              <w:spacing w:after="0"/>
              <w:rPr>
                <w:sz w:val="20"/>
                <w:szCs w:val="20"/>
                <w:color w:val="auto"/>
              </w:rPr>
            </w:pPr>
            <w:r>
              <w:rPr>
                <w:rFonts w:ascii="Arial" w:cs="Arial" w:eastAsia="Arial" w:hAnsi="Arial"/>
                <w:sz w:val="18"/>
                <w:szCs w:val="18"/>
                <w:color w:val="auto"/>
              </w:rPr>
              <w:t>Strategic Objectives</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24"/>
                <w:szCs w:val="24"/>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color w:val="auto"/>
              </w:rPr>
              <w:t>Discretionary award based on select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ind w:left="200"/>
              <w:spacing w:after="0"/>
              <w:rPr>
                <w:sz w:val="20"/>
                <w:szCs w:val="20"/>
                <w:color w:val="auto"/>
              </w:rPr>
            </w:pPr>
            <w:r>
              <w:rPr>
                <w:rFonts w:ascii="Arial" w:cs="Arial" w:eastAsia="Arial" w:hAnsi="Arial"/>
                <w:sz w:val="18"/>
                <w:szCs w:val="18"/>
                <w:color w:val="auto"/>
              </w:rPr>
              <w:t>individual initiatives for FY2019</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Pr>
          <w:p>
            <w:pPr>
              <w:jc w:val="right"/>
              <w:ind w:right="770"/>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w w:val="93"/>
              </w:rPr>
              <w:t>The following table reconciles EBITDA for purposes of bonus measurement to the Corporation’s net income:</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Plus: Interest Expense</w:t>
            </w:r>
          </w:p>
        </w:tc>
        <w:tc>
          <w:tcPr>
            <w:tcW w:w="1540" w:type="dxa"/>
            <w:vAlign w:val="bottom"/>
          </w:tcPr>
          <w:p>
            <w:pPr>
              <w:jc w:val="right"/>
              <w:spacing w:after="0"/>
              <w:rPr>
                <w:sz w:val="20"/>
                <w:szCs w:val="20"/>
                <w:color w:val="auto"/>
              </w:rPr>
            </w:pPr>
            <w:r>
              <w:rPr>
                <w:rFonts w:ascii="Arial" w:cs="Arial" w:eastAsia="Arial" w:hAnsi="Arial"/>
                <w:sz w:val="18"/>
                <w:szCs w:val="18"/>
                <w:color w:val="auto"/>
              </w:rPr>
              <w:t>1,927,000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 Expense (Benefit)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13,612,000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Restructuring Charges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Non-Cash Stock Compensation</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amounts payable based on achievement of individual initiatives were discretionary and were largely based on qualitative performance goals that varied among the Named Executive Officers. For FY2019, the Named Executive Officers received payments under this portion of the CIP in the range of 85% to 200% of target.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Made by the Committee in FY2020</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Since the end of FY2019, the Committee has taken the following actions with respect to the base salary, annual incentive compensation, and long-term incentive compensation for its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their meeting in August 2019, the Committee decided to maintain base salaries at their current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August 2019, the Committee reviewed and approved the performance goals recommended for the CIP for FY2020. The CIP will pay out if certain EBITDA, trade working capital, sales growth, and strategic objectives (individual achievement) are achieved for FY 2020. For FY2020, the Committee maintained the FY2019 target bonus percentages (as a percentage of base salary) for each of the Named Executive Officers.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58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August 2019, the Committee reviewed the performance objective established in July of 2016 for the vesting of performance stock granted in July 2016 under the Twin Disc, Incorporated 2010 Long-Term Incentive Compensation Plan. The objective is listed below:</w:t>
      </w:r>
    </w:p>
    <w:p>
      <w:pPr>
        <w:spacing w:after="0" w:line="170"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Performance Objective: Average Return on Invested Capital (also called Average Return on Total Capital), Average Sales Revenue and Average Annual Earnings Per Share for the three fiscal years ending 6/30/19 at the achievement levels specified below. Average Return on Invested Capital was weighted at 40% and Average Sales Revenue and Average Annual Earnings Per Share are each weighted at 30% of the performance objective.</w:t>
      </w:r>
    </w:p>
    <w:p>
      <w:pPr>
        <w:spacing w:after="0" w:line="160" w:lineRule="exact"/>
        <w:rPr>
          <w:sz w:val="20"/>
          <w:szCs w:val="20"/>
          <w:color w:val="auto"/>
        </w:rPr>
      </w:pPr>
    </w:p>
    <w:p>
      <w:pPr>
        <w:jc w:val="center"/>
        <w:ind w:left="480"/>
        <w:spacing w:after="0"/>
        <w:rPr>
          <w:sz w:val="20"/>
          <w:szCs w:val="20"/>
          <w:color w:val="auto"/>
        </w:rPr>
      </w:pPr>
      <w:r>
        <w:rPr>
          <w:rFonts w:ascii="Arial" w:cs="Arial" w:eastAsia="Arial" w:hAnsi="Arial"/>
          <w:sz w:val="18"/>
          <w:szCs w:val="18"/>
          <w:u w:val="single" w:color="auto"/>
          <w:color w:val="auto"/>
        </w:rPr>
        <w:t>Performance Objective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517640" cy="172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7640" cy="1724025"/>
                    </a:xfrm>
                    <a:prstGeom prst="rect">
                      <a:avLst/>
                    </a:prstGeom>
                    <a:noFill/>
                  </pic:spPr>
                </pic:pic>
              </a:graphicData>
            </a:graphic>
          </wp:anchor>
        </w:drawing>
      </w:r>
    </w:p>
    <w:p>
      <w:pPr>
        <w:spacing w:after="0" w:line="3" w:lineRule="exact"/>
        <w:rPr>
          <w:sz w:val="20"/>
          <w:szCs w:val="20"/>
          <w:color w:val="auto"/>
        </w:rPr>
      </w:pPr>
    </w:p>
    <w:p>
      <w:pPr>
        <w:jc w:val="center"/>
        <w:ind w:left="480"/>
        <w:spacing w:after="0"/>
        <w:rPr>
          <w:sz w:val="20"/>
          <w:szCs w:val="20"/>
          <w:color w:val="auto"/>
        </w:rPr>
      </w:pPr>
      <w:r>
        <w:rPr>
          <w:rFonts w:ascii="Arial" w:cs="Arial" w:eastAsia="Arial" w:hAnsi="Arial"/>
          <w:sz w:val="18"/>
          <w:szCs w:val="18"/>
          <w:u w:val="single" w:color="auto"/>
          <w:color w:val="auto"/>
        </w:rPr>
        <w:t>of June 30, 2019</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506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Avg. Return on</w:t>
            </w:r>
          </w:p>
        </w:tc>
        <w:tc>
          <w:tcPr>
            <w:tcW w:w="1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Average Sales</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Avg. Annual</w:t>
            </w:r>
          </w:p>
        </w:tc>
      </w:tr>
      <w:tr>
        <w:trPr>
          <w:trHeight w:val="216"/>
        </w:trPr>
        <w:tc>
          <w:tcPr>
            <w:tcW w:w="50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Invested Capital</w:t>
            </w:r>
          </w:p>
        </w:tc>
        <w:tc>
          <w:tcPr>
            <w:tcW w:w="17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Revenue</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Earnings per Share</w:t>
            </w:r>
          </w:p>
        </w:tc>
      </w:tr>
      <w:tr>
        <w:trPr>
          <w:trHeight w:val="216"/>
        </w:trPr>
        <w:tc>
          <w:tcPr>
            <w:tcW w:w="50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(a/k/a Avg. Return</w:t>
            </w:r>
          </w:p>
        </w:tc>
        <w:tc>
          <w:tcPr>
            <w:tcW w:w="17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(30%)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(30%)</w:t>
            </w:r>
          </w:p>
        </w:tc>
      </w:tr>
      <w:tr>
        <w:trPr>
          <w:trHeight w:val="216"/>
        </w:trPr>
        <w:tc>
          <w:tcPr>
            <w:tcW w:w="50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on</w:t>
            </w:r>
          </w:p>
        </w:tc>
        <w:tc>
          <w:tcPr>
            <w:tcW w:w="174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0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Total Capital)</w:t>
            </w:r>
          </w:p>
        </w:tc>
        <w:tc>
          <w:tcPr>
            <w:tcW w:w="174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0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w:t>
            </w:r>
          </w:p>
        </w:tc>
        <w:tc>
          <w:tcPr>
            <w:tcW w:w="17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5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Maximum</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c>
          <w:tcPr>
            <w:tcW w:w="174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6"/>
              </w:rPr>
              <w:t>$255,000,000</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r>
      <w:tr>
        <w:trPr>
          <w:trHeight w:val="223"/>
        </w:trPr>
        <w:tc>
          <w:tcPr>
            <w:tcW w:w="5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Target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7.0%</w:t>
            </w:r>
          </w:p>
        </w:tc>
        <w:tc>
          <w:tcPr>
            <w:tcW w:w="174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6"/>
              </w:rPr>
              <w:t>$235,000,000</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r>
      <w:tr>
        <w:trPr>
          <w:trHeight w:val="223"/>
        </w:trPr>
        <w:tc>
          <w:tcPr>
            <w:tcW w:w="5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Threshold</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174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6"/>
              </w:rPr>
              <w:t>$215,000,000</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200" w:lineRule="exact"/>
        <w:rPr>
          <w:sz w:val="20"/>
          <w:szCs w:val="20"/>
          <w:color w:val="auto"/>
        </w:rPr>
      </w:pPr>
    </w:p>
    <w:p>
      <w:pPr>
        <w:spacing w:after="0" w:line="21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“Average Invested Capital” is defined as total assets less non-interest bearing liabilities less accrued retirement benefits less excess cash, computed on monthly trailing 13-month basis. For FY2016-FY2018, excess cash was defined as cash in excess of approximately 1.5% of net sales.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“Average Sales Revenue” is defined as the average of the amount reported as annual “Net Sales” in the Company’s financial statements for the three fiscal years of the Performance Period.</w:t>
      </w:r>
    </w:p>
    <w:p>
      <w:pPr>
        <w:spacing w:after="0" w:line="1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“Average Earnings Per Share” is defined as the average of the amount reported as “Diluted earnings per share attributable to Twin Disc common shareholders” for the three fiscal years of the performance period.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Committee determined, subject to audit, that for the three-year period ending June 30, 2019, the Corporation’s Average Return on Invested Capital was 2.75%, the Average Sales Revenue was $237,192,498, and the Average Annual Earnings per share was $0.35. As a result, the Corporation achieved 57.5% of its cumulative Average Return on Invested Capital goal (weighted 40%), 105.5% of its cumulative average sales revenue goal (weighted 30%), and 80.7% of its average earnings per share (weighted 30%) goals for performance stock granted in 2016 under the Twin Disc, Incorporated 2010 Long-Term Incentive Compensation Plan. The Committee therefore determined that the performance stock would vest at 78.86% of target.</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FY2020, the Committee used performance measures that had been used in setting the long-term incentive plan for FY2019. The long-term incentive awards granted in FY2020 use a combination of the following performance goals and weightings for the three fiscal year performance period ending June 30, 2022: (i) average return on invested capital (also known as average return on total capital) (40%), (ii) average sales revenue (30%), and (iii) average earnings per share (30%). In addition, the possible range of long-term incentive payments for each performance goal will be 50% - 150% of the target. The Committee awarded only performance stock and restricted stock as long-term incentive awards in FY2020.</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plan-based incentive awards granted to our Named Executive Officers during FY2019.</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643"/>
        </w:trPr>
        <w:tc>
          <w:tcPr>
            <w:tcW w:w="2320" w:type="dxa"/>
            <w:vAlign w:val="bottom"/>
            <w:tcBorders>
              <w:top w:val="single" w:sz="8" w:color="auto"/>
              <w:left w:val="single" w:sz="8" w:color="auto"/>
              <w:right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Estimated Future Cash Incentive</w:t>
            </w:r>
          </w:p>
        </w:tc>
        <w:tc>
          <w:tcPr>
            <w:tcW w:w="3020" w:type="dxa"/>
            <w:vAlign w:val="bottom"/>
            <w:tcBorders>
              <w:top w:val="single" w:sz="8" w:color="auto"/>
              <w:right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Estimated Future Share or</w:t>
            </w:r>
          </w:p>
        </w:tc>
        <w:tc>
          <w:tcPr>
            <w:tcW w:w="100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Payouts Under Non-Equity</w:t>
            </w:r>
          </w:p>
        </w:tc>
        <w:tc>
          <w:tcPr>
            <w:tcW w:w="302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Unit Payouts Under Equity</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Incentive Plan Awards</w:t>
            </w: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Incentive Plan Awards</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All other</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Grant</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Date Fair</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Value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and</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of shares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Threshold</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0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Maximum</w:t>
            </w:r>
          </w:p>
        </w:tc>
        <w:tc>
          <w:tcPr>
            <w:tcW w:w="10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Threshold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Maximum</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of stock or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r>
      <w:tr>
        <w:trPr>
          <w:trHeight w:val="230"/>
        </w:trPr>
        <w:tc>
          <w:tcPr>
            <w:tcW w:w="2320" w:type="dxa"/>
            <w:vAlign w:val="bottom"/>
            <w:tcBorders>
              <w:left w:val="single" w:sz="8" w:color="auto"/>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Name</w:t>
            </w:r>
          </w:p>
        </w:tc>
        <w:tc>
          <w:tcPr>
            <w:tcW w:w="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Grant Date</w:t>
            </w:r>
          </w:p>
        </w:tc>
        <w:tc>
          <w:tcPr>
            <w:tcW w:w="10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units (2)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r>
      <w:tr>
        <w:trPr>
          <w:trHeight w:val="223"/>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John H. Batten</w:t>
            </w:r>
          </w:p>
        </w:tc>
        <w:tc>
          <w:tcPr>
            <w:tcW w:w="9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26"/>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Cash Incentive</w:t>
            </w: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$225,000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$450,000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$900,000</w:t>
            </w:r>
          </w:p>
        </w:tc>
        <w:tc>
          <w:tcPr>
            <w:tcW w:w="10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Performance Stock</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(1)</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8/24/18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9,238</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18,476</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27,714</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$471,692</w:t>
            </w: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Restricted Stock Unit</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(2)</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8/24/18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18,476</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$471,692</w:t>
            </w:r>
          </w:p>
        </w:tc>
      </w:tr>
      <w:tr>
        <w:trPr>
          <w:trHeight w:val="223"/>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Jeffrey S. Knutson</w:t>
            </w:r>
          </w:p>
        </w:tc>
        <w:tc>
          <w:tcPr>
            <w:tcW w:w="9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26"/>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Cash Incentive</w:t>
            </w: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$87,500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$175,000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$350,000</w:t>
            </w:r>
          </w:p>
        </w:tc>
        <w:tc>
          <w:tcPr>
            <w:tcW w:w="10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Performance Stock</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(1)</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8/1/18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3,030</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6,060</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9,090</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$152,106</w:t>
            </w: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Restricted Stock Unit</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(2)</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8/1/18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6,060</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$152,106</w:t>
            </w:r>
          </w:p>
        </w:tc>
      </w:tr>
      <w:tr>
        <w:trPr>
          <w:trHeight w:val="223"/>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Dean J. Bratel</w:t>
            </w:r>
          </w:p>
        </w:tc>
        <w:tc>
          <w:tcPr>
            <w:tcW w:w="9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426"/>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Cash Incentive</w:t>
            </w:r>
          </w:p>
        </w:tc>
        <w:tc>
          <w:tcPr>
            <w:tcW w:w="9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$74,000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$148,000</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$296,000</w:t>
            </w:r>
          </w:p>
        </w:tc>
        <w:tc>
          <w:tcPr>
            <w:tcW w:w="10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Performance Stock</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(1)</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8/1/18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2,444</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4,887</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7,331</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$122,664</w:t>
            </w:r>
          </w:p>
        </w:tc>
      </w:tr>
      <w:tr>
        <w:trPr>
          <w:trHeight w:val="195"/>
        </w:trPr>
        <w:tc>
          <w:tcPr>
            <w:tcW w:w="2320" w:type="dxa"/>
            <w:vAlign w:val="bottom"/>
            <w:tcBorders>
              <w:left w:val="single" w:sz="8" w:color="auto"/>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Restricted Stock Unit</w:t>
            </w:r>
          </w:p>
        </w:tc>
        <w:tc>
          <w:tcPr>
            <w:tcW w:w="9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Award (2)</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8/1/18</w:t>
            </w:r>
          </w:p>
        </w:tc>
        <w:tc>
          <w:tcPr>
            <w:tcW w:w="10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4,887</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8"/>
              </w:rPr>
              <w:t>$122,664</w:t>
            </w:r>
          </w:p>
        </w:tc>
      </w:tr>
    </w:tbl>
    <w:p>
      <w:pPr>
        <w:spacing w:after="0" w:line="202" w:lineRule="exact"/>
        <w:rPr>
          <w:sz w:val="20"/>
          <w:szCs w:val="20"/>
          <w:color w:val="auto"/>
        </w:rPr>
      </w:pPr>
    </w:p>
    <w:p>
      <w:pPr>
        <w:ind w:left="660" w:right="44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Compensation” section of the Compensation Discussion; eligible for vesting in 2021.</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restricted stock units with a vesting date of August 24, 2021 for Mr. Batten, and August 1, 2021 for Messrs. Knutson and Bratel. These stock units will vest if the executive remains employed through the vesting date.</w:t>
      </w:r>
    </w:p>
    <w:p>
      <w:pPr>
        <w:ind w:left="660" w:right="10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August 24, 2018 (the grant date) for Mr. Batten ($25.53) and on August 1, 2017 (the grant date) for Messrs. Knutson and Bratel ($25.10).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summarizes the number of restricted stock, performance stock and performance stock unit awards held by our Named Executive Officers on June 30, 2019. The Named Executive Officers had no outstanding exercisable or unexercisable options outstanding on June 30, 2019.</w:t>
      </w:r>
    </w:p>
    <w:p>
      <w:pPr>
        <w:spacing w:after="0" w:line="138" w:lineRule="exact"/>
        <w:rPr>
          <w:sz w:val="20"/>
          <w:szCs w:val="20"/>
          <w:color w:val="auto"/>
        </w:rPr>
      </w:pPr>
    </w:p>
    <w:tbl>
      <w:tblPr>
        <w:tblLayout w:type="fixed"/>
        <w:tblInd w:w="3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6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gridSpan w:val="2"/>
          </w:tcPr>
          <w:p>
            <w:pPr>
              <w:ind w:left="1760"/>
              <w:spacing w:after="0"/>
              <w:rPr>
                <w:sz w:val="20"/>
                <w:szCs w:val="20"/>
                <w:color w:val="auto"/>
              </w:rPr>
            </w:pPr>
            <w:r>
              <w:rPr>
                <w:rFonts w:ascii="Arial" w:cs="Arial" w:eastAsia="Arial" w:hAnsi="Arial"/>
                <w:sz w:val="18"/>
                <w:szCs w:val="18"/>
                <w:color w:val="auto"/>
              </w:rPr>
              <w:t>Stock Awards</w:t>
            </w:r>
          </w:p>
        </w:tc>
        <w:tc>
          <w:tcPr>
            <w:tcW w:w="2260" w:type="dxa"/>
            <w:vAlign w:val="bottom"/>
            <w:tcBorders>
              <w:top w:val="single" w:sz="8" w:color="auto"/>
              <w:bottom w:val="single" w:sz="8" w:color="auto"/>
              <w:right w:val="single" w:sz="8" w:color="auto"/>
            </w:tcBorders>
          </w:tcPr>
          <w:p>
            <w:pPr>
              <w:spacing w:after="0"/>
              <w:rPr>
                <w:sz w:val="21"/>
                <w:szCs w:val="21"/>
                <w:color w:val="auto"/>
              </w:rPr>
            </w:pPr>
          </w:p>
        </w:tc>
      </w:tr>
      <w:tr>
        <w:trPr>
          <w:trHeight w:val="178"/>
        </w:trPr>
        <w:tc>
          <w:tcPr>
            <w:tcW w:w="232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Number of Shares or</w:t>
            </w:r>
          </w:p>
        </w:tc>
        <w:tc>
          <w:tcPr>
            <w:tcW w:w="2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Market Value of</w:t>
            </w:r>
          </w:p>
        </w:tc>
        <w:tc>
          <w:tcPr>
            <w:tcW w:w="2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2"/>
              </w:rPr>
              <w:t>Equity Incentive Plan</w:t>
            </w:r>
          </w:p>
        </w:tc>
        <w:tc>
          <w:tcPr>
            <w:tcW w:w="2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2"/>
              </w:rPr>
              <w:t>Equity Incentive Plan</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Units of Stock That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 or Units of</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 Number of</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Awards: Market or</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Have Not Vested</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That Have Not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Unearned Shares,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Payout Value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or Other Rights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Unearned Shares,</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That Have Not Vested</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or Other Rights</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That Have Not Vested</w:t>
            </w:r>
          </w:p>
        </w:tc>
      </w:tr>
      <w:tr>
        <w:trPr>
          <w:trHeight w:val="23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Name</w:t>
            </w:r>
          </w:p>
        </w:tc>
        <w:tc>
          <w:tcPr>
            <w:tcW w:w="22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John H. Batten</w:t>
            </w:r>
          </w:p>
        </w:tc>
        <w:tc>
          <w:tcPr>
            <w:tcW w:w="22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137,522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$2,076,582</w:t>
            </w: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Jeffrey S. Knutson</w:t>
            </w:r>
          </w:p>
        </w:tc>
        <w:tc>
          <w:tcPr>
            <w:tcW w:w="22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55,129</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$832,448</w:t>
            </w: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Dean J. Bratel</w:t>
            </w:r>
          </w:p>
        </w:tc>
        <w:tc>
          <w:tcPr>
            <w:tcW w:w="22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49,097</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$741,365</w:t>
            </w:r>
          </w:p>
        </w:tc>
      </w:tr>
    </w:tbl>
    <w:p>
      <w:pPr>
        <w:spacing w:after="0" w:line="202" w:lineRule="exact"/>
        <w:rPr>
          <w:sz w:val="20"/>
          <w:szCs w:val="20"/>
          <w:color w:val="auto"/>
        </w:rPr>
      </w:pPr>
    </w:p>
    <w:p>
      <w:pPr>
        <w:ind w:left="340" w:right="60" w:hanging="332"/>
        <w:spacing w:after="0" w:line="28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Reflects the number of non-vested restricted stock awards, restricted stock unit awards, performance stock awards and performance stock unit awards that are scheduled to vest at various times between July 2019 and July 2021. For awards granted in fiscal 2017, restricted shares are outstanding and are assumed to vest completely and performance shares were assumed to vest at 87.84% of target, as of June 30, 2019. For awards granted in fiscal 2018 and fiscal 2019 with Threshold/Target/Maximum payout levels, the figures presented assume a level of achievement between target and maximum for the awards granted in fiscal 2018 and a level of achievement between threshold and target for the awards granted in fiscal 2019.</w:t>
      </w:r>
    </w:p>
    <w:p>
      <w:pPr>
        <w:spacing w:after="0" w:line="2" w:lineRule="exact"/>
        <w:rPr>
          <w:rFonts w:ascii="Arial" w:cs="Arial" w:eastAsia="Arial" w:hAnsi="Arial"/>
          <w:sz w:val="16"/>
          <w:szCs w:val="16"/>
          <w:color w:val="auto"/>
        </w:rPr>
      </w:pPr>
    </w:p>
    <w:p>
      <w:pPr>
        <w:ind w:left="340" w:right="100" w:hanging="332"/>
        <w:spacing w:after="0" w:line="26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Values were calculated using $15.10 per share, the closing price of the Corporation’s common stock as of June 28, 2019, the last trading day of the fiscal year.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Qualified Retirement Plans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u w:val="single" w:color="auto"/>
          <w:color w:val="auto"/>
        </w:rPr>
        <w:t>The Twin Disc, Incorporated Retirement Savings Plan for Salaried Employees</w:t>
      </w:r>
      <w:r>
        <w:rPr>
          <w:rFonts w:ascii="Arial" w:cs="Arial" w:eastAsia="Arial" w:hAnsi="Arial"/>
          <w:sz w:val="16"/>
          <w:szCs w:val="16"/>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4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The Twin Disc, Incorporated Retirement Plan for Salaried Employees</w:t>
      </w:r>
      <w:r>
        <w:rPr>
          <w:rFonts w:ascii="Arial" w:cs="Arial" w:eastAsia="Arial" w:hAnsi="Arial"/>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Mr. Bratel is currently the only Named Executive Officer that is eligible for retirement under this plan.</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Officers with a benefit under both the pre-1997 portion of the Retirement Plan and the cash balance program. Mr. Batten is eligible for a benefit under the cash-balance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2017, 2018, and 2019 the annual limits were $270,000, $275,000 and $280,000, respectively.</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Effective January 1, 2019, the Corporation matches 50% of the first 8% of pay that is contributed to the 401(k) Plan. Prior to this time, the Corporation matched 50% of the first 6% of pay. All contributions to the 401(k) Plan, as well as any matching contributions, are fully vested upon contribution.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(including Messrs. Batten and Bratel)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Life Insurance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Providing Payments Following Termination or 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Corporation has change in control severance agreements with each of its executive officers, which were most recently updated in August 2018.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and 1.5 for Mr. Bratel).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ind w:right="220"/>
        <w:spacing w:after="0" w:line="276" w:lineRule="auto"/>
        <w:rPr>
          <w:sz w:val="20"/>
          <w:szCs w:val="20"/>
          <w:color w:val="auto"/>
        </w:rPr>
      </w:pPr>
      <w:r>
        <w:rPr>
          <w:rFonts w:ascii="Arial" w:cs="Arial" w:eastAsia="Arial" w:hAnsi="Arial"/>
          <w:sz w:val="17"/>
          <w:szCs w:val="17"/>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7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7" w:lineRule="exact"/>
        <w:rPr>
          <w:sz w:val="20"/>
          <w:szCs w:val="20"/>
          <w:color w:val="auto"/>
        </w:rPr>
      </w:pPr>
    </w:p>
    <w:p>
      <w:pPr>
        <w:ind w:left="340"/>
        <w:spacing w:after="0" w:line="292" w:lineRule="auto"/>
        <w:rPr>
          <w:sz w:val="20"/>
          <w:szCs w:val="20"/>
          <w:color w:val="auto"/>
        </w:rPr>
      </w:pPr>
      <w:r>
        <w:rPr>
          <w:rFonts w:ascii="Arial" w:cs="Arial" w:eastAsia="Arial" w:hAnsi="Arial"/>
          <w:sz w:val="16"/>
          <w:szCs w:val="16"/>
          <w:b w:val="1"/>
          <w:bCs w:val="1"/>
          <w:color w:val="auto"/>
        </w:rPr>
        <w:t>Normal or Early Retirement</w:t>
      </w:r>
      <w:r>
        <w:rPr>
          <w:rFonts w:ascii="Arial" w:cs="Arial" w:eastAsia="Arial" w:hAnsi="Arial"/>
          <w:sz w:val="16"/>
          <w:szCs w:val="16"/>
          <w:color w:val="auto"/>
        </w:rPr>
        <w:t>. For purposes of the following discussion, retirement means termination of employment after the Named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Mr. Bratel is currently the only Named Executive Officer that is eligible for retirement under the Twin Disc, Incorporated Retirement Plan for Salaried Employees and the Twin Disc, Incorporated Retirement Savings Plan for Salaried Employees.</w:t>
      </w:r>
    </w:p>
    <w:p>
      <w:pPr>
        <w:spacing w:after="0" w:line="166"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is forfeited if retirement occurs before the restrictions on such shares have ended.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options must be exercised within 30 days of termination or they expire.</w:t>
      </w:r>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 Supplemental Executive Retirement Plan (SERP) is available for several Named Executive Officers who qualify for a retirement benefit under the Corporation’s pension plans. Messrs. Batten and Bratel are currently the only participants.</w:t>
      </w:r>
    </w:p>
    <w:p>
      <w:pPr>
        <w:spacing w:after="0" w:line="170" w:lineRule="exact"/>
        <w:rPr>
          <w:sz w:val="20"/>
          <w:szCs w:val="20"/>
          <w:color w:val="auto"/>
        </w:rPr>
      </w:pPr>
    </w:p>
    <w:p>
      <w:pPr>
        <w:ind w:left="660" w:right="240"/>
        <w:spacing w:after="0" w:line="228" w:lineRule="auto"/>
        <w:rPr>
          <w:sz w:val="20"/>
          <w:szCs w:val="20"/>
          <w:color w:val="auto"/>
        </w:rPr>
      </w:pPr>
      <w:r>
        <w:rPr>
          <w:rFonts w:ascii="Arial" w:cs="Arial" w:eastAsia="Arial" w:hAnsi="Arial"/>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328" w:right="60" w:hanging="328"/>
        <w:spacing w:after="0" w:line="313" w:lineRule="auto"/>
        <w:tabs>
          <w:tab w:leader="none" w:pos="328"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base salary earned, but not yet paid. In addition, any vacation accrual not used would also be paid to the estate.</w:t>
      </w:r>
    </w:p>
    <w:p>
      <w:pPr>
        <w:spacing w:after="0" w:line="142" w:lineRule="exact"/>
        <w:rPr>
          <w:rFonts w:ascii="Arial" w:cs="Arial" w:eastAsia="Arial" w:hAnsi="Arial"/>
          <w:sz w:val="17"/>
          <w:szCs w:val="17"/>
          <w:b w:val="1"/>
          <w:bCs w:val="1"/>
          <w:color w:val="auto"/>
        </w:rPr>
      </w:pPr>
    </w:p>
    <w:p>
      <w:pPr>
        <w:ind w:left="328"/>
        <w:spacing w:after="0"/>
        <w:rPr>
          <w:rFonts w:ascii="Arial" w:cs="Arial" w:eastAsia="Arial" w:hAnsi="Arial"/>
          <w:sz w:val="17"/>
          <w:szCs w:val="17"/>
          <w:b w:val="1"/>
          <w:bCs w:val="1"/>
          <w:color w:val="auto"/>
        </w:rPr>
      </w:pPr>
      <w:r>
        <w:rPr>
          <w:rFonts w:ascii="Arial" w:cs="Arial" w:eastAsia="Arial" w:hAnsi="Arial"/>
          <w:sz w:val="17"/>
          <w:szCs w:val="17"/>
          <w:color w:val="auto"/>
        </w:rPr>
        <w:t>Restricted stock vests and becomes payable per the terms of the individual grant agreement. The estate would receive the payment of shares.</w:t>
      </w:r>
    </w:p>
    <w:p>
      <w:pPr>
        <w:spacing w:after="0" w:line="236" w:lineRule="exact"/>
        <w:rPr>
          <w:rFonts w:ascii="Arial" w:cs="Arial" w:eastAsia="Arial" w:hAnsi="Arial"/>
          <w:sz w:val="17"/>
          <w:szCs w:val="17"/>
          <w:b w:val="1"/>
          <w:bCs w:val="1"/>
          <w:color w:val="auto"/>
        </w:rPr>
      </w:pPr>
    </w:p>
    <w:p>
      <w:pPr>
        <w:ind w:left="328" w:right="2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3" w:lineRule="exact"/>
        <w:rPr>
          <w:rFonts w:ascii="Arial" w:cs="Arial" w:eastAsia="Arial" w:hAnsi="Arial"/>
          <w:sz w:val="17"/>
          <w:szCs w:val="17"/>
          <w:b w:val="1"/>
          <w:bCs w:val="1"/>
          <w:color w:val="auto"/>
        </w:rPr>
      </w:pPr>
    </w:p>
    <w:p>
      <w:pPr>
        <w:ind w:left="328"/>
        <w:spacing w:after="0"/>
        <w:rPr>
          <w:rFonts w:ascii="Arial" w:cs="Arial" w:eastAsia="Arial" w:hAnsi="Arial"/>
          <w:sz w:val="17"/>
          <w:szCs w:val="17"/>
          <w:b w:val="1"/>
          <w:bCs w:val="1"/>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21" w:lineRule="exact"/>
        <w:rPr>
          <w:rFonts w:ascii="Arial" w:cs="Arial" w:eastAsia="Arial" w:hAnsi="Arial"/>
          <w:sz w:val="17"/>
          <w:szCs w:val="17"/>
          <w:b w:val="1"/>
          <w:bCs w:val="1"/>
          <w:color w:val="auto"/>
        </w:rPr>
      </w:pPr>
    </w:p>
    <w:p>
      <w:pPr>
        <w:ind w:left="328" w:right="60" w:hanging="328"/>
        <w:spacing w:after="0" w:line="266" w:lineRule="auto"/>
        <w:tabs>
          <w:tab w:leader="none" w:pos="32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termination of employment due to disability, a Named Executive Officer would receive benefits under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disability plans, generally available to full-time salaried employees. Benefits are reduced for any social security or pension eligibility.</w:t>
      </w:r>
    </w:p>
    <w:p>
      <w:pPr>
        <w:spacing w:after="0" w:line="180" w:lineRule="exact"/>
        <w:rPr>
          <w:rFonts w:ascii="Arial" w:cs="Arial" w:eastAsia="Arial" w:hAnsi="Arial"/>
          <w:sz w:val="18"/>
          <w:szCs w:val="18"/>
          <w:b w:val="1"/>
          <w:bCs w:val="1"/>
          <w:color w:val="auto"/>
        </w:rPr>
      </w:pPr>
    </w:p>
    <w:p>
      <w:pPr>
        <w:ind w:left="328"/>
        <w:spacing w:after="0"/>
        <w:rPr>
          <w:rFonts w:ascii="Arial" w:cs="Arial" w:eastAsia="Arial" w:hAnsi="Arial"/>
          <w:sz w:val="18"/>
          <w:szCs w:val="18"/>
          <w:b w:val="1"/>
          <w:bCs w:val="1"/>
          <w:color w:val="auto"/>
        </w:rPr>
      </w:pPr>
      <w:r>
        <w:rPr>
          <w:rFonts w:ascii="Arial" w:cs="Arial" w:eastAsia="Arial" w:hAnsi="Arial"/>
          <w:sz w:val="18"/>
          <w:szCs w:val="18"/>
          <w:color w:val="auto"/>
        </w:rPr>
        <w:t>Restricted stock vests and becomes payable per the terms of the individual grant agreement.</w:t>
      </w:r>
    </w:p>
    <w:p>
      <w:pPr>
        <w:spacing w:after="0" w:line="225" w:lineRule="exact"/>
        <w:rPr>
          <w:rFonts w:ascii="Arial" w:cs="Arial" w:eastAsia="Arial" w:hAnsi="Arial"/>
          <w:sz w:val="18"/>
          <w:szCs w:val="18"/>
          <w:b w:val="1"/>
          <w:bCs w:val="1"/>
          <w:color w:val="auto"/>
        </w:rPr>
      </w:pPr>
    </w:p>
    <w:p>
      <w:pPr>
        <w:ind w:left="328"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77" w:lineRule="exact"/>
        <w:rPr>
          <w:rFonts w:ascii="Arial" w:cs="Arial" w:eastAsia="Arial" w:hAnsi="Arial"/>
          <w:sz w:val="18"/>
          <w:szCs w:val="18"/>
          <w:b w:val="1"/>
          <w:bCs w:val="1"/>
          <w:color w:val="auto"/>
        </w:rPr>
      </w:pPr>
    </w:p>
    <w:p>
      <w:pPr>
        <w:ind w:left="328" w:right="980" w:hanging="328"/>
        <w:spacing w:after="0" w:line="282" w:lineRule="auto"/>
        <w:tabs>
          <w:tab w:leader="none" w:pos="32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Committee would determine that severance payments are appropriate.</w:t>
      </w:r>
    </w:p>
    <w:p>
      <w:pPr>
        <w:spacing w:after="0" w:line="161" w:lineRule="exact"/>
        <w:rPr>
          <w:rFonts w:ascii="Arial" w:cs="Arial" w:eastAsia="Arial" w:hAnsi="Arial"/>
          <w:sz w:val="18"/>
          <w:szCs w:val="18"/>
          <w:b w:val="1"/>
          <w:bCs w:val="1"/>
          <w:color w:val="auto"/>
        </w:rPr>
      </w:pPr>
    </w:p>
    <w:p>
      <w:pPr>
        <w:ind w:left="328" w:hanging="328"/>
        <w:spacing w:after="0" w:line="282" w:lineRule="auto"/>
        <w:tabs>
          <w:tab w:leader="none" w:pos="32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1" w:lineRule="exact"/>
        <w:rPr>
          <w:rFonts w:ascii="Arial" w:cs="Arial" w:eastAsia="Arial" w:hAnsi="Arial"/>
          <w:sz w:val="18"/>
          <w:szCs w:val="18"/>
          <w:b w:val="1"/>
          <w:bCs w:val="1"/>
          <w:color w:val="auto"/>
        </w:rPr>
      </w:pPr>
    </w:p>
    <w:p>
      <w:pPr>
        <w:ind w:left="328" w:right="60" w:hanging="328"/>
        <w:spacing w:after="0" w:line="261" w:lineRule="auto"/>
        <w:tabs>
          <w:tab w:leader="none" w:pos="32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The Corporation has entered into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with each of our Named Executive Officers. The agreements provide that if the executive experiences an involuntary termination (or resigns for good reason, as defined) within two years following a change in control of the Corporation, the executive will receive the following benefits:</w:t>
      </w:r>
    </w:p>
    <w:p>
      <w:pPr>
        <w:spacing w:after="0" w:line="184" w:lineRule="exact"/>
        <w:rPr>
          <w:sz w:val="20"/>
          <w:szCs w:val="20"/>
          <w:color w:val="auto"/>
        </w:rPr>
      </w:pPr>
    </w:p>
    <w:p>
      <w:pPr>
        <w:ind w:left="968" w:right="40" w:hanging="320"/>
        <w:spacing w:after="0" w:line="271" w:lineRule="auto"/>
        <w:tabs>
          <w:tab w:leader="none" w:pos="9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20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8"/>
          </w:cols>
          <w:pgMar w:left="572" w:top="580" w:right="259" w:bottom="1440" w:gutter="0" w:footer="0" w:header="0"/>
        </w:sectPr>
      </w:pPr>
    </w:p>
    <w:bookmarkStart w:id="34" w:name="page35"/>
    <w:bookmarkEnd w:id="34"/>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and</w:t>
      </w:r>
    </w:p>
    <w:p>
      <w:pPr>
        <w:spacing w:after="0" w:line="9"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FY2019:</w:t>
      </w:r>
    </w:p>
    <w:p>
      <w:pPr>
        <w:spacing w:after="0" w:line="216" w:lineRule="exact"/>
        <w:rPr>
          <w:sz w:val="20"/>
          <w:szCs w:val="20"/>
          <w:color w:val="auto"/>
        </w:rPr>
      </w:pPr>
    </w:p>
    <w:tbl>
      <w:tblPr>
        <w:tblLayout w:type="fixed"/>
        <w:tblInd w:w="2010" w:type="dxa"/>
        <w:tblCellMar>
          <w:top w:w="0" w:type="dxa"/>
          <w:left w:w="0" w:type="dxa"/>
          <w:bottom w:w="0" w:type="dxa"/>
          <w:right w:w="0" w:type="dxa"/>
        </w:tblCellMar>
      </w:tblPr>
      <w:tr>
        <w:trPr>
          <w:trHeight w:val="218"/>
        </w:trPr>
        <w:tc>
          <w:tcPr>
            <w:tcW w:w="1900" w:type="dxa"/>
            <w:vAlign w:val="bottom"/>
            <w:tcBorders>
              <w:top w:val="single" w:sz="8" w:color="auto"/>
              <w:left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Name</w:t>
            </w:r>
          </w:p>
        </w:tc>
        <w:tc>
          <w:tcPr>
            <w:tcW w:w="8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Year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Fees</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11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Total</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Earned or</w:t>
            </w:r>
          </w:p>
        </w:tc>
        <w:tc>
          <w:tcPr>
            <w:tcW w:w="11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Paid in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1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47"/>
        </w:trPr>
        <w:tc>
          <w:tcPr>
            <w:tcW w:w="190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Awards (1)</w:t>
            </w:r>
          </w:p>
        </w:tc>
        <w:tc>
          <w:tcPr>
            <w:tcW w:w="11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r>
      <w:tr>
        <w:trPr>
          <w:trHeight w:val="193"/>
        </w:trPr>
        <w:tc>
          <w:tcPr>
            <w:tcW w:w="190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Arial" w:cs="Arial" w:eastAsia="Arial" w:hAnsi="Arial"/>
                <w:sz w:val="18"/>
                <w:szCs w:val="18"/>
                <w:color w:val="auto"/>
              </w:rPr>
              <w:t>Michael Doar</w:t>
            </w:r>
          </w:p>
        </w:tc>
        <w:tc>
          <w:tcPr>
            <w:tcW w:w="800" w:type="dxa"/>
            <w:vAlign w:val="bottom"/>
            <w:tcBorders>
              <w:bottom w:val="single" w:sz="8" w:color="auto"/>
              <w:right w:val="single" w:sz="8" w:color="auto"/>
            </w:tcBorders>
          </w:tcPr>
          <w:p>
            <w:pPr>
              <w:ind w:left="200"/>
              <w:spacing w:after="0" w:line="193" w:lineRule="exact"/>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Arial" w:cs="Arial" w:eastAsia="Arial" w:hAnsi="Arial"/>
                <w:sz w:val="18"/>
                <w:szCs w:val="18"/>
                <w:color w:val="auto"/>
              </w:rPr>
              <w:t>$71,750</w:t>
            </w:r>
          </w:p>
        </w:tc>
        <w:tc>
          <w:tcPr>
            <w:tcW w:w="1180" w:type="dxa"/>
            <w:vAlign w:val="bottom"/>
            <w:tcBorders>
              <w:bottom w:val="single" w:sz="8" w:color="auto"/>
              <w:right w:val="single" w:sz="8" w:color="auto"/>
            </w:tcBorders>
          </w:tcPr>
          <w:p>
            <w:pPr>
              <w:ind w:left="480"/>
              <w:spacing w:after="0" w:line="193" w:lineRule="exact"/>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380"/>
              <w:spacing w:after="0" w:line="193" w:lineRule="exact"/>
              <w:rPr>
                <w:sz w:val="20"/>
                <w:szCs w:val="20"/>
                <w:color w:val="auto"/>
              </w:rPr>
            </w:pPr>
            <w:r>
              <w:rPr>
                <w:rFonts w:ascii="Arial" w:cs="Arial" w:eastAsia="Arial" w:hAnsi="Arial"/>
                <w:sz w:val="18"/>
                <w:szCs w:val="18"/>
                <w:color w:val="auto"/>
                <w:w w:val="98"/>
              </w:rPr>
              <w:t>$134,256</w:t>
            </w:r>
          </w:p>
        </w:tc>
      </w:tr>
      <w:tr>
        <w:trPr>
          <w:trHeight w:val="210"/>
        </w:trPr>
        <w:tc>
          <w:tcPr>
            <w:tcW w:w="1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Janet Giesselman</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$74,375</w:t>
            </w:r>
          </w:p>
        </w:tc>
        <w:tc>
          <w:tcPr>
            <w:tcW w:w="1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8"/>
              </w:rPr>
              <w:t>$136,881</w:t>
            </w:r>
          </w:p>
        </w:tc>
      </w:tr>
      <w:tr>
        <w:trPr>
          <w:trHeight w:val="210"/>
        </w:trPr>
        <w:tc>
          <w:tcPr>
            <w:tcW w:w="1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Johnson</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$79,375</w:t>
            </w:r>
          </w:p>
        </w:tc>
        <w:tc>
          <w:tcPr>
            <w:tcW w:w="1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8"/>
              </w:rPr>
              <w:t>$141,881</w:t>
            </w:r>
          </w:p>
        </w:tc>
      </w:tr>
      <w:tr>
        <w:trPr>
          <w:trHeight w:val="210"/>
        </w:trPr>
        <w:tc>
          <w:tcPr>
            <w:tcW w:w="1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Rayburn</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$112,500</w:t>
            </w:r>
          </w:p>
        </w:tc>
        <w:tc>
          <w:tcPr>
            <w:tcW w:w="1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8"/>
              </w:rPr>
              <w:t>$175,006</w:t>
            </w:r>
          </w:p>
        </w:tc>
      </w:tr>
      <w:tr>
        <w:trPr>
          <w:trHeight w:val="210"/>
        </w:trPr>
        <w:tc>
          <w:tcPr>
            <w:tcW w:w="1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Harold Stratton II</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$71,750</w:t>
            </w:r>
          </w:p>
        </w:tc>
        <w:tc>
          <w:tcPr>
            <w:tcW w:w="1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8"/>
              </w:rPr>
              <w:t>$134,256</w:t>
            </w:r>
          </w:p>
        </w:tc>
      </w:tr>
      <w:tr>
        <w:trPr>
          <w:trHeight w:val="210"/>
        </w:trPr>
        <w:tc>
          <w:tcPr>
            <w:tcW w:w="1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Zimmer</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$62,500</w:t>
            </w:r>
          </w:p>
        </w:tc>
        <w:tc>
          <w:tcPr>
            <w:tcW w:w="1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$62,506</w:t>
            </w: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w w:val="98"/>
              </w:rPr>
              <w:t>$125,006</w:t>
            </w:r>
          </w:p>
        </w:tc>
      </w:tr>
    </w:tbl>
    <w:p>
      <w:pPr>
        <w:spacing w:after="0" w:line="202" w:lineRule="exact"/>
        <w:rPr>
          <w:sz w:val="20"/>
          <w:szCs w:val="20"/>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Value of Stock Awards is computed as of the date of grant in accordance with Financial Accounting Standards Board ASC Topic 718. Each director held 3,264 shares of restricted stock as of the end of FY2019.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 Plan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FY2019, the Board reviewed its Director Compensation and maintained its annual retainer at $125,000, effective as of the date of the annual shareholders meeting in October 2018. They determined that the mix for FY2019 would be 50% cash and 50% restricted stock.</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Committee chairs are paid an annual fee in addition to the annual retainer. The chairs of the Finance and Risk Management Committee, and the Nominating and Governance Committee each receive an annual fee of $10,000. The chair of the Audit Committee receives a $17,500 annual fee and the chair of the Compensation and Executive Development Committee receives a $12,500 annual fee, due to the larger responsibilities of the positions. The annual Chairman’s fee remains at 40% of the retainer, or $50,000.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ind w:right="60"/>
        <w:spacing w:after="0" w:line="297" w:lineRule="auto"/>
        <w:rPr>
          <w:sz w:val="20"/>
          <w:szCs w:val="20"/>
          <w:color w:val="auto"/>
        </w:rPr>
      </w:pPr>
      <w:r>
        <w:rPr>
          <w:rFonts w:ascii="Arial" w:cs="Arial" w:eastAsia="Arial" w:hAnsi="Arial"/>
          <w:sz w:val="16"/>
          <w:szCs w:val="16"/>
          <w:color w:val="auto"/>
        </w:rPr>
        <w:t>The Board of Directors approved an increase to the annual retainer and committee chair fees, effective as of the Annual Shareholders meeting in October 2019. The new annual retainer will be increased to $135,000, with $62,500 paid in cash and $72,500 paid in restricted stock. The chair of the Audit Committee will receive a new annual fee of $20,000 and the chair of the Compensation and Executive Development Committee chair will receive a new annual fee of $15,000. The chairs of the Finance and Risk Management Committee and the Nominating and Governance Committee will continue to receive an annual fee of $10,000. The Chairman’s annual fee remains at 40% of the retainer, and now increases to $54,000, due to the increased retainer.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2019.</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4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2019, for filing with the Securities and Exchange Commission.</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W. Johnson, Chair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Doar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July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of Securities to be Issued</w:t>
            </w:r>
          </w:p>
        </w:tc>
        <w:tc>
          <w:tcPr>
            <w:tcW w:w="2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Weighted Average Price of</w:t>
            </w:r>
          </w:p>
        </w:tc>
        <w:tc>
          <w:tcPr>
            <w:tcW w:w="2820" w:type="dxa"/>
            <w:vAlign w:val="bottom"/>
          </w:tcPr>
          <w:p>
            <w:pPr>
              <w:ind w:left="140"/>
              <w:spacing w:after="0"/>
              <w:rPr>
                <w:sz w:val="20"/>
                <w:szCs w:val="20"/>
                <w:color w:val="auto"/>
              </w:rPr>
            </w:pPr>
            <w:r>
              <w:rPr>
                <w:rFonts w:ascii="Arial" w:cs="Arial" w:eastAsia="Arial" w:hAnsi="Arial"/>
                <w:sz w:val="18"/>
                <w:szCs w:val="18"/>
                <w:color w:val="auto"/>
              </w:rPr>
              <w:t># of Securities Remaining</w:t>
            </w:r>
          </w:p>
        </w:tc>
      </w:tr>
      <w:tr>
        <w:trPr>
          <w:trHeight w:val="216"/>
        </w:trPr>
        <w:tc>
          <w:tcPr>
            <w:tcW w:w="29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Upon Exercise of</w:t>
            </w:r>
          </w:p>
        </w:tc>
        <w:tc>
          <w:tcPr>
            <w:tcW w:w="2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Outstanding Options,</w:t>
            </w:r>
          </w:p>
        </w:tc>
        <w:tc>
          <w:tcPr>
            <w:tcW w:w="2820" w:type="dxa"/>
            <w:vAlign w:val="bottom"/>
          </w:tcPr>
          <w:p>
            <w:pPr>
              <w:ind w:left="140"/>
              <w:spacing w:after="0"/>
              <w:rPr>
                <w:sz w:val="20"/>
                <w:szCs w:val="20"/>
                <w:color w:val="auto"/>
              </w:rPr>
            </w:pPr>
            <w:r>
              <w:rPr>
                <w:rFonts w:ascii="Arial" w:cs="Arial" w:eastAsia="Arial" w:hAnsi="Arial"/>
                <w:sz w:val="18"/>
                <w:szCs w:val="18"/>
                <w:color w:val="auto"/>
              </w:rPr>
              <w:t>Available for Future</w:t>
            </w:r>
          </w:p>
        </w:tc>
      </w:tr>
      <w:tr>
        <w:trPr>
          <w:trHeight w:val="216"/>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Plan Category</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Outstanding Options,</w:t>
            </w:r>
          </w:p>
        </w:tc>
        <w:tc>
          <w:tcPr>
            <w:tcW w:w="2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Warrants and Rights</w:t>
            </w:r>
          </w:p>
        </w:tc>
        <w:tc>
          <w:tcPr>
            <w:tcW w:w="2820" w:type="dxa"/>
            <w:vAlign w:val="bottom"/>
          </w:tcPr>
          <w:p>
            <w:pPr>
              <w:ind w:left="140"/>
              <w:spacing w:after="0"/>
              <w:rPr>
                <w:sz w:val="20"/>
                <w:szCs w:val="20"/>
                <w:color w:val="auto"/>
              </w:rPr>
            </w:pPr>
            <w:r>
              <w:rPr>
                <w:rFonts w:ascii="Arial" w:cs="Arial" w:eastAsia="Arial" w:hAnsi="Arial"/>
                <w:sz w:val="18"/>
                <w:szCs w:val="18"/>
                <w:color w:val="auto"/>
              </w:rPr>
              <w:t>Issuance Under Equity</w:t>
            </w: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Warrants and Rights</w:t>
            </w:r>
          </w:p>
        </w:tc>
        <w:tc>
          <w:tcPr>
            <w:tcW w:w="288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Compensation Plans</w:t>
            </w:r>
          </w:p>
        </w:tc>
      </w:tr>
      <w:tr>
        <w:trPr>
          <w:trHeight w:val="195"/>
        </w:trPr>
        <w:tc>
          <w:tcPr>
            <w:tcW w:w="290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Equity Compensation Plans</w:t>
            </w:r>
          </w:p>
        </w:tc>
        <w:tc>
          <w:tcPr>
            <w:tcW w:w="28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2820" w:type="dxa"/>
            <w:vAlign w:val="bottom"/>
          </w:tcPr>
          <w:p>
            <w:pPr>
              <w:spacing w:after="0"/>
              <w:rPr>
                <w:sz w:val="16"/>
                <w:szCs w:val="16"/>
                <w:color w:val="auto"/>
              </w:rPr>
            </w:pPr>
          </w:p>
        </w:tc>
      </w:tr>
      <w:tr>
        <w:trPr>
          <w:trHeight w:val="230"/>
        </w:trPr>
        <w:tc>
          <w:tcPr>
            <w:tcW w:w="29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Approved by Shareholders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147,788, (1)</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$14.61 (2)</w:t>
            </w:r>
          </w:p>
        </w:tc>
        <w:tc>
          <w:tcPr>
            <w:tcW w:w="2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778,675 (3)</w:t>
            </w:r>
          </w:p>
        </w:tc>
      </w:tr>
      <w:tr>
        <w:trPr>
          <w:trHeight w:val="195"/>
        </w:trPr>
        <w:tc>
          <w:tcPr>
            <w:tcW w:w="290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Equity Compensation Plans Not</w:t>
            </w:r>
          </w:p>
        </w:tc>
        <w:tc>
          <w:tcPr>
            <w:tcW w:w="28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2820" w:type="dxa"/>
            <w:vAlign w:val="bottom"/>
          </w:tcPr>
          <w:p>
            <w:pPr>
              <w:spacing w:after="0"/>
              <w:rPr>
                <w:sz w:val="16"/>
                <w:szCs w:val="16"/>
                <w:color w:val="auto"/>
              </w:rPr>
            </w:pPr>
          </w:p>
        </w:tc>
      </w:tr>
      <w:tr>
        <w:trPr>
          <w:trHeight w:val="230"/>
        </w:trPr>
        <w:tc>
          <w:tcPr>
            <w:tcW w:w="29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Approved By Shareholders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82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0</w:t>
            </w:r>
          </w:p>
        </w:tc>
      </w:tr>
      <w:tr>
        <w:trPr>
          <w:trHeight w:val="210"/>
        </w:trPr>
        <w:tc>
          <w:tcPr>
            <w:tcW w:w="29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147,788, (1)</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$14.61 (2)</w:t>
            </w:r>
          </w:p>
        </w:tc>
        <w:tc>
          <w:tcPr>
            <w:tcW w:w="282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778,675 (3)</w:t>
            </w:r>
          </w:p>
        </w:tc>
      </w:tr>
    </w:tbl>
    <w:p>
      <w:pPr>
        <w:spacing w:after="0" w:line="202" w:lineRule="exact"/>
        <w:rPr>
          <w:sz w:val="20"/>
          <w:szCs w:val="20"/>
          <w:color w:val="auto"/>
        </w:rPr>
      </w:pPr>
    </w:p>
    <w:p>
      <w:pPr>
        <w:ind w:left="340" w:hanging="332"/>
        <w:spacing w:after="0" w:line="267"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3,600 non-qualified stock options awarded under the Twin Disc, Incorporated 2004 Stock Incentive Plan for Non-Employee Directors. Also includes 69,180 shares of performance stock that may be issued as of June 30, 2020 under the Twin Disc, Incorporated 2010 Stock Incentive Plan, assuming the maximum performance level will be achieved. As of June 30, 2019, the Corporation believes that it is likely that the threshold performance goals will be achieved. Also includes 3,000 shares of performance stock that may be issued as of June 30, 2020 and 72,008 shares of performance stock that may be issued as of June 30, 2021 under the Twin Disc, Incorporated 2018 Long-Term Incentive Compensation Plan, assuming the maximum performance goals are achieved. As of June 30, 2019, the Corporation believes that it is likely that the threshold performance goals will be achieved. Also includes 37,950 restricted stock units issued under the Twin Disc, Incorporated 2018 Long-Term Incentive Compensation Plan, which will vest on August 1, 2021 if the recipients of the restricted stock units remain employed through that date.</w:t>
      </w:r>
    </w:p>
    <w:p>
      <w:pPr>
        <w:spacing w:after="0" w:line="3" w:lineRule="exact"/>
        <w:rPr>
          <w:rFonts w:ascii="Arial" w:cs="Arial" w:eastAsia="Arial" w:hAnsi="Arial"/>
          <w:sz w:val="17"/>
          <w:szCs w:val="17"/>
          <w:color w:val="auto"/>
        </w:rPr>
      </w:pPr>
    </w:p>
    <w:p>
      <w:pPr>
        <w:ind w:left="340" w:right="90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performance stock awards and restricted stock units do not have an exercise price, the weighted-average exercise price does not take performance stock awards or restricted stock units into account.</w:t>
      </w:r>
    </w:p>
    <w:p>
      <w:pPr>
        <w:ind w:left="340" w:right="160" w:hanging="332"/>
        <w:spacing w:after="0" w:line="25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717,321 shares of the Corporation’s common stock issuable under the Twin Disc, Incorporated 2018 Long-Term Incentive Compensation Plan and 61,354 shares issuable under the Twin Disc, Incorporated 2010 Stock Incentive Plan for Non-Employee Directors. Assumes that outstanding performance stock awards will be issued at maximum, which may not reflect the most probable outcome. As of June 30, 2019, the Corporation believes that it is likely that the threshold performance goals will be achieved.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If you do not contemplate attending in person, we respectfully request that you direct your vote via the Internet or by telephone, or (if you received paper copies of the proxy materials) by filling in, signing and returning the accompanying proxy at your earliest convenience. You may transmit your voting instructions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253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253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253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253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253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25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243205</wp:posOffset>
            </wp:positionV>
            <wp:extent cx="6860540" cy="8876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lvl w:ilvl="1">
      <w:lvlJc w:val="left"/>
      <w:lvlText w:val="%2)"/>
      <w:numFmt w:val="decimal"/>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lvl w:ilvl="1">
      <w:lvlJc w:val="left"/>
      <w:lvlText w:val="%2."/>
      <w:numFmt w:val="lowerRoman"/>
      <w:start w:val="2"/>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lowerRoman"/>
      <w:start w:val="3"/>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o"/>
      <w:numFmt w:val="bullet"/>
      <w:start w:val="1"/>
    </w:lvl>
  </w:abstractNum>
  <w:abstractNum w:abstractNumId="27">
    <w:nsid w:val="2901D82"/>
    <w:multiLevelType w:val="hybridMultilevel"/>
    <w:lvl w:ilvl="0">
      <w:lvlJc w:val="left"/>
      <w:lvlText w:val="o"/>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2019-12-04T23:34:37Z</dcterms:created>
  <dcterms:modified xsi:type="dcterms:W3CDTF">2019-12-04T23:34:37Z</dcterms:modified>
</cp:coreProperties>
</file>