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240" w:lineRule="exact"/>
        <w:rPr>
          <w:sz w:val="24"/>
          <w:szCs w:val="24"/>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4059" w:firstLine="8"/>
        <w:spacing w:after="0" w:line="216" w:lineRule="exact"/>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Section 240.14a-2.</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u w:val="single" w:color="auto"/>
          <w:color w:val="auto"/>
        </w:rPr>
        <w:t>Twin Disc, Incorporated</w:t>
      </w:r>
    </w:p>
    <w:p>
      <w:pPr>
        <w:spacing w:after="0" w:line="4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313055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150495</wp:posOffset>
            </wp:positionV>
            <wp:extent cx="1817370" cy="788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222 East Erie Street, Suite 400, Milwaukee, Wisconsin 53202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NOTICE OF ANNUAL MEETING OF SHAREHOLDERS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OCTOBER 30,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IS HEREBY GIVEN TO THE SHAREHOLDERS OF TWIN DISC, INCORPORATED</w:t>
      </w:r>
    </w:p>
    <w:p>
      <w:pPr>
        <w:spacing w:after="0" w:line="200" w:lineRule="exact"/>
        <w:rPr>
          <w:sz w:val="20"/>
          <w:szCs w:val="20"/>
          <w:color w:val="auto"/>
        </w:rPr>
      </w:pPr>
    </w:p>
    <w:p>
      <w:pPr>
        <w:spacing w:after="0" w:line="2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Annual Meeting of Shareholders (the “Annual Meeting”) of Twin Disc, Incorporated, a Wisconsin corporation (the “Corporation”), will be held at 2:00 P.M. (Central Time) on Thursday, October 30, 2025, at the offices of von Briesen &amp; Roper, s.c., 411 East Wisconsin Avenue, Suite 1000, Milwaukee, Wisconsin 53202 for the following purposes:</w:t>
      </w:r>
    </w:p>
    <w:p>
      <w:pPr>
        <w:spacing w:after="0" w:line="176" w:lineRule="exact"/>
        <w:rPr>
          <w:sz w:val="20"/>
          <w:szCs w:val="20"/>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Directors to serve until the Annual Meeting of Shareholders in 2028.</w:t>
      </w:r>
    </w:p>
    <w:p>
      <w:pPr>
        <w:spacing w:after="0" w:line="225" w:lineRule="exact"/>
        <w:rPr>
          <w:rFonts w:ascii="Times New Roman" w:cs="Times New Roman" w:eastAsia="Times New Roman" w:hAnsi="Times New Roman"/>
          <w:sz w:val="18"/>
          <w:szCs w:val="18"/>
          <w:color w:val="auto"/>
        </w:rPr>
      </w:pPr>
    </w:p>
    <w:p>
      <w:pPr>
        <w:ind w:left="820" w:right="4140" w:hanging="326"/>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 advisory vote to approve the compensation of the Corporation’s Named Executive Officers.</w:t>
      </w:r>
    </w:p>
    <w:p>
      <w:pPr>
        <w:spacing w:after="0" w:line="161"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RSM US LLP, an independent registered public accounting firm, as our independent auditors for the fiscal year ending June 30, 2026.</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that may properly come before the Annual Meeting.</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Only holders of record of shares of common stock of the Corporation at the close of business on August 22, 2025, shall be entitled to vote at the Annual Meeting.</w:t>
      </w:r>
    </w:p>
    <w:p>
      <w:pPr>
        <w:spacing w:after="0" w:line="162"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18"/>
          <w:szCs w:val="18"/>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S. Knutson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 to be Held on October 30, 2025</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Our proxy materials, including the Proxy Statement and 2025 Annual Report on Form 10-K, are available over the internet at </w:t>
      </w:r>
      <w:r>
        <w:rPr>
          <w:rFonts w:ascii="Times New Roman" w:cs="Times New Roman" w:eastAsia="Times New Roman" w:hAnsi="Times New Roman"/>
          <w:sz w:val="18"/>
          <w:szCs w:val="18"/>
          <w:b w:val="1"/>
          <w:bCs w:val="1"/>
          <w:u w:val="single" w:color="auto"/>
          <w:color w:val="auto"/>
        </w:rPr>
        <w:t>http://ir.twindisc.com/proxy</w:t>
      </w:r>
      <w:r>
        <w:rPr>
          <w:rFonts w:ascii="Times New Roman" w:cs="Times New Roman" w:eastAsia="Times New Roman" w:hAnsi="Times New Roman"/>
          <w:sz w:val="18"/>
          <w:szCs w:val="18"/>
          <w:color w:val="auto"/>
        </w:rPr>
        <w:t>, and most of our stockholders will receive only a notice (“Notice”) containing instructions on how to access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over the internet and vote online. If you receive this Notice but would still like to receive paper copies of the proxy materials, please follow the instructions on the Notice or on the website referred to on the Notice.</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YOUR VOTE IS IMPORTANT! WHETHER OR NOT YOU PLAN TO ATTEND THE ANNUAL MEETING OF SHAREHOLDERS IN PERSON, WE ASK YOU TO PLEASE TAKE ADVANTAGE OF ONE OF THE OPTIONS YOU HAVE FOR VOTING YOUR SHARES IN ADVANCE OF THE ANNUAL MEETING. MOST SHAREHOLDERS HAVE THREE OPTIONS FOR SUBMITTING THEIR VOTE: (1) VIA THE INTERNET; (2) BY TELEPHONE; OR (3) IF YOU RECEIVED PAPER COPIES OF THE PROXY MATERIALS, BY SIGNING AND RETURNING YOUR PROXY APPOINTMENT IN THE ENCLOSED ENVELOPE.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2025 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15,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MEETING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the Corporation of proxies for use at the Annual Meeting of Shareholders to be held at 2:00 P.M. (Central Time), at the offices of von Briesen &amp; Roper, s.c., 411 East Wisconsin Avenue, Suite 1000, Milwaukee, Wisconsin, 53202 on Thursday, October 30, 2025, or any adjournment thereof. Holders of common stock of record at the close of business on August 22, 2025 (the “Record Date”),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Corporation intends to commence distribution of this proxy statement and accompanying form of proxy to shareholders on or about September 15,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Shareholders may vote their shares by properly appointing a proxy, voting in advance of the Annual Meeting via the Internet or by phone, or attending and voting during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Registered Shareholders</w:t>
      </w:r>
    </w:p>
    <w:p>
      <w:pPr>
        <w:spacing w:after="0" w:line="22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Registered shareholders of the Corporation (shareholders who hold shares through the Corporation’s transfer agent, Computershare) may appoint a proxy by delivering, either in person, by mail or by messenger, the enclosed proxy appointment form. Appointment forms must be received by the Secretary of the Corporation not less than 48 hours prior to the date of the Annual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Registered shareholders may also vote via the Internet by accessing </w:t>
      </w:r>
      <w:r>
        <w:rPr>
          <w:rFonts w:ascii="Times New Roman" w:cs="Times New Roman" w:eastAsia="Times New Roman" w:hAnsi="Times New Roman"/>
          <w:sz w:val="18"/>
          <w:szCs w:val="18"/>
          <w:u w:val="single" w:color="auto"/>
          <w:color w:val="auto"/>
        </w:rPr>
        <w:t>www.investorvote.com/twin</w:t>
      </w:r>
      <w:r>
        <w:rPr>
          <w:rFonts w:ascii="Times New Roman" w:cs="Times New Roman" w:eastAsia="Times New Roman" w:hAnsi="Times New Roman"/>
          <w:sz w:val="18"/>
          <w:szCs w:val="18"/>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Registered shareholders may vote via the Internet or by telephone up to 11:59 PM Eastern Time on October 29, 2025. Shareholders that vote via the Internet should understand that there might be costs associated with electronic access that they must bear, such as usage charges from Internet access providers and telecommunications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Street Name Shareholders</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Street name shareholders (shareholders whose shares are registered in the name of a bank or brokerage firm) will receive instructions from the bank or broker that they must follow to have their shares voted. Street name shareholders may be eligible to vote their shares electronically via the Internet or by telephone. If the bank or brokerage firm is participating in the Broadridge Investor Communication Services’ program, the voting form will provide instructions about how to vote shares electronically.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HOW TO REVOKE YOUR PROXY</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attending the Annual Meeting and voting the shares, or by delivering a signed written statement revoking the proxy to the Secretary prior to the date of the Annual Meeting. ANY ATTEMPTED REVOCATIONS NOT MEETING THE ABOVE REQUIREMENTS WILL BE RULED INVALID.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AND QUORUM REQUIREMENTS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record date with respect to this solicitation is August 22, 2025. On that date, there were outstanding 14,390,226 shares of common stock of the Corporation entitled to vote at the Annual Meeting. There also are 200,000 shares of no-par preferred stock authorized, of which 150,000 shares have been designated Series A Junior Preferred Stock, but none are outstanding. The presence of a majority of the outstanding shares of common stock of the Corporation, either represented by a signed proxy appointment or electronic proxy vote or present in person, will constitute a quorum at the Annual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FOR 2026</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shareholder wishes to present a proposal for consideration for inclusion in the Notice of the Meeting and Proxy Statement for the 2026 Annual Meeting of Shareholders, the proposal must be received at the Corporation’s principal executive offices no later than May 18, 2026. Shareholder proposals received later than July 17, 2026 will be considered untimely, and will not be considered at the Corporation’s 2026 Annual Meeting. Any such proposal must comply with the requirements of Section (14)(a) of the Corporation’s Restated Bylaws.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shareholder wishes to nominate a person for election to the Board of Directors of the Corporation, such nomination shall be made pursuant to timely notice in writing to the Secretary of the Corporation. To be timely for the 2026 Annual Meeting, such notice must be delivered to or mailed and received at the principal executive offices of the Corporation no later than July 17, 2026. Any such notice must comply with the requirements of Section (14)(b) of the Corporation’s Restated Bylaws.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Corporation’s Restated Bylaws, to comply with the universal proxy rules for the 2026 Annual Meeting of Shareholders, shareholders who intend to solicit proxies in support of director nominees other than the Corporation’s nominees must provide notice that complies with Rule 14a-19 under the Exchange Act by August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MAKING THE SOLICITATION</w:t>
      </w:r>
    </w:p>
    <w:p>
      <w:pPr>
        <w:spacing w:after="0" w:line="22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VOTES REQUIRED FOR PROPOSALS AND HOW VOTES WILL BE COUNTED</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With respect to the advisory vote on the compensation of the Corporation’s Named Executive Officers (Proposal No. 2), votes may be cast “For” or “Against” or a shareholder may abstain from casting a vote. Votes “For” must exceed votes “Against” in order for the resolution on compensation of the Named Executive Officers to be considered approved by the shareholders. Abstentions and broker non-votes, as defined below, will not be counted as votes cast in connection with this proposal, and will have no effect on the outcome of the approval of this proposal. This vote is not binding on the Corporation. The Compensation and Human Capital Committee of the Board of Directors will take the results of the vote into consideration in addressing future compensation policies and practices.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With respect to the ratification of the appointment of independent auditors (Proposal No. 3), votes may be cast “For” or “Against” or a shareholder may abstain from casting a vote. Abstentions will not be counted as votes cast in connection with this proposal, and will have no effect on the outcome of the approval of this proposal.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Abstentions may be specified on all proposals submitted to shareholders, other than for the election of Directors. In accordance with Wisconsin law and the Corporation’s Restated Bylaws, abstentions will be counted for purposes of determining the presence or absence of a quorum for the transaction of business at the Annual Meeting, but will not be counted as votes cast with respect to any of the proposals.</w:t>
      </w:r>
    </w:p>
    <w:p>
      <w:pPr>
        <w:spacing w:after="0" w:line="17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Brokers and other nominees may vote on the ratification of the appointment of RSM US LLP as our independent auditors for the fiscal year ending June 30, 2026 (Proposal No. 3) without specific instructions from beneficial owners. Therefore, no broker non-votes are expected to exist in connection with this proposal. However, brokers or other nominees may not vote on the election of Directors (Proposal No. 1) or the advisory vote on Named Executive Officer compensation (Proposal No. 2), without specific instructions from the beneficial owners of the shares. Therefore, an undetermined number of broker non-votes may occur on Proposals No. 1 and 2.</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PRINCIPAL SHAREHOLDERS, DIRECTORS AND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Based upon the records of the Corporation, filings with the Securities and Exchange Commission as of August 15, 2025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7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3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980" w:type="dxa"/>
            <w:vAlign w:val="bottom"/>
          </w:tcPr>
          <w:p>
            <w:pPr>
              <w:jc w:val="right"/>
              <w:ind w:right="753"/>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8"/>
        </w:trPr>
        <w:tc>
          <w:tcPr>
            <w:tcW w:w="27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3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980" w:type="dxa"/>
            <w:vAlign w:val="bottom"/>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5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09"/>
        </w:trPr>
        <w:tc>
          <w:tcPr>
            <w:tcW w:w="27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Batten</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704 Waters Edge Rd.</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Power to vote</w:t>
            </w:r>
          </w:p>
        </w:tc>
        <w:tc>
          <w:tcPr>
            <w:tcW w:w="1980" w:type="dxa"/>
            <w:vAlign w:val="bottom"/>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6"/>
                <w:szCs w:val="16"/>
                <w:color w:val="auto"/>
              </w:rPr>
              <w:t>2,058,692</w:t>
            </w:r>
            <w:r>
              <w:rPr>
                <w:rFonts w:ascii="Times New Roman" w:cs="Times New Roman" w:eastAsia="Times New Roman" w:hAnsi="Times New Roman"/>
                <w:sz w:val="25"/>
                <w:szCs w:val="25"/>
                <w:color w:val="auto"/>
                <w:vertAlign w:val="superscript"/>
              </w:rPr>
              <w:t>(1)</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27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Racine, WI</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Beneficial</w:t>
            </w:r>
          </w:p>
        </w:tc>
        <w:tc>
          <w:tcPr>
            <w:tcW w:w="19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565,072</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2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GAMCO Investors, Inc.</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Corporate Center</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Power to vote &amp;</w:t>
            </w:r>
          </w:p>
        </w:tc>
        <w:tc>
          <w:tcPr>
            <w:tcW w:w="1980" w:type="dxa"/>
            <w:vAlign w:val="bottom"/>
            <w:shd w:val="clear" w:color="auto" w:fill="CCEEFF"/>
          </w:tcPr>
          <w:p>
            <w:pPr>
              <w:jc w:val="right"/>
              <w:ind w:right="153"/>
              <w:spacing w:after="0" w:line="216" w:lineRule="exact"/>
              <w:rPr>
                <w:sz w:val="20"/>
                <w:szCs w:val="20"/>
                <w:color w:val="auto"/>
              </w:rPr>
            </w:pPr>
            <w:r>
              <w:rPr>
                <w:rFonts w:ascii="Times New Roman" w:cs="Times New Roman" w:eastAsia="Times New Roman" w:hAnsi="Times New Roman"/>
                <w:sz w:val="16"/>
                <w:szCs w:val="16"/>
                <w:color w:val="auto"/>
              </w:rPr>
              <w:t>2,224,323</w:t>
            </w:r>
            <w:r>
              <w:rPr>
                <w:rFonts w:ascii="Times New Roman" w:cs="Times New Roman" w:eastAsia="Times New Roman" w:hAnsi="Times New Roman"/>
                <w:sz w:val="25"/>
                <w:szCs w:val="25"/>
                <w:color w:val="auto"/>
                <w:vertAlign w:val="superscript"/>
              </w:rPr>
              <w:t>(2)</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27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Rye, NY</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dispose of stock</w:t>
            </w:r>
          </w:p>
        </w:tc>
        <w:tc>
          <w:tcPr>
            <w:tcW w:w="1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Juniper Investment</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555 Madison Avenue</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Power to vote &amp;</w:t>
            </w:r>
          </w:p>
        </w:tc>
        <w:tc>
          <w:tcPr>
            <w:tcW w:w="198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1,024,954</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LLC</w:t>
            </w: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w:t>
            </w:r>
          </w:p>
        </w:tc>
        <w:tc>
          <w:tcPr>
            <w:tcW w:w="2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dispose of stock</w:t>
            </w:r>
          </w:p>
        </w:tc>
        <w:tc>
          <w:tcPr>
            <w:tcW w:w="1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as trustee under various trusts and as guardian for a non-immediate family member.</w:t>
      </w:r>
    </w:p>
    <w:p>
      <w:pPr>
        <w:spacing w:after="0" w:line="27" w:lineRule="exact"/>
        <w:rPr>
          <w:rFonts w:ascii="Times New Roman" w:cs="Times New Roman" w:eastAsia="Times New Roman" w:hAnsi="Times New Roman"/>
          <w:sz w:val="18"/>
          <w:szCs w:val="18"/>
          <w:color w:val="auto"/>
        </w:rPr>
      </w:pPr>
    </w:p>
    <w:p>
      <w:pPr>
        <w:ind w:left="620" w:hanging="329"/>
        <w:spacing w:after="0" w:line="260"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various entities which are directly or indirectly controlled by Mario J. Gabelli and for which he acts as chief investment officer.</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DIRECTORS AND EXECUTIVE OFFICERS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Based upon the records of the Corporation, filings with the Securities and Exchange Commission as of August 15, 2025 and additional information obtained by the Corporation, the following table sets forth the number of shares of common stock of the Corporation beneficially owned by each of the Directors of the Corporation, each of the executive officers named in the Summary Compensation Table and the number of shares beneficially owned by all Directors and executive officers of the Corporation as a group.</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Amount and Nature</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of Beneficial Ownership</w:t>
            </w:r>
          </w:p>
        </w:tc>
        <w:tc>
          <w:tcPr>
            <w:tcW w:w="15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1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920" w:type="dxa"/>
            <w:vAlign w:val="bottom"/>
            <w:tcBorders>
              <w:bottom w:val="single" w:sz="8" w:color="auto"/>
            </w:tcBorders>
            <w:vMerge w:val="continue"/>
          </w:tcPr>
          <w:p>
            <w:pPr>
              <w:spacing w:after="0"/>
              <w:rPr>
                <w:sz w:val="16"/>
                <w:szCs w:val="16"/>
                <w:color w:val="auto"/>
              </w:rPr>
            </w:pPr>
          </w:p>
        </w:tc>
        <w:tc>
          <w:tcPr>
            <w:tcW w:w="2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5"/>
                <w:szCs w:val="15"/>
                <w:b w:val="1"/>
                <w:bCs w:val="1"/>
                <w:color w:val="auto"/>
              </w:rPr>
              <w:t>(1)</w:t>
            </w:r>
          </w:p>
        </w:tc>
        <w:tc>
          <w:tcPr>
            <w:tcW w:w="15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Batten</w:t>
            </w:r>
          </w:p>
        </w:tc>
        <w:tc>
          <w:tcPr>
            <w:tcW w:w="2960" w:type="dxa"/>
            <w:vAlign w:val="bottom"/>
            <w:shd w:val="clear" w:color="auto" w:fill="CCEEFF"/>
          </w:tcPr>
          <w:p>
            <w:pPr>
              <w:jc w:val="right"/>
              <w:ind w:right="58"/>
              <w:spacing w:after="0" w:line="210" w:lineRule="exact"/>
              <w:rPr>
                <w:sz w:val="20"/>
                <w:szCs w:val="20"/>
                <w:color w:val="auto"/>
              </w:rPr>
            </w:pPr>
            <w:r>
              <w:rPr>
                <w:rFonts w:ascii="Times New Roman" w:cs="Times New Roman" w:eastAsia="Times New Roman" w:hAnsi="Times New Roman"/>
                <w:sz w:val="15"/>
                <w:szCs w:val="15"/>
                <w:color w:val="auto"/>
              </w:rPr>
              <w:t>2,623,764</w:t>
            </w:r>
            <w:r>
              <w:rPr>
                <w:rFonts w:ascii="Times New Roman" w:cs="Times New Roman" w:eastAsia="Times New Roman" w:hAnsi="Times New Roman"/>
                <w:sz w:val="24"/>
                <w:szCs w:val="24"/>
                <w:color w:val="auto"/>
                <w:vertAlign w:val="superscript"/>
              </w:rPr>
              <w:t>(2)</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Jeffrey S. Knutson</w:t>
            </w:r>
          </w:p>
        </w:tc>
        <w:tc>
          <w:tcPr>
            <w:tcW w:w="2960" w:type="dxa"/>
            <w:vAlign w:val="bottom"/>
          </w:tcPr>
          <w:p>
            <w:pPr>
              <w:jc w:val="right"/>
              <w:ind w:right="58"/>
              <w:spacing w:after="0" w:line="216" w:lineRule="exact"/>
              <w:rPr>
                <w:sz w:val="20"/>
                <w:szCs w:val="20"/>
                <w:color w:val="auto"/>
              </w:rPr>
            </w:pPr>
            <w:r>
              <w:rPr>
                <w:rFonts w:ascii="Times New Roman" w:cs="Times New Roman" w:eastAsia="Times New Roman" w:hAnsi="Times New Roman"/>
                <w:sz w:val="16"/>
                <w:szCs w:val="16"/>
                <w:color w:val="auto"/>
              </w:rPr>
              <w:t>192,563</w:t>
            </w:r>
            <w:r>
              <w:rPr>
                <w:rFonts w:ascii="Times New Roman" w:cs="Times New Roman" w:eastAsia="Times New Roman" w:hAnsi="Times New Roman"/>
                <w:sz w:val="25"/>
                <w:szCs w:val="25"/>
                <w:color w:val="auto"/>
                <w:vertAlign w:val="superscript"/>
              </w:rPr>
              <w:t>(3)</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Doar</w:t>
            </w:r>
          </w:p>
        </w:tc>
        <w:tc>
          <w:tcPr>
            <w:tcW w:w="2960" w:type="dxa"/>
            <w:vAlign w:val="bottom"/>
            <w:shd w:val="clear" w:color="auto" w:fill="CCEEFF"/>
          </w:tcPr>
          <w:p>
            <w:pPr>
              <w:jc w:val="right"/>
              <w:ind w:right="58"/>
              <w:spacing w:after="0" w:line="216" w:lineRule="exact"/>
              <w:rPr>
                <w:sz w:val="20"/>
                <w:szCs w:val="20"/>
                <w:color w:val="auto"/>
              </w:rPr>
            </w:pPr>
            <w:r>
              <w:rPr>
                <w:rFonts w:ascii="Times New Roman" w:cs="Times New Roman" w:eastAsia="Times New Roman" w:hAnsi="Times New Roman"/>
                <w:sz w:val="16"/>
                <w:szCs w:val="16"/>
                <w:color w:val="auto"/>
              </w:rPr>
              <w:t>122,131</w:t>
            </w:r>
            <w:r>
              <w:rPr>
                <w:rFonts w:ascii="Times New Roman" w:cs="Times New Roman" w:eastAsia="Times New Roman" w:hAnsi="Times New Roman"/>
                <w:sz w:val="25"/>
                <w:szCs w:val="25"/>
                <w:color w:val="auto"/>
                <w:vertAlign w:val="superscript"/>
              </w:rPr>
              <w:t>(4)</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Janet P. Giesselman</w:t>
            </w:r>
          </w:p>
        </w:tc>
        <w:tc>
          <w:tcPr>
            <w:tcW w:w="2960" w:type="dxa"/>
            <w:vAlign w:val="bottom"/>
          </w:tcPr>
          <w:p>
            <w:pPr>
              <w:jc w:val="right"/>
              <w:ind w:right="58"/>
              <w:spacing w:after="0" w:line="216" w:lineRule="exact"/>
              <w:rPr>
                <w:sz w:val="20"/>
                <w:szCs w:val="20"/>
                <w:color w:val="auto"/>
              </w:rPr>
            </w:pPr>
            <w:r>
              <w:rPr>
                <w:rFonts w:ascii="Times New Roman" w:cs="Times New Roman" w:eastAsia="Times New Roman" w:hAnsi="Times New Roman"/>
                <w:sz w:val="16"/>
                <w:szCs w:val="16"/>
                <w:color w:val="auto"/>
              </w:rPr>
              <w:t>57,233</w:t>
            </w:r>
            <w:r>
              <w:rPr>
                <w:rFonts w:ascii="Times New Roman" w:cs="Times New Roman" w:eastAsia="Times New Roman" w:hAnsi="Times New Roman"/>
                <w:sz w:val="25"/>
                <w:szCs w:val="25"/>
                <w:color w:val="auto"/>
                <w:vertAlign w:val="superscript"/>
              </w:rPr>
              <w:t>(4)</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 Johnson</w:t>
            </w:r>
          </w:p>
        </w:tc>
        <w:tc>
          <w:tcPr>
            <w:tcW w:w="2960" w:type="dxa"/>
            <w:vAlign w:val="bottom"/>
            <w:shd w:val="clear" w:color="auto" w:fill="CCEEFF"/>
          </w:tcPr>
          <w:p>
            <w:pPr>
              <w:jc w:val="right"/>
              <w:ind w:right="58"/>
              <w:spacing w:after="0" w:line="216" w:lineRule="exact"/>
              <w:rPr>
                <w:sz w:val="20"/>
                <w:szCs w:val="20"/>
                <w:color w:val="auto"/>
              </w:rPr>
            </w:pPr>
            <w:r>
              <w:rPr>
                <w:rFonts w:ascii="Times New Roman" w:cs="Times New Roman" w:eastAsia="Times New Roman" w:hAnsi="Times New Roman"/>
                <w:sz w:val="16"/>
                <w:szCs w:val="16"/>
                <w:color w:val="auto"/>
              </w:rPr>
              <w:t>68,980</w:t>
            </w:r>
            <w:r>
              <w:rPr>
                <w:rFonts w:ascii="Times New Roman" w:cs="Times New Roman" w:eastAsia="Times New Roman" w:hAnsi="Times New Roman"/>
                <w:sz w:val="25"/>
                <w:szCs w:val="25"/>
                <w:color w:val="auto"/>
                <w:vertAlign w:val="superscript"/>
              </w:rPr>
              <w:t>(4)</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Michael C. Smiley</w:t>
            </w:r>
          </w:p>
        </w:tc>
        <w:tc>
          <w:tcPr>
            <w:tcW w:w="2960" w:type="dxa"/>
            <w:vAlign w:val="bottom"/>
          </w:tcPr>
          <w:p>
            <w:pPr>
              <w:jc w:val="right"/>
              <w:ind w:right="58"/>
              <w:spacing w:after="0" w:line="216" w:lineRule="exact"/>
              <w:rPr>
                <w:sz w:val="20"/>
                <w:szCs w:val="20"/>
                <w:color w:val="auto"/>
              </w:rPr>
            </w:pPr>
            <w:r>
              <w:rPr>
                <w:rFonts w:ascii="Times New Roman" w:cs="Times New Roman" w:eastAsia="Times New Roman" w:hAnsi="Times New Roman"/>
                <w:sz w:val="16"/>
                <w:szCs w:val="16"/>
                <w:color w:val="auto"/>
              </w:rPr>
              <w:t>69,368</w:t>
            </w:r>
            <w:r>
              <w:rPr>
                <w:rFonts w:ascii="Times New Roman" w:cs="Times New Roman" w:eastAsia="Times New Roman" w:hAnsi="Times New Roman"/>
                <w:sz w:val="25"/>
                <w:szCs w:val="25"/>
                <w:color w:val="auto"/>
                <w:vertAlign w:val="superscript"/>
              </w:rPr>
              <w:t>(4)</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Juliann Larimer</w:t>
            </w:r>
          </w:p>
        </w:tc>
        <w:tc>
          <w:tcPr>
            <w:tcW w:w="2960" w:type="dxa"/>
            <w:vAlign w:val="bottom"/>
            <w:shd w:val="clear" w:color="auto" w:fill="CCEEFF"/>
          </w:tcPr>
          <w:p>
            <w:pPr>
              <w:jc w:val="right"/>
              <w:ind w:right="58"/>
              <w:spacing w:after="0" w:line="216" w:lineRule="exact"/>
              <w:rPr>
                <w:sz w:val="20"/>
                <w:szCs w:val="20"/>
                <w:color w:val="auto"/>
              </w:rPr>
            </w:pPr>
            <w:r>
              <w:rPr>
                <w:rFonts w:ascii="Times New Roman" w:cs="Times New Roman" w:eastAsia="Times New Roman" w:hAnsi="Times New Roman"/>
                <w:sz w:val="16"/>
                <w:szCs w:val="16"/>
                <w:color w:val="auto"/>
              </w:rPr>
              <w:t>25,229</w:t>
            </w:r>
            <w:r>
              <w:rPr>
                <w:rFonts w:ascii="Times New Roman" w:cs="Times New Roman" w:eastAsia="Times New Roman" w:hAnsi="Times New Roman"/>
                <w:sz w:val="25"/>
                <w:szCs w:val="25"/>
                <w:color w:val="auto"/>
                <w:vertAlign w:val="superscript"/>
              </w:rPr>
              <w:t>(4)</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Kevin M. Olsen</w:t>
            </w:r>
          </w:p>
        </w:tc>
        <w:tc>
          <w:tcPr>
            <w:tcW w:w="2960" w:type="dxa"/>
            <w:vAlign w:val="bottom"/>
          </w:tcPr>
          <w:p>
            <w:pPr>
              <w:jc w:val="right"/>
              <w:ind w:right="58"/>
              <w:spacing w:after="0" w:line="216" w:lineRule="exact"/>
              <w:rPr>
                <w:sz w:val="20"/>
                <w:szCs w:val="20"/>
                <w:color w:val="auto"/>
              </w:rPr>
            </w:pPr>
            <w:r>
              <w:rPr>
                <w:rFonts w:ascii="Times New Roman" w:cs="Times New Roman" w:eastAsia="Times New Roman" w:hAnsi="Times New Roman"/>
                <w:sz w:val="16"/>
                <w:szCs w:val="16"/>
                <w:color w:val="auto"/>
              </w:rPr>
              <w:t>20,688</w:t>
            </w:r>
            <w:r>
              <w:rPr>
                <w:rFonts w:ascii="Times New Roman" w:cs="Times New Roman" w:eastAsia="Times New Roman" w:hAnsi="Times New Roman"/>
                <w:sz w:val="25"/>
                <w:szCs w:val="25"/>
                <w:color w:val="auto"/>
                <w:vertAlign w:val="superscript"/>
              </w:rPr>
              <w:t>(4)</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(8 persons)</w:t>
            </w:r>
          </w:p>
        </w:tc>
        <w:tc>
          <w:tcPr>
            <w:tcW w:w="29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3,179,956</w:t>
            </w:r>
            <w:r>
              <w:rPr>
                <w:rFonts w:ascii="Times New Roman" w:cs="Times New Roman" w:eastAsia="Times New Roman" w:hAnsi="Times New Roman"/>
                <w:sz w:val="29"/>
                <w:szCs w:val="29"/>
                <w:color w:val="auto"/>
                <w:vertAlign w:val="superscript"/>
              </w:rPr>
              <w:t>(4)</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800" w:hanging="144"/>
        <w:spacing w:after="0"/>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ownership of less than one percent of shares outstanding.</w:t>
      </w:r>
    </w:p>
    <w:p>
      <w:pPr>
        <w:spacing w:after="0" w:line="225" w:lineRule="exact"/>
        <w:rPr>
          <w:rFonts w:ascii="Times New Roman" w:cs="Times New Roman" w:eastAsia="Times New Roman" w:hAnsi="Times New Roman"/>
          <w:sz w:val="18"/>
          <w:szCs w:val="18"/>
          <w:color w:val="auto"/>
        </w:rPr>
      </w:pPr>
    </w:p>
    <w:p>
      <w:pPr>
        <w:ind w:left="620" w:right="40" w:hanging="329"/>
        <w:spacing w:after="0" w:line="261"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620" w:right="520" w:hanging="329"/>
        <w:spacing w:after="0" w:line="250"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2,058,692 shares held by Mr. Batten as trustee under various family trusts and as guardian for non-immediate family member. Also includes restricted stock grants of 32,933 shares that vest in fiscal 2027 and 44,321 shares that vest in fiscal 2029.</w:t>
      </w: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grants of 16,170 shares that vest in fiscal 2027 and 21,762 shares that vest in fiscal 2029.</w:t>
      </w:r>
    </w:p>
    <w:p>
      <w:pPr>
        <w:spacing w:after="0" w:line="9" w:lineRule="exact"/>
        <w:rPr>
          <w:rFonts w:ascii="Times New Roman" w:cs="Times New Roman" w:eastAsia="Times New Roman" w:hAnsi="Times New Roman"/>
          <w:sz w:val="18"/>
          <w:szCs w:val="18"/>
          <w:color w:val="auto"/>
        </w:rPr>
      </w:pPr>
    </w:p>
    <w:p>
      <w:pPr>
        <w:ind w:left="620" w:right="420" w:hanging="329"/>
        <w:spacing w:after="0" w:line="260"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above are unvested restricted shares as follows: Mr. Doar 13,701, Ms. Giesselman 6,747, Mr. Johnson 8,485, Mr. Smiley 6,747, Ms. Larimer 6,747 and Mr. Olsen 6,747.</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PROPOSAL 1: ELECTION OF DIRECTORS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Board of Directors has nominated the following persons to serve as Directors for the Corporation, each for a term to expire at the Annual Meeting of Shareholders following the fiscal year ending June 30, 2028, as indicated below. Shares of common stock represented by properly executed proxy appointments will be voted for the two nominees listed unless authority to do so is withheld.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3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and</w:t>
            </w:r>
          </w:p>
        </w:tc>
        <w:tc>
          <w:tcPr>
            <w:tcW w:w="3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2940" w:type="dxa"/>
            <w:vAlign w:val="bottom"/>
          </w:tcPr>
          <w:p>
            <w:pPr>
              <w:spacing w:after="0"/>
              <w:rPr>
                <w:sz w:val="18"/>
                <w:szCs w:val="18"/>
                <w:color w:val="auto"/>
              </w:rPr>
            </w:pP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Served as Director</w:t>
            </w: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Age</w:t>
            </w:r>
          </w:p>
        </w:tc>
        <w:tc>
          <w:tcPr>
            <w:tcW w:w="3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Continuously Since</w:t>
            </w:r>
          </w:p>
        </w:tc>
        <w:tc>
          <w:tcPr>
            <w:tcW w:w="0" w:type="dxa"/>
            <w:vAlign w:val="bottom"/>
          </w:tcPr>
          <w:p>
            <w:pPr>
              <w:spacing w:after="0"/>
              <w:rPr>
                <w:sz w:val="1"/>
                <w:szCs w:val="1"/>
                <w:color w:val="auto"/>
              </w:rPr>
            </w:pPr>
          </w:p>
        </w:tc>
      </w:tr>
      <w:tr>
        <w:trPr>
          <w:trHeight w:val="209"/>
        </w:trPr>
        <w:tc>
          <w:tcPr>
            <w:tcW w:w="25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TERMS EXPIRE IN 2025:</w:t>
            </w:r>
          </w:p>
        </w:tc>
        <w:tc>
          <w:tcPr>
            <w:tcW w:w="306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John H. Batten</w:t>
            </w:r>
          </w:p>
        </w:tc>
        <w:tc>
          <w:tcPr>
            <w:tcW w:w="306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Chief Executive Officer, Twin</w:t>
            </w:r>
          </w:p>
        </w:tc>
        <w:tc>
          <w:tcPr>
            <w:tcW w:w="294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Mr. Batten is a sitting CEO of a</w:t>
            </w:r>
          </w:p>
        </w:tc>
        <w:tc>
          <w:tcPr>
            <w:tcW w:w="27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Age 60</w:t>
            </w: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Disc, Incorporated since May</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public company. His skill sets</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2019; formerly President and</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include strategic and operational</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CEO since July 2013; formerly</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planning, financial oversight, and</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President and Chief Operating</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organizational development as</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Officer since July 2008, and</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well as extensive domestic and</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Executive Vice President since</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international experience in</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October 2004.</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engineered products and a</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complex manufacturing</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environment.</w:t>
            </w:r>
          </w:p>
        </w:tc>
        <w:tc>
          <w:tcPr>
            <w:tcW w:w="2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Juliann Larimer</w:t>
            </w:r>
          </w:p>
        </w:tc>
        <w:tc>
          <w:tcPr>
            <w:tcW w:w="306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Former chair of the Board,</w:t>
            </w:r>
          </w:p>
        </w:tc>
        <w:tc>
          <w:tcPr>
            <w:tcW w:w="294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Ms. Larimer is former Board</w:t>
            </w:r>
          </w:p>
        </w:tc>
        <w:tc>
          <w:tcPr>
            <w:tcW w:w="27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February 2022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Age 59</w:t>
            </w: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President and Chief Executive</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Chair and CEO of a technology</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Officer, Peak Technologies,</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company and former Vice</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Linthicum Heights, Maryland (A</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President of Sales for multiple</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provider of end-to-end mobility</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global public companies, (Zebra</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and digital supply chain solutions</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Technologies and Motorola</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 performance-driven</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Solutions). She is skilled in</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organizations).</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strategic planning, global sales</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strategy and management of</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diverse teams.</w:t>
            </w:r>
          </w:p>
        </w:tc>
        <w:tc>
          <w:tcPr>
            <w:tcW w:w="2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Kevin M. Olsen</w:t>
            </w:r>
          </w:p>
        </w:tc>
        <w:tc>
          <w:tcPr>
            <w:tcW w:w="306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President and Chief Executive</w:t>
            </w:r>
          </w:p>
        </w:tc>
        <w:tc>
          <w:tcPr>
            <w:tcW w:w="294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Mr. Olsen is a sitting CEO of a</w:t>
            </w:r>
          </w:p>
        </w:tc>
        <w:tc>
          <w:tcPr>
            <w:tcW w:w="27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August 2022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Age 54</w:t>
            </w: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Officer, Dorman Products,</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public company, and former CFO.</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Colmar Pennsylvania (A supplier</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His skills include executive</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 replacement parts for the</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leadership, financial management</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18"/>
                <w:szCs w:val="18"/>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global automotive aftermarket</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and strategic planning.</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spacing w:after="0"/>
              <w:rPr>
                <w:sz w:val="20"/>
                <w:szCs w:val="20"/>
                <w:color w:val="auto"/>
              </w:rPr>
            </w:pPr>
          </w:p>
        </w:tc>
        <w:tc>
          <w:tcPr>
            <w:tcW w:w="3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industry).</w:t>
            </w:r>
          </w:p>
        </w:tc>
        <w:tc>
          <w:tcPr>
            <w:tcW w:w="294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IN FAVOR OF ELECTING THE NOMINEES LISTED ABOVE AS DIRECTORS. UNLESS YOU INDICATE OTHERWISE ON YOUR PROXY, YOUR SHARES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EACH OF THESE NOMINEES AS DIRECTORS.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The Directors whose terms are continuing, and the classes to which they have been elected, are set forth below. Each Director whose term is continuing was elected to his or her present term of office by a vote of shareholders at a meeting for which proxies were solicited.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3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Principal Occupation and Other</w:t>
            </w: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and</w:t>
            </w:r>
          </w:p>
        </w:tc>
        <w:tc>
          <w:tcPr>
            <w:tcW w:w="3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Public Company Directorships</w:t>
            </w:r>
          </w:p>
        </w:tc>
        <w:tc>
          <w:tcPr>
            <w:tcW w:w="2940" w:type="dxa"/>
            <w:vAlign w:val="bottom"/>
          </w:tcPr>
          <w:p>
            <w:pPr>
              <w:spacing w:after="0"/>
              <w:rPr>
                <w:sz w:val="18"/>
                <w:szCs w:val="18"/>
                <w:color w:val="auto"/>
              </w:rPr>
            </w:pP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Served as Director</w:t>
            </w:r>
          </w:p>
        </w:tc>
        <w:tc>
          <w:tcPr>
            <w:tcW w:w="0" w:type="dxa"/>
            <w:vAlign w:val="bottom"/>
          </w:tcPr>
          <w:p>
            <w:pPr>
              <w:spacing w:after="0"/>
              <w:rPr>
                <w:sz w:val="1"/>
                <w:szCs w:val="1"/>
                <w:color w:val="auto"/>
              </w:rPr>
            </w:pPr>
          </w:p>
        </w:tc>
      </w:tr>
      <w:tr>
        <w:trPr>
          <w:trHeight w:val="23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Age</w:t>
            </w:r>
          </w:p>
        </w:tc>
        <w:tc>
          <w:tcPr>
            <w:tcW w:w="3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Held Within Past Five Years</w:t>
            </w:r>
          </w:p>
        </w:tc>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Skills and Qualifications</w:t>
            </w:r>
          </w:p>
        </w:tc>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Continuously Since</w:t>
            </w:r>
          </w:p>
        </w:tc>
        <w:tc>
          <w:tcPr>
            <w:tcW w:w="0" w:type="dxa"/>
            <w:vAlign w:val="bottom"/>
          </w:tcPr>
          <w:p>
            <w:pPr>
              <w:spacing w:after="0"/>
              <w:rPr>
                <w:sz w:val="1"/>
                <w:szCs w:val="1"/>
                <w:color w:val="auto"/>
              </w:rPr>
            </w:pPr>
          </w:p>
        </w:tc>
      </w:tr>
      <w:tr>
        <w:trPr>
          <w:trHeight w:val="209"/>
        </w:trPr>
        <w:tc>
          <w:tcPr>
            <w:tcW w:w="224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DIRECTORS WHOSE TERMS EXPIRE IN 2026:</w:t>
            </w:r>
          </w:p>
        </w:tc>
        <w:tc>
          <w:tcPr>
            <w:tcW w:w="29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Michael Doar</w:t>
            </w:r>
          </w:p>
        </w:tc>
        <w:tc>
          <w:tcPr>
            <w:tcW w:w="336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Executive Chairman and former</w:t>
            </w:r>
          </w:p>
        </w:tc>
        <w:tc>
          <w:tcPr>
            <w:tcW w:w="294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Mr. Doar is Executive Chairman</w:t>
            </w:r>
          </w:p>
        </w:tc>
        <w:tc>
          <w:tcPr>
            <w:tcW w:w="27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October 2008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 70</w:t>
            </w: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Chairman and Chief Executive</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and former CEO of a public</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Officer, Hurco Companies, Inc.,</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company. His experience includes</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Indianapolis, Indiana (A global</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strategic planning, financial</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manufacturer of machine tools)</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oversight, compensation and</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organizational competencies.</w:t>
            </w:r>
          </w:p>
        </w:tc>
        <w:tc>
          <w:tcPr>
            <w:tcW w:w="2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Michael C. Smiley</w:t>
            </w:r>
          </w:p>
        </w:tc>
        <w:tc>
          <w:tcPr>
            <w:tcW w:w="336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Former Chief Financial Officer,</w:t>
            </w:r>
          </w:p>
        </w:tc>
        <w:tc>
          <w:tcPr>
            <w:tcW w:w="294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Mr. Smiley is a former CFO of a</w:t>
            </w:r>
          </w:p>
        </w:tc>
        <w:tc>
          <w:tcPr>
            <w:tcW w:w="27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August 2019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 66</w:t>
            </w: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Zebra Technologies Corp.,</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public company. His</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Lincolnshire, Illinois (A global</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competencies include strategic</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provider of enterprise asset</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planning, financial oversight,</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intelligence solutions to identify,</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mergers and acquisitions,</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track and manage the deployment</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extensive domestic and</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of critical assets for improved</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international experience in</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business efficiency). Mr. Smiley</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complex manufacturing and</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was previously a Director of the</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engineered and technology</w:t>
            </w:r>
          </w:p>
        </w:tc>
        <w:tc>
          <w:tcPr>
            <w:tcW w:w="2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spacing w:after="0"/>
              <w:rPr>
                <w:sz w:val="20"/>
                <w:szCs w:val="20"/>
                <w:color w:val="auto"/>
              </w:rPr>
            </w:pPr>
          </w:p>
        </w:tc>
        <w:tc>
          <w:tcPr>
            <w:tcW w:w="3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Corporation from 2010-2018.</w:t>
            </w:r>
          </w:p>
        </w:tc>
        <w:tc>
          <w:tcPr>
            <w:tcW w:w="2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products.</w:t>
            </w:r>
          </w:p>
        </w:tc>
        <w:tc>
          <w:tcPr>
            <w:tcW w:w="2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CONTINUING DIRECTORS WHOSE TERMS EXPIRE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p>
      <w:pPr>
        <w:spacing w:after="0" w:line="225" w:lineRule="exact"/>
        <w:rPr>
          <w:sz w:val="20"/>
          <w:szCs w:val="20"/>
          <w:color w:val="auto"/>
        </w:rPr>
      </w:pPr>
    </w:p>
    <w:p>
      <w:pPr>
        <w:ind w:left="180"/>
        <w:spacing w:after="0"/>
        <w:tabs>
          <w:tab w:leader="none" w:pos="2920" w:val="left"/>
        </w:tabs>
        <w:rPr>
          <w:sz w:val="20"/>
          <w:szCs w:val="20"/>
          <w:color w:val="auto"/>
        </w:rPr>
      </w:pPr>
      <w:r>
        <w:rPr>
          <w:rFonts w:ascii="Times New Roman" w:cs="Times New Roman" w:eastAsia="Times New Roman" w:hAnsi="Times New Roman"/>
          <w:sz w:val="18"/>
          <w:szCs w:val="18"/>
          <w:color w:val="auto"/>
        </w:rPr>
        <w:t>Janet P. Giesselman</w:t>
      </w:r>
      <w:r>
        <w:rPr>
          <w:sz w:val="20"/>
          <w:szCs w:val="20"/>
          <w:color w:val="auto"/>
        </w:rPr>
        <w:tab/>
      </w:r>
      <w:r>
        <w:rPr>
          <w:rFonts w:ascii="Times New Roman" w:cs="Times New Roman" w:eastAsia="Times New Roman" w:hAnsi="Times New Roman"/>
          <w:sz w:val="18"/>
          <w:szCs w:val="18"/>
          <w:color w:val="auto"/>
        </w:rPr>
        <w:t>Retired President of Dow Oil &amp;</w:t>
      </w:r>
    </w:p>
    <w:p>
      <w:pPr>
        <w:spacing w:after="0" w:line="27" w:lineRule="exact"/>
        <w:rPr>
          <w:sz w:val="20"/>
          <w:szCs w:val="20"/>
          <w:color w:val="auto"/>
        </w:rPr>
      </w:pPr>
    </w:p>
    <w:p>
      <w:pPr>
        <w:ind w:left="340"/>
        <w:spacing w:after="0"/>
        <w:tabs>
          <w:tab w:leader="none" w:pos="2920" w:val="left"/>
        </w:tabs>
        <w:rPr>
          <w:sz w:val="20"/>
          <w:szCs w:val="20"/>
          <w:color w:val="auto"/>
        </w:rPr>
      </w:pPr>
      <w:r>
        <w:rPr>
          <w:rFonts w:ascii="Times New Roman" w:cs="Times New Roman" w:eastAsia="Times New Roman" w:hAnsi="Times New Roman"/>
          <w:sz w:val="18"/>
          <w:szCs w:val="18"/>
          <w:color w:val="auto"/>
        </w:rPr>
        <w:t>Age 71</w:t>
      </w:r>
      <w:r>
        <w:rPr>
          <w:sz w:val="20"/>
          <w:szCs w:val="20"/>
          <w:color w:val="auto"/>
        </w:rPr>
        <w:tab/>
      </w:r>
      <w:r>
        <w:rPr>
          <w:rFonts w:ascii="Times New Roman" w:cs="Times New Roman" w:eastAsia="Times New Roman" w:hAnsi="Times New Roman"/>
          <w:sz w:val="17"/>
          <w:szCs w:val="17"/>
          <w:color w:val="auto"/>
        </w:rPr>
        <w:t>Gas, a business unit of The Dow</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Chemical Company, Midland,</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Michigan. Also Director, Ag</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Growth International (A global</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provider of grain handling and</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storage equipment), Director,</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Corteva Agriscience (The only</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major agriscience company</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dedicated to agriculture), Former</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Director, Avicanna, Inc. (A</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biopharmaceutical company),</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Former Director, GCP (A</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construction company) and</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Former Director, Omnova</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Solutions (A global provider of</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emulsion polymers and specialty</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chemicals).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4620" w:val="left"/>
        </w:tabs>
        <w:rPr>
          <w:sz w:val="20"/>
          <w:szCs w:val="20"/>
          <w:color w:val="auto"/>
        </w:rPr>
      </w:pPr>
      <w:r>
        <w:rPr>
          <w:rFonts w:ascii="Times New Roman" w:cs="Times New Roman" w:eastAsia="Times New Roman" w:hAnsi="Times New Roman"/>
          <w:sz w:val="18"/>
          <w:szCs w:val="18"/>
          <w:color w:val="auto"/>
        </w:rPr>
        <w:t>Ms. Giesselman is a retired senior</w:t>
      </w:r>
      <w:r>
        <w:rPr>
          <w:sz w:val="20"/>
          <w:szCs w:val="20"/>
          <w:color w:val="auto"/>
        </w:rPr>
        <w:tab/>
      </w:r>
      <w:r>
        <w:rPr>
          <w:rFonts w:ascii="Times New Roman" w:cs="Times New Roman" w:eastAsia="Times New Roman" w:hAnsi="Times New Roman"/>
          <w:sz w:val="18"/>
          <w:szCs w:val="18"/>
          <w:color w:val="auto"/>
        </w:rPr>
        <w:t>June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-119380</wp:posOffset>
            </wp:positionV>
            <wp:extent cx="7132320" cy="2468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 a global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 background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strategic planning,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oversight,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start-ups, mergers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global regulatory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expertise. Ms. Giesselman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extensive international experience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broad background in the oil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gas and the agricultural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sectors.</w:t>
      </w:r>
    </w:p>
    <w:p>
      <w:pPr>
        <w:spacing w:after="0" w:line="1495" w:lineRule="exact"/>
        <w:rPr>
          <w:sz w:val="20"/>
          <w:szCs w:val="20"/>
          <w:color w:val="auto"/>
        </w:rPr>
      </w:pPr>
    </w:p>
    <w:p>
      <w:pPr>
        <w:sectPr>
          <w:pgSz w:w="11900" w:h="16838" w:orient="portrait"/>
          <w:cols w:equalWidth="0" w:num="2">
            <w:col w:w="5320" w:space="540"/>
            <w:col w:w="5380"/>
          </w:cols>
          <w:pgMar w:left="320" w:top="120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David W. Johnson</w:t>
            </w:r>
          </w:p>
        </w:tc>
        <w:tc>
          <w:tcPr>
            <w:tcW w:w="3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Vice President and Chief</w:t>
            </w:r>
          </w:p>
        </w:tc>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Mr. Johnson is a sitting CFO of a</w:t>
            </w:r>
          </w:p>
        </w:tc>
        <w:tc>
          <w:tcPr>
            <w:tcW w:w="18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96"/>
              </w:rPr>
              <w:t>July 2016</w:t>
            </w:r>
          </w:p>
        </w:tc>
      </w:tr>
      <w:tr>
        <w:trPr>
          <w:trHeight w:val="216"/>
        </w:trPr>
        <w:tc>
          <w:tcPr>
            <w:tcW w:w="2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 62</w:t>
            </w:r>
          </w:p>
        </w:tc>
        <w:tc>
          <w:tcPr>
            <w:tcW w:w="3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Financial Officer, Johnson</w:t>
            </w:r>
          </w:p>
        </w:tc>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public company. His strengths</w:t>
            </w:r>
          </w:p>
        </w:tc>
        <w:tc>
          <w:tcPr>
            <w:tcW w:w="1860" w:type="dxa"/>
            <w:vAlign w:val="bottom"/>
            <w:shd w:val="clear" w:color="auto" w:fill="CCEEFF"/>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3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Outdoors, Inc., Racine, Wisconsin</w:t>
            </w:r>
          </w:p>
        </w:tc>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include financial leadership, new</w:t>
            </w:r>
          </w:p>
        </w:tc>
        <w:tc>
          <w:tcPr>
            <w:tcW w:w="1860" w:type="dxa"/>
            <w:vAlign w:val="bottom"/>
            <w:shd w:val="clear" w:color="auto" w:fill="CCEEFF"/>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3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 global provider of outdoor</w:t>
            </w:r>
          </w:p>
        </w:tc>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business development,</w:t>
            </w:r>
          </w:p>
        </w:tc>
        <w:tc>
          <w:tcPr>
            <w:tcW w:w="1860" w:type="dxa"/>
            <w:vAlign w:val="bottom"/>
            <w:shd w:val="clear" w:color="auto" w:fill="CCEEFF"/>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3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recreation products).</w:t>
            </w:r>
          </w:p>
        </w:tc>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operational restructuring, cost</w:t>
            </w:r>
          </w:p>
        </w:tc>
        <w:tc>
          <w:tcPr>
            <w:tcW w:w="1860" w:type="dxa"/>
            <w:vAlign w:val="bottom"/>
            <w:shd w:val="clear" w:color="auto" w:fill="CCEEFF"/>
          </w:tcPr>
          <w:p>
            <w:pPr>
              <w:spacing w:after="0"/>
              <w:rPr>
                <w:sz w:val="18"/>
                <w:szCs w:val="18"/>
                <w:color w:val="auto"/>
              </w:rPr>
            </w:pPr>
          </w:p>
        </w:tc>
      </w:tr>
      <w:tr>
        <w:trPr>
          <w:trHeight w:val="234"/>
        </w:trPr>
        <w:tc>
          <w:tcPr>
            <w:tcW w:w="222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savings and strategic analysis.</w:t>
            </w:r>
          </w:p>
        </w:tc>
        <w:tc>
          <w:tcPr>
            <w:tcW w:w="186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PROPOSAL 2: ADVISORY VOTE ON THE COMPENSATION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NAMED EXECUTIVE OFFICERS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2025 compensation practices and programs for the Named Executive Officers by voting on the following resolution:</w:t>
      </w:r>
    </w:p>
    <w:p>
      <w:pPr>
        <w:spacing w:after="0" w:line="176" w:lineRule="exact"/>
        <w:rPr>
          <w:sz w:val="20"/>
          <w:szCs w:val="20"/>
          <w:color w:val="auto"/>
        </w:rPr>
      </w:pPr>
    </w:p>
    <w:p>
      <w:pPr>
        <w:ind w:left="660" w:right="142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Corporation’s Named Executive Officers, as disclosed pursuant to Item 402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Regulation S-K including the executive compensation disclosures, is hereby </w:t>
      </w:r>
      <w:r>
        <w:rPr>
          <w:rFonts w:ascii="Times New Roman" w:cs="Times New Roman" w:eastAsia="Times New Roman" w:hAnsi="Times New Roman"/>
          <w:sz w:val="18"/>
          <w:szCs w:val="18"/>
          <w:b w:val="1"/>
          <w:bCs w:val="1"/>
          <w:color w:val="auto"/>
        </w:rPr>
        <w:t>APPROVED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As described in the “Executive Compensation” section of this Proxy Statement, and in particular the “Executive Summary” portion of the Executive Compensation section of this Proxy Statement, the Corporation has established a compensation program that is designed to attract and retain key employees, and reward those employees for the short-term and long-term performance of the Corporation.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In addition, long-term performance stock awards were granted in 2022 subject to three-year objectives for return on invested capital and cumulative EBITDA. Based on the cumulative performance of the Corporation over the past three fiscal years with respect to these two performance measures, the performance stock awards vested at 166.2% of the target level in fiscal 2025.</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shareholder vote is advisory, and therefore not binding on the Corporation. However, the Board of Directors and its Compensation and Human Capital Committee will take the results of the vote into consideration in addressing future compensation policies and practices.</w:t>
      </w:r>
    </w:p>
    <w:p>
      <w:pPr>
        <w:spacing w:after="0" w:line="158" w:lineRule="exact"/>
        <w:rPr>
          <w:sz w:val="20"/>
          <w:szCs w:val="20"/>
          <w:color w:val="auto"/>
        </w:rPr>
      </w:pPr>
    </w:p>
    <w:p>
      <w:pPr>
        <w:ind w:right="50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IN FAVOR OF THE RESOLUTION TO APPROVE THE COMPENSATION PAID TO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NAMED EXECUTIVE OFFICERS. UNLESS YOU INDICATE OTHERWISE ON YOUR PROXY, YOUR SHARES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RESOLUTION TO APPROVE THE COMPENSATION PAID TO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NAMED EXECUTIVE OFFICERS.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PROPOSAL 3: RATIFICATION OF APPOINTMENT OF</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Audit Committee has selected RSM US LLP (“RSM”) as our independent registered public accounting firm for the fiscal year ending June 30, 2026, including service to our consolidated subsidiaries. RSM has acted in this capacity since fiscal 2018, following a competitive bidding process. A representative of RSM will attend the Annual Meeting, will be given the opportunity to make a statement if he or she so desires, and will be available to respond to appropriate questions. Stockholder ratification of the selection of RSM as our independent registered public accounting firm is not required. However, the Audit Committee deems it good corporate governance to submit the selection of RSM to the stockholders for ratification.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to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Aggregate fees billed or expected to be billed for professional services rendered by RSM in connection with (i) the audit of the Corporation’s consolidated financial statements as of and for the years ended June 30, 2025 and June 30, 2024, including statutory audits of the financial statements of the Corporation’s affiliates, and (ii) the reviews of the Corporation’s quarterly financial statements were $1,654,296 and $1,423,800,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Aggregate fees billed for professional services rendered by RSM for assurance and services reasonably related to the performance of the audit or review of the Corporation’s financial statements not included in audit fees above were $0 and $0 for the years ended June 30,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fees billed by RSM during the years ended June 30, 2025 and 2024, respectively, pertaining to tax compliance, tax advice, and tax planning.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June 30, 2025 and 2024, there were no fees billed by RSM for products and services other than those listed above.</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provision of services rendered above that were not related to its audit of the Corporation’s financial statements were at all times compatible with maintaining RSM’s independence.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These fees are then presented at the next Audit Committee meeting for formal documentation of approval. For the year ended June 30, 2025, 100% of audit-related, tax and other fees were pre-approved.</w:t>
      </w:r>
    </w:p>
    <w:p>
      <w:pPr>
        <w:spacing w:after="0" w:line="17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TO RATIFY THE SELECTION OF RSM US LLP AS OUR INDEPENDENT AUDITORS FOR THE FISCAL YEAR ENDING JUNE 30, 2026. UNLESS YOU INDICATE OTHERWISE, YOUR PROXY WILL BE VOTED "FOR" RATIFICATION.</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CORPORATE GOVERNANCE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President and Chief Executive Officer and with key members of management, by reviewing materials provided to them, and by participating in meetings of the Board of Directors and its committees.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(“SEC”)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and/or through appropriate mailings.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Board has determined that the following Directors are independent within the meaning of SEC regulations, the listing standards of the NASDAQ Stock Market and the Corporation's Guidelines for Corporate Governance: Messrs. Doar, Johnson, Olsen and Smiley, and Mses. Giesselman and Larimer.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positions of Chairman of the Board and Chief Executive Officer (“CEO”) are separated between Mr. Smiley and Mr. Batten. This allows our CEO (Mr. Batten) to focus on the day-to-day business operations, while allowing the Chairman of the Board (Mr. Smiley) to lead our Board in its role of providing oversight and advice to management. The Board retains the authority to modify this leadership structure as and when appropriate to best address the Company’s current circumstances and to advance the interests of all shareholders.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Chairman of the Board presides over executive sessions of the independent directors; serves as liaison between the CEO and other independent directors; consults with the CEO as to appropriate scheduling and agendas of meetings of the Board; and serves as the principal liaison for communication by shareholders and employees directed specifically toward non-management directors.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Role in Risk Oversight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Various committees of the Board also have roles in the oversight of risk management. The Audit Committee focuses on financial risk, including the Corporation’s internal controls regarding finance, accounting, legal compliance and ethical behavior. The Compensation and Human Capital Committee evaluates risks that may be created by the Corporation’s compensation policies and practices, and also annually reviews the adequacy and status of the Corporation’s management succession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Guidelines for Business Conduct and Ethics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Our Guidelines for Business Conduct and Ethics (the "Guidelines") summarize the compliance and ethical standards and expectations we have for all our employees, executive officers and Directors with respect to their conduct in furtherance of the Corporation’s business. The Guidelines, which are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or in a current report on Form 8-K. In addition, if a waiver from the Guidelines is granted to an executive officer or Director, we will disclose the nature of such waiver on our website at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or in a current report on Form 8-K.</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Corporation has adopted an Insider Trading Policy to regulate transactions in securities of the Corporation by employees, officers, and directors of the Corporation and its subsidiaries, as well as by related individuals. The purpose of the Insider Trading policy is to prevent any improper trading activity by parties involved with or familiar with the operations of the Corporation. The Insider Trading Policy prohibits all employees, directors, and officers of the Corporation and its subsidiaries (“Covered Persons”) from trading in the Corporation’s securities while in possession of material nonpublic information about the Corporation. Covered Persons are also prohibited from disclosing material nonpublic information about the Corporation to any person outside the Corporation, and from recommending to anyone that they buy or sell securities of the Corporation while in possession of material nonpublic information about the Corporation. The Insider Trading Policy also prohibits designated Covered Persons from trading in the Corporation’s securities outside of a designated trading window, and further requires that designated Covered Persons receive pre-clearance to trade in the Corporation’s securities during a trading window. The Insider Trading Policy has been reasonably designed to promote compliance by the Corporation and its employees, officers, and directors with applicable insider trading laws, rules and regulations and with applicable listing standards of the Nasdaq Stock Market.</w:t>
      </w:r>
    </w:p>
    <w:p>
      <w:pPr>
        <w:spacing w:after="0" w:line="1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Our Insider Trading Policy is available on our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24 hours a day and free of charge. A copy of our Insider Trading Policy is also filed as an exhibit to our Annual Report on Form 10-K for the fiscal year ended June 30, 2025.</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Anti-Hedging and Pledging Policies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Under our Insider Trading Policy, all executive officers, Directors and employees of the Corporation are prohibited from trading in options, warrants, puts and calls or other similar instruments on securities of the Corporation or engaging in short sales of securities of the Corporation. In addition, our Insider Trading Policy prohibits all executive officers, Directors and employees of the Corporation from engaging in any hedging or monetization transactions involving securities of the Corporation and prohibits Directors and executive officers from holding securities of the Corporation in a margin account or pledging securities of the Corporation as collateral for a loan. Our Insider Trading Policy is available on our website, </w:t>
      </w:r>
      <w:r>
        <w:rPr>
          <w:rFonts w:ascii="Times New Roman" w:cs="Times New Roman" w:eastAsia="Times New Roman" w:hAnsi="Times New Roman"/>
          <w:sz w:val="18"/>
          <w:szCs w:val="18"/>
          <w:u w:val="single" w:color="auto"/>
          <w:color w:val="auto"/>
        </w:rPr>
        <w:t>www.twindisc.com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Guidelines also specifically require that all employees, executive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executive officers or employees, and their relatives or businesses.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 department and shared with the CEO and Audit Committee, as appropriate. Based upon such review, there were no related party transactions with respect to persons who were Directors or executive officers during fiscal 2025 requiring disclosure under the rules of the Securities and Exchange Commission, except as noted below.</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Timothy Batten, a brother of the Corporation’s President and CEO John Batten, serves as the Corporation’s Executive Vice President. Timothy Batten’s total compensation for the two fiscal years that ended June 30, 2025 and June 30, 2024, including the fair value of equity-based awards granted under the Twin Disc, Incorporated 2021 Long-Term Incentive Compensation Plan in fiscal years 2025 and 2024, was approximately $518,000 and $503,000, respectively. This compensation arrangement is consistent with the compensation arrangements made available to other employees of the Corporation with similar years of experience and positions with the Corporation. Timothy Batten also participates in the Corporation’s benefit plans available to other employees of the Corporation in similar positions.</w:t>
      </w:r>
    </w:p>
    <w:p>
      <w:pPr>
        <w:spacing w:after="0" w:line="18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DIRECTOR COMMITTEES AND ATTENDANCE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Board Committees; Attendance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Corporation’s Board of Directors met nine times during the year ended June 30, 2025. Among incumbent Directors, there were three absences from these meetings. The Audit Committee met five times during the year. The Nominating and Governance Committee met two times during the year. The Compensation and Human Capital Committee met three times during the year. All directors attended at least 75% of the aggregate of the total number of meetings of the Board of Directors and of the Committees on which they served.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Director Committee Functions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has a separately-designated Audit Committee established in accordance with Section 3(a)(58)(A) of the Securities Exchange Act of 1934.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charter of the Audit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It was most recently reviewed on August 6, 2025.</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Johnson (Chair), Ms. Giesselman, Ms. Larimer and Mr. Olsen) qualifies as an “audit committee financial expert” within the meaning of SEC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purpose is to assist the Board of Directors in monitoring the:</w:t>
      </w:r>
    </w:p>
    <w:p>
      <w:pPr>
        <w:spacing w:after="0" w:line="225"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 of the Corporation's financial statements;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auditor's qualifications and independence;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the Corporation's internal audit function and the independent auditors; and</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compliance with legal and regulatory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carrying out these responsibilities, the Audit Committee, among other things:</w:t>
      </w:r>
    </w:p>
    <w:p>
      <w:pPr>
        <w:spacing w:after="0" w:line="225" w:lineRule="exact"/>
        <w:rPr>
          <w:sz w:val="20"/>
          <w:szCs w:val="20"/>
          <w:color w:val="auto"/>
        </w:rPr>
      </w:pPr>
    </w:p>
    <w:p>
      <w:pPr>
        <w:ind w:left="680" w:right="320" w:hanging="321"/>
        <w:spacing w:after="0" w:line="261"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the independent auditor for the purpose of preparing and issuing an audit report and to perform related work, and discusses with the independent auditor appropriate staffing and compensation;</w:t>
      </w: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Retains, as necessary or appropriate, independent legal, accounting or other advisors;</w:t>
      </w:r>
    </w:p>
    <w:p>
      <w:pPr>
        <w:spacing w:after="0" w:line="9" w:lineRule="exact"/>
        <w:rPr>
          <w:rFonts w:ascii="Times New Roman" w:cs="Times New Roman" w:eastAsia="Times New Roman" w:hAnsi="Times New Roman"/>
          <w:sz w:val="18"/>
          <w:szCs w:val="18"/>
          <w:color w:val="auto"/>
        </w:rPr>
      </w:pPr>
    </w:p>
    <w:p>
      <w:pPr>
        <w:ind w:left="680" w:right="80" w:hanging="321"/>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680" w:right="40" w:hanging="321"/>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680" w:hanging="321"/>
        <w:spacing w:after="0" w:line="250"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reviews management's programs to monitor compliance with the Corporation's Guidelines for Business Conduct and Ethics.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Governance Committee</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xml:space="preserve"> The independence of the Committee is in compliance with SEC regulations, the listing standards of the NASDAQ Stock Market and the Corporation’s Guidelines for Corporate Governance.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6" w:name="page17"/>
    <w:bookmarkEnd w:id="1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 xml:space="preserve">The Nominating and Governance Committee identifies candidates for Director nominees in consultation with the Chairman and Chief Executive Officer, through the use of search firms or other advisors,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Shareholder recommendations to the Committee for Director candidates shall follow the following procedures:</w:t>
      </w:r>
    </w:p>
    <w:p>
      <w:pPr>
        <w:spacing w:after="0" w:line="183"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must receive any such shareholder recommendations for Director candidates on or before the last business day in the month of March preceding that year's annual meeting.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recommendation for nomination shall be in writing and shall include the following information:</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shareholder, whether an entity or an individual, making the recommendation;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of the shareholder’s beneficial ownership of the Corporation's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individual recommended for consideration as a Director nominee;</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shareholder making the recommendation stating why such recommended candidate would be able to fulfill the duties of a Director;</w:t>
      </w:r>
    </w:p>
    <w:p>
      <w:pPr>
        <w:ind w:left="980" w:hanging="324"/>
        <w:spacing w:after="0" w:line="250"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from the shareholder making the recommendation stating how the recommended candidate meets the independence requirements established by the SEC and the NASDAQ Stock Market;</w:t>
      </w:r>
    </w:p>
    <w:p>
      <w:pPr>
        <w:ind w:left="980" w:hanging="324"/>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disclosing the recommended candidate's beneficial ownership of the Corporation's securities;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statement disclosing relationships between the recommended candidate and the Corporation which may constitute a conflict of interest; and</w:t>
      </w:r>
    </w:p>
    <w:p>
      <w:pPr>
        <w:ind w:left="980" w:right="20" w:hanging="324"/>
        <w:spacing w:after="0" w:line="260"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the recommended candidate that would be required to be disclosed in solicitations of proxies for the election of Directors under the Securities Exchange Act.</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 for nomination must be sent to the attention of the Committee via the U.S. Mail or by expedited delivery service, addressed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East Erie Street, Suite 400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Milwaukee, WI 53202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Nominating and Governance Committee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Secretary of Twin Disc, Incorporated</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strategy, organization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 time. The Committee will consider these and other qualifications, skills and attributes when recommending candidates for the Board's selection as nominees for the Board and as candidates for appointment to the Board's committees.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Human Capital Committee</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Scope of Authority</w:t>
      </w:r>
      <w:r>
        <w:rPr>
          <w:rFonts w:ascii="Times New Roman" w:cs="Times New Roman" w:eastAsia="Times New Roman" w:hAnsi="Times New Roman"/>
          <w:sz w:val="18"/>
          <w:szCs w:val="18"/>
          <w:color w:val="auto"/>
        </w:rPr>
        <w:t xml:space="preserve"> - The primary purpose of the Compensation and Human Capital Committee is: (i) to assist the Board in discharging its responsibilities in respect to the compensation of the Corporation's executive officers and Directors;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charter expressly grants the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to the extent required by the rules of the NASDAQ Stock Market.</w:t>
      </w:r>
    </w:p>
    <w:p>
      <w:pPr>
        <w:spacing w:after="0" w:line="1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The charter of the Compensation and Human Capital Committee is available on the Corporation’s website,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color w:val="auto"/>
        </w:rPr>
        <w:t>. The Corporation last reviewed the Compensation and Human Capital Committee charter on January 29, 2025.</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Composition</w:t>
      </w:r>
      <w:r>
        <w:rPr>
          <w:rFonts w:ascii="Times New Roman" w:cs="Times New Roman" w:eastAsia="Times New Roman" w:hAnsi="Times New Roman"/>
          <w:sz w:val="18"/>
          <w:szCs w:val="18"/>
          <w:color w:val="auto"/>
        </w:rPr>
        <w:t xml:space="preserve"> - The Compensation and Human Capital Committee is composed exclusively of non-employee, independent Directors none of whom has a business relationship with the Corporation, other than in their capacity as Directors. The Compensation and Human Capital Development Committee reports to the entire Board.</w:t>
      </w:r>
    </w:p>
    <w:p>
      <w:pPr>
        <w:spacing w:after="0" w:line="17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u w:val="single" w:color="auto"/>
          <w:color w:val="auto"/>
        </w:rPr>
        <w:t>Role of Consultants</w:t>
      </w:r>
      <w:r>
        <w:rPr>
          <w:rFonts w:ascii="Times New Roman" w:cs="Times New Roman" w:eastAsia="Times New Roman" w:hAnsi="Times New Roman"/>
          <w:sz w:val="18"/>
          <w:szCs w:val="18"/>
          <w:color w:val="auto"/>
        </w:rPr>
        <w:t xml:space="preserve"> - The Compensation and Human Capital Committee periodically engages an independent consultant to review its compensation program for the executive officers of the Corporation, in order to ensure market competitiveness. Historically, the Committee engaged an independent compensation consultant for this purpose every two years. For fiscal 2025, the Committee engaged Pay Governance, LLC, an independent executive compensation advisory firm, to conduct a detailed review of competitive compensation levels for similar positions in similar industries. The Committee considered that information in setting executive compensation for fiscal 2025.</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Role of Executive Officers</w:t>
      </w:r>
      <w:r>
        <w:rPr>
          <w:rFonts w:ascii="Times New Roman" w:cs="Times New Roman" w:eastAsia="Times New Roman" w:hAnsi="Times New Roman"/>
          <w:sz w:val="18"/>
          <w:szCs w:val="18"/>
          <w:color w:val="auto"/>
        </w:rPr>
        <w:t xml:space="preserve"> - The Compensation and Human Capital Committee makes all compensation decisions for the CEO, Mr. Batten, and approves recommendations for compensation actions for all other elected officers of the Corporation. As CEO, Mr. Batten annually reviews the performance of each elected officer with the Compensation and Human Capital Committee. Recommendations based on these reviews, including those pertaining to salary adjustments, bonus payouts and equity compensation, are presented to the Compensation and Human Capital Committee, which may exercise its discretion in modifying any of the recommendations presented. The Compensation and Human Capital Committee also reviews the performance of the CEO. It alone determines the salary adjustment, bonus payment and equity awards for Mr. Batten.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Committee Membership</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of each year, the Board considers and approves committee membership for the coming year. The Board’s committees are currently comprised of the following Directors, with the Chairman of each Committee listed first:</w:t>
      </w:r>
    </w:p>
    <w:tbl>
      <w:tblPr>
        <w:tblLayout w:type="fixed"/>
        <w:tblInd w:w="0" w:type="dxa"/>
        <w:tblCellMar>
          <w:top w:w="0" w:type="dxa"/>
          <w:left w:w="0" w:type="dxa"/>
          <w:bottom w:w="0" w:type="dxa"/>
          <w:right w:w="0" w:type="dxa"/>
        </w:tblCellMar>
      </w:tblPr>
      <w:tr>
        <w:trPr>
          <w:trHeight w:val="198"/>
        </w:trPr>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80" w:type="dxa"/>
            <w:vAlign w:val="bottom"/>
            <w:gridSpan w:val="3"/>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Compensation &amp;</w:t>
            </w:r>
          </w:p>
        </w:tc>
        <w:tc>
          <w:tcPr>
            <w:tcW w:w="2420" w:type="dxa"/>
            <w:vAlign w:val="bottom"/>
            <w:gridSpan w:val="3"/>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Nominating and</w:t>
            </w:r>
          </w:p>
        </w:tc>
      </w:tr>
      <w:tr>
        <w:trPr>
          <w:trHeight w:val="194"/>
        </w:trPr>
        <w:tc>
          <w:tcPr>
            <w:tcW w:w="1080" w:type="dxa"/>
            <w:vAlign w:val="bottom"/>
          </w:tcPr>
          <w:p>
            <w:pPr>
              <w:spacing w:after="0"/>
              <w:rPr>
                <w:sz w:val="16"/>
                <w:szCs w:val="16"/>
                <w:color w:val="auto"/>
              </w:rPr>
            </w:pPr>
          </w:p>
        </w:tc>
        <w:tc>
          <w:tcPr>
            <w:tcW w:w="1600" w:type="dxa"/>
            <w:vAlign w:val="bottom"/>
            <w:gridSpan w:val="2"/>
          </w:tcPr>
          <w:p>
            <w:pPr>
              <w:jc w:val="center"/>
              <w:ind w:right="1200"/>
              <w:spacing w:after="0" w:line="194" w:lineRule="exact"/>
              <w:rPr>
                <w:sz w:val="20"/>
                <w:szCs w:val="20"/>
                <w:color w:val="auto"/>
              </w:rPr>
            </w:pPr>
            <w:r>
              <w:rPr>
                <w:rFonts w:ascii="Times New Roman" w:cs="Times New Roman" w:eastAsia="Times New Roman" w:hAnsi="Times New Roman"/>
                <w:sz w:val="18"/>
                <w:szCs w:val="18"/>
                <w:color w:val="auto"/>
                <w:w w:val="97"/>
              </w:rPr>
              <w:t>Audit</w:t>
            </w:r>
          </w:p>
        </w:tc>
        <w:tc>
          <w:tcPr>
            <w:tcW w:w="2880" w:type="dxa"/>
            <w:vAlign w:val="bottom"/>
            <w:gridSpan w:val="3"/>
          </w:tcPr>
          <w:p>
            <w:pPr>
              <w:jc w:val="center"/>
              <w:ind w:left="210"/>
              <w:spacing w:after="0" w:line="194" w:lineRule="exact"/>
              <w:rPr>
                <w:sz w:val="20"/>
                <w:szCs w:val="20"/>
                <w:color w:val="auto"/>
              </w:rPr>
            </w:pPr>
            <w:r>
              <w:rPr>
                <w:rFonts w:ascii="Times New Roman" w:cs="Times New Roman" w:eastAsia="Times New Roman" w:hAnsi="Times New Roman"/>
                <w:sz w:val="18"/>
                <w:szCs w:val="18"/>
                <w:color w:val="auto"/>
              </w:rPr>
              <w:t>Human Capital</w:t>
            </w:r>
          </w:p>
        </w:tc>
        <w:tc>
          <w:tcPr>
            <w:tcW w:w="840" w:type="dxa"/>
            <w:vAlign w:val="bottom"/>
          </w:tcPr>
          <w:p>
            <w:pPr>
              <w:spacing w:after="0"/>
              <w:rPr>
                <w:sz w:val="16"/>
                <w:szCs w:val="16"/>
                <w:color w:val="auto"/>
              </w:rPr>
            </w:pPr>
          </w:p>
        </w:tc>
        <w:tc>
          <w:tcPr>
            <w:tcW w:w="1580" w:type="dxa"/>
            <w:vAlign w:val="bottom"/>
            <w:gridSpan w:val="2"/>
          </w:tcPr>
          <w:p>
            <w:pPr>
              <w:jc w:val="center"/>
              <w:ind w:right="720"/>
              <w:spacing w:after="0" w:line="194" w:lineRule="exact"/>
              <w:rPr>
                <w:sz w:val="20"/>
                <w:szCs w:val="20"/>
                <w:color w:val="auto"/>
              </w:rPr>
            </w:pPr>
            <w:r>
              <w:rPr>
                <w:rFonts w:ascii="Times New Roman" w:cs="Times New Roman" w:eastAsia="Times New Roman" w:hAnsi="Times New Roman"/>
                <w:sz w:val="18"/>
                <w:szCs w:val="18"/>
                <w:color w:val="auto"/>
                <w:w w:val="98"/>
              </w:rPr>
              <w:t>Governance</w:t>
            </w:r>
          </w:p>
        </w:tc>
      </w:tr>
      <w:tr>
        <w:trPr>
          <w:trHeight w:val="21"/>
        </w:trPr>
        <w:tc>
          <w:tcPr>
            <w:tcW w:w="10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26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Johnson</w:t>
            </w:r>
          </w:p>
        </w:tc>
        <w:tc>
          <w:tcPr>
            <w:tcW w:w="10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Giesselman</w:t>
            </w: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Doar</w:t>
            </w:r>
          </w:p>
        </w:tc>
      </w:tr>
      <w:tr>
        <w:trPr>
          <w:trHeight w:val="216"/>
        </w:trPr>
        <w:tc>
          <w:tcPr>
            <w:tcW w:w="2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Giesselman</w:t>
            </w:r>
          </w:p>
        </w:tc>
        <w:tc>
          <w:tcPr>
            <w:tcW w:w="1040" w:type="dxa"/>
            <w:vAlign w:val="bottom"/>
          </w:tcPr>
          <w:p>
            <w:pPr>
              <w:spacing w:after="0"/>
              <w:rPr>
                <w:sz w:val="18"/>
                <w:szCs w:val="18"/>
                <w:color w:val="auto"/>
              </w:rPr>
            </w:pPr>
          </w:p>
        </w:tc>
        <w:tc>
          <w:tcPr>
            <w:tcW w:w="18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Doar</w:t>
            </w:r>
          </w:p>
        </w:tc>
        <w:tc>
          <w:tcPr>
            <w:tcW w:w="840" w:type="dxa"/>
            <w:vAlign w:val="bottom"/>
          </w:tcPr>
          <w:p>
            <w:pPr>
              <w:spacing w:after="0"/>
              <w:rPr>
                <w:sz w:val="18"/>
                <w:szCs w:val="18"/>
                <w:color w:val="auto"/>
              </w:rPr>
            </w:pPr>
          </w:p>
        </w:tc>
        <w:tc>
          <w:tcPr>
            <w:tcW w:w="15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Johnson</w:t>
            </w:r>
          </w:p>
        </w:tc>
      </w:tr>
      <w:tr>
        <w:trPr>
          <w:trHeight w:val="216"/>
        </w:trPr>
        <w:tc>
          <w:tcPr>
            <w:tcW w:w="26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Larimer</w:t>
            </w:r>
          </w:p>
        </w:tc>
        <w:tc>
          <w:tcPr>
            <w:tcW w:w="10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Larimer</w:t>
            </w: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Olsen</w:t>
            </w:r>
          </w:p>
        </w:tc>
      </w:tr>
      <w:tr>
        <w:trPr>
          <w:trHeight w:val="234"/>
        </w:trPr>
        <w:tc>
          <w:tcPr>
            <w:tcW w:w="2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Olsen</w:t>
            </w:r>
          </w:p>
        </w:tc>
        <w:tc>
          <w:tcPr>
            <w:tcW w:w="1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at Annual Meeting</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Corporation does not have a formal policy that its Directors attend the Annual Meeting of Shareholders, but they are expected to attend and the Corporation's Directors historically have attended these meetings. All of the members of the Board of Directors attended last year's annual meeting. The Board of Directors conducts its annual meeting at the Corporation’s headquarters on the same day as the Annual Meeting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 with the Board</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Board provides to every stockholder the ability to communicate with the Board as a whole, and with individual Directors on the Board, through an established process for stockholder communication (“Stockholder Communication”) as follows:</w:t>
      </w:r>
    </w:p>
    <w:p>
      <w:pPr>
        <w:spacing w:after="0" w:line="162" w:lineRule="exact"/>
        <w:rPr>
          <w:sz w:val="20"/>
          <w:szCs w:val="20"/>
          <w:color w:val="auto"/>
        </w:rPr>
      </w:pPr>
    </w:p>
    <w:p>
      <w:pPr>
        <w:ind w:right="760" w:firstLine="8"/>
        <w:spacing w:after="0" w:line="282"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222 East Erie Street, Suite 400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Milwaukee, WI 53202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Chairman of the Board of Directors</w:t>
      </w:r>
    </w:p>
    <w:p>
      <w:pPr>
        <w:spacing w:after="0" w:line="207" w:lineRule="exact"/>
        <w:rPr>
          <w:sz w:val="20"/>
          <w:szCs w:val="20"/>
          <w:color w:val="auto"/>
        </w:rPr>
      </w:pPr>
    </w:p>
    <w:p>
      <w:pPr>
        <w:ind w:firstLine="8"/>
        <w:spacing w:after="0" w:line="282"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Twin Disc, Incorporated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222 East Erie Street, Suite 400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Milwaukee, WI 53202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[Name of Individual Director]</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9" w:name="page20"/>
    <w:bookmarkEnd w:id="19"/>
    <w:p>
      <w:pPr>
        <w:ind w:right="4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 communications are made solely in such employee's or agent's capacity as a stockholder.</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From time to time, the Board may change the process by which stockholders may communicate with the Board or its members. Please refer to the Corporation's website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www.twindisc.com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any changes to this process.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rules of the Securities and Exchange Commission, the Corporation is required to describe the material components of compensation paid to anyone who served as the Corporation’s Chief Executive Officer during a fiscal year, its two most highly compensated executive officers other than the Chief Executive Officer who were serving as executive officers as of the end of the fiscal year, and up to two additional individuals for whom such disclosure would have been provided but for the fact that the individual was not serving as an executive officer at the end of the fiscal year (the “Named Executive Officers”). For the fiscal year ended June 30, 2025, the Corporation’s Named Executive Officers are:</w:t>
      </w:r>
    </w:p>
    <w:p>
      <w:pPr>
        <w:spacing w:after="0" w:line="18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H. Batten, President and Chief Executive Officer;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Jeffrey S. Knutson, Vice President – Finance, Chief Financial Officer, Treasurer and Secretary.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discussion that follows, we will explain the objectives of our compensation programs, why we pay the compensation we do and how that fits with the Corporation’s commitment to provide value to our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Summary</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Through the Board’s Compensation and Human Capital Committee (the “Committee”), the Corporation has established a compensation program that is designed to attract and retain key employees, and reward those employees for short-term and long-term performance of the Corporation as well as achieving individual objectives.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restricted stock and restricted stock units).</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76" w:lineRule="exact"/>
        <w:rPr>
          <w:sz w:val="20"/>
          <w:szCs w:val="20"/>
          <w:color w:val="auto"/>
        </w:rPr>
      </w:pPr>
    </w:p>
    <w:p>
      <w:pPr>
        <w:ind w:left="660" w:right="10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seeks to set base salary and annual incentive compensation of its Named Executive Officers at the market median for companies of comparable size and in comparable industries, but also allows actual such pay to vary from the market median depending on individual and company performance and length of service within the industry and the Corporation.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660" w:right="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restricted stock and restricted stock units).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stock ownership guidelines for each of its Named Executive Officers, thereby aligning their long-term interests with those of Corporation’s shareholders.</w:t>
      </w:r>
    </w:p>
    <w:p>
      <w:pPr>
        <w:spacing w:after="0" w:line="16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promoted additional equity ownership beyond the performance period for the long-term incentive awards by including performance stock awards that are payable in stock as long-term incentive awards in FY2025.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also maintains compensation practices that it believes are consistent with good governance. For example:</w:t>
      </w:r>
    </w:p>
    <w:p>
      <w:pPr>
        <w:spacing w:after="0" w:line="225" w:lineRule="exact"/>
        <w:rPr>
          <w:sz w:val="20"/>
          <w:szCs w:val="20"/>
          <w:color w:val="auto"/>
        </w:rPr>
      </w:pPr>
    </w:p>
    <w:p>
      <w:pPr>
        <w:ind w:left="660" w:right="2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long-term incentive compensation plan (i) prohibits repricing of stock options and the repurchase of underwater options; (ii) limits the recycling of shares that may be awarded under the plan; and (iii) states that all awards are subject to the clawback requirements of any applicable law, the listing standards of the NASDAQ Stock Market, and any clawback policy adopted by the Committee, and provides mechanisms for the Corporation to enforce its recovery rights.</w:t>
      </w:r>
    </w:p>
    <w:p>
      <w:pPr>
        <w:spacing w:after="0" w:line="179"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considers internal pay equity when making compensation decisions, that is, whether employees within the Corporation are paid fairly relative to each other given their duties, experience and performance.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Incentive Plan is performance-based and has caps on bonus payments.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annually evaluates the Corporation’s compensation programs to ensure that they do not encourage unnecessary risk-taking.</w:t>
      </w:r>
    </w:p>
    <w:p>
      <w:pPr>
        <w:spacing w:after="0" w:line="225"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adopted formal clawback policies that require the Committee to seek disgorgement of incentive pay from current or former executive officers of the Corporation if the Corporation is required to prepare an accounting restatement due to material noncompliance with financial reporting requirements under securities laws, and permit the Committee to seek disgorgement of incentive pay from current or former executive officers of the Corporation in the event of willful fraud or willful violation of the Corporation’s rules or applicable legal requirements that causes material financial or reputational harm to the Corporation.</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21" w:name="page22"/>
    <w:bookmarkEnd w:id="21"/>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The following provides a brief overview of the highlights of the compensation received by the Corporation’s Named Executive Officers for the fiscal year that ended June 30, 2025:</w:t>
      </w:r>
    </w:p>
    <w:p>
      <w:pPr>
        <w:spacing w:after="0" w:line="162" w:lineRule="exact"/>
        <w:rPr>
          <w:sz w:val="20"/>
          <w:szCs w:val="20"/>
          <w:color w:val="auto"/>
        </w:rPr>
      </w:pPr>
    </w:p>
    <w:p>
      <w:pPr>
        <w:ind w:left="660" w:right="24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beginning of FY2025, the Committee approved a 4% increase to the base salary of Mr. Batten and Mr. Knutson. These increases were in line with the Corporation’s budget for other non-executive officer key employees, and the resulting base salaries continued to position Messrs. Batten and Knutson near the market median for base salary.</w:t>
      </w:r>
    </w:p>
    <w:p>
      <w:pPr>
        <w:spacing w:after="0" w:line="175"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determined that the net sales, EBITDA percentage of net sales and inventory as a percent of net sales results exceeded the thresholds under the Corporate Incentive Plan. In addition, the Committee determined that the two strategic objectives were fully met. As a result, the Named Executive Officers received payments under the Corporate Incentive Plan equal to 115.9% and 118.4% of the target amounts for Mr. Batten and Mr. Knutson, respectively.</w:t>
      </w:r>
    </w:p>
    <w:p>
      <w:pPr>
        <w:spacing w:after="0" w:line="17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achieved greater than the maximum performance levels for its Average Return on Invested Capital goal (weighted 50%), and greater than the target performance levels for its cumulative EBITDA dollar goal (weighted 50%) for performance stock granted in 2022 under the Twin Disc, Incorporated 2021 Long-Term Incentive Compensation Plan. As a result, the performance stock awards vested at approximately 166.2% of target.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the Corporation held its shareholder advisory vote on executive compensation at its October 31, 2024, Annual Meeting of Shareholders. The shareholders approved the say on pay proposal by a significant majority, with more than 90% of the votes cast in favor of the compensation paid to the Corporation’s Named Executive Officers. The Committee viewed this vote as support for the Corporation’s general compensation practices, and did not make significant changes to the Corporation’s overall compensation program for FY2026.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Philosophy and Objectives</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Twin Disc believes that knowledgeable, motivated and dedicated employees can make the difference in the Corporation’s ability to execute business strategy and excel in the marketplace. The Committee believes it is in the best interest of the Corporation and its shareholders to fairly compensate the executive team to encourage high-level performance, resulting in increased profitability of the Corporation. Executives are compensated on the value of their contribution towards the success of the Corporation, in addition to their assigned scope of responsibilities.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public companies of similar size and in similar industries. Twin Disc pays for the value of the job to the Corporation, considering the knowledge, skills and abilities required for each job and will pay market competitive compensation, in order to attract, retain and motivate top talent.</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key elements of our executive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that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2" w:name="page23"/>
    <w:bookmarkEnd w:id="2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The Corporation believes that its executive officers should hold a meaningful stake in Twin Disc in order to align their economic interests with those of the shareholders. To that end, the Corporation has stock ownership guidelines. Stock ownership targets are equal to five times the annual base salary for our CEO, and two times the annual base salary for our CFO. Executive officers have a period of four years to attain their targeted ownership level. The Committee monitors compliance with this guideline, using its discretion to address non-attainment issues. Compliance is reviewed annually.</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either are not characterized as deferred compensation under Section 409A or meet the distribution, timing and other requirements of Section 409A. Sections 280G and 4999 of the Internal Revenue Code and related provisions impose substantial excise taxes on so-called “excess parachute payments” payable to certain executive officers upon a change in control and result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Sections 280G and 4999.</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risk-mitigating factors such as stock ownership guidelines, clawback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excessive risk. The Committee has concluded that the Corporation’s compensation policies and practices are not likely to have a material adverse effect on the Corporation.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Setting Executive Compensation</w:t>
      </w:r>
    </w:p>
    <w:p>
      <w:pPr>
        <w:spacing w:after="0" w:line="22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176"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8"/>
          <w:szCs w:val="18"/>
          <w:color w:val="auto"/>
        </w:rPr>
        <w:t>The Committee looks to establish total direct compensation (i.e., base salary, annual incentive compensation, and the target annualized value of long-term incentive compensation granted during the year) between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for public companies of a similar size and in a similar industry, with base salary and annual incentive compensation near the market median and long-term incentive compensation positioned between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The Committee believes an executive’s base compensation and annual incentive compensation is competitive if it falls within a band of plus or minus 15% from the competitive median of 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The Committee periodically engages an independent consultant to review its compensation program for the executive officers of the Corporation, in order to provide information regarding market median compensation levels and the blend of short-term compensation to long-term types of compensation. The consultant provides the Committee information regarding market compensation practices and alternatives to consider when making compensation decisions for the executives.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87"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When it established executive compensation for FY2025, the Committee engaged Pay Governance LLC (“Pay Governance”), an independent compensation advisory firm, to conduct a review of competitive compensation levels for the CEO and CFO for similar positions in similar industries. For this analysis, Pay Governance referenced data from a selected peer group of public companies, as well as survey data, reflecting a market sample of companies consistent with Twin Disc’s industry and size. The Committee received information on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percentiles of each element of executive compensation for comparable executive positions. The Committee used this data to determine the base salaries, target annual bonus percentages, target long-term incentive pay, and target total pay for Messrs. Batten and Knutson for FY2025. The Committee did not specify targeted individual companies from among the peer group developed by Pay Governance.</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Corporation provides executive officers with a base salary to compensate them for services rendered during the fiscal year, their level of responsibility, experience within the Corporation and time within their current role,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80" w:lineRule="exact"/>
        <w:rPr>
          <w:sz w:val="20"/>
          <w:szCs w:val="20"/>
          <w:color w:val="auto"/>
        </w:rPr>
      </w:pPr>
    </w:p>
    <w:p>
      <w:pPr>
        <w:jc w:val="both"/>
        <w:ind w:right="120"/>
        <w:spacing w:after="0" w:line="213" w:lineRule="auto"/>
        <w:rPr>
          <w:sz w:val="20"/>
          <w:szCs w:val="20"/>
          <w:color w:val="auto"/>
        </w:rPr>
      </w:pPr>
      <w:r>
        <w:rPr>
          <w:rFonts w:ascii="Times New Roman" w:cs="Times New Roman" w:eastAsia="Times New Roman" w:hAnsi="Times New Roman"/>
          <w:sz w:val="18"/>
          <w:szCs w:val="18"/>
          <w:color w:val="auto"/>
        </w:rPr>
        <w:t>Base salaries are reviewed each year by the Committee. As discussed above, base salary levels have historically been compared to the market median (i.e.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as determined by using survey data and as determined by external consultants, in order to ensure executives are paid a competitive salary, aiding in attracting and retaining top-level executives.</w:t>
      </w:r>
    </w:p>
    <w:p>
      <w:pPr>
        <w:spacing w:after="0" w:line="2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Adjustments to base salaries are considered annually and may be based on individual, team or Corporation performance results, as well as other factors including changes to job scope or responsibilities. In addition, market adjustments to base salaries may be indicated when an incumbent is more than 15% below the market median and has been in the job longer than 2-3 years. Market adjustments may also be used to retain valuable employees in a competitive labor market.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Committee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process.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4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The Committee determines and approves base salary adjustments for the CEO, and approves base salary adjustments for the other members of the executive officer team based on recommendations from the CEO. Generally, executive base salaries are increased at rates comparable to the increases provided at other comparable companies and are at or near market levels.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Annual Incentive Compensation</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Executive officers and selected key management personnel participate in an annual incentive plan called the Corporate Incentive Plan (“CIP”). This plan provides executives with the opportunity to receive annual cash incentives for achieving corporate, business unit and individual performance goals once threshold performance levels are achieved.</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Committee reviews the CIP’s design annually and approves any CIP design changes or amendments. It also reviews and approves annual goals, and certifies the achievement of performance targets, based on the audited financial statements of the Corporation. Cash incentive payments are made after the end of each fiscal year, dependent upon corporate, business unit or individual goal achievement. In no event may the payout be more than 200% of the target.</w:t>
      </w:r>
    </w:p>
    <w:p>
      <w:pPr>
        <w:spacing w:after="0" w:line="18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An executive’s incentive payment under the CIP may be increased or decreased by up to 20%, at the discretion of the Committee, based on the recommendations of the CEO, if the executive’s individual performance goals are either exceeded or not achieved and based on other factors deemed important by the Committee. The Committee alone makes decisions regarding adjustments to the CEO’s annual incentive award.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Twin Disc, Incorporated Amended and Restated 2021 Omnibus Incentive Plan (“LTI Plan”), which was approved by the Corporation’s shareholders at the annual meeting in October 2024, provides an opportunity for executive officers, key employees and consultants of the Corporation (and its subsidiaries) to acquire common stock of the Corporation or cash payments via stock options, stock appreciation rights, restricted stock, restricted stock units, performance stock awards, performance stock unit awards, performance unit awards and or dividend equivalent awards. In keeping with the Corporation’s commitment to provide a total compensation package that includes at-risk components of pay, the Committee annually evaluates the long-term incentives for each executive to insure they do not encourage excessively risky behaviors or decisions.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granting of performance stock encourages a pay for performance approach, aligning the interests of the executive with the economic goals of the Corporation and the shareholders. The granting of restricted stock or restricted stock units is based on a number of factors that include rewarding sustained individual performance, increasing an executive’s ownership in the Corporation, and addressing retention concerns. Restricted stock or restricted stock units may also be used to incent executives in times of global economic instability when the future value of stock options, performance stock and performance stock units become more unpredictable.</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composition of an executive’s long-term compensation – e.g., performance stock and restricted stock – is determined by the Committee. The executive has no role or choice whether to receive incentive compensation in the form of performance stock, restricted stock, or other forms.</w:t>
      </w:r>
    </w:p>
    <w:p>
      <w:pPr>
        <w:spacing w:after="0" w:line="1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Committee establishes the vesting criteria, including the performance goals that must be achieved in order for the awards to vest. The LTI Plan requires a minimum vesting, restricted or performance period of at least one year for all awards made under the LTI Plan, with the exception that up to five percent of the shares available for issuance under the LTI Plan may be awarded with a shorter vesting, restricted or performance period. However, vesting periods are typically three years. Grants are made at the beginning of each fiscal year, or as determined by the Committee, for the ensuing multi-year period.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The Committee uses survey information provided by external consultants as a guideline when considering long-term incentive awards for management. The Committee reviews competitiveness of awards under the LTI Plan annually and obtains a periodic independent review. In addition, the Committee reviews and approves LTI Plan changes as necessary and ensures the LTI Plan’s comply with shareholder approval requirements.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believes it is necessary to also recognize the efforts of its officer group and senior management in the area of benefits. The Committee annually reviews the Corporation’s benefit programs for competitiveness and uses external consultants and surveys as a reference when necessary. It approves the addition, modification or deletion of any executive benefit program, as well as the eligibility of any specific executive for a program. Information regarding the Corporation’s benefit programs available to its Named Executive Officers follows the </w:t>
      </w:r>
      <w:r>
        <w:rPr>
          <w:rFonts w:ascii="Times New Roman" w:cs="Times New Roman" w:eastAsia="Times New Roman" w:hAnsi="Times New Roman"/>
          <w:sz w:val="18"/>
          <w:szCs w:val="18"/>
          <w:i w:val="1"/>
          <w:iCs w:val="1"/>
          <w:color w:val="auto"/>
        </w:rPr>
        <w:t xml:space="preserve">Outstanding Equity Awards at Fiscal Year-End </w:t>
      </w:r>
      <w:r>
        <w:rPr>
          <w:rFonts w:ascii="Times New Roman" w:cs="Times New Roman" w:eastAsia="Times New Roman" w:hAnsi="Times New Roman"/>
          <w:sz w:val="18"/>
          <w:szCs w:val="18"/>
          <w:color w:val="auto"/>
        </w:rPr>
        <w:t>table later in this Executive Compensation discussion.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Personal Benefits and Perquisites</w:t>
      </w:r>
    </w:p>
    <w:p>
      <w:pPr>
        <w:spacing w:after="0" w:line="227"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“total compensation” of the Corporation’s Named Executive Officers for the fiscal years ended June 30, 2025 and June 30, 2024. It should be noted that the total compensation as reported by the Summary Compensation Table follows specific requirements of the Securities and Exchange Commission for reporting compensation and does not reflect the target or actual compensation for the Named Executive Officers for the fiscal year.</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60" w:type="dxa"/>
            <w:vAlign w:val="bottom"/>
            <w:tcBorders>
              <w:top w:val="single" w:sz="8" w:color="auto"/>
              <w:left w:val="single" w:sz="8" w:color="auto"/>
              <w:right w:val="single" w:sz="8" w:color="auto"/>
            </w:tcBorders>
          </w:tcPr>
          <w:p>
            <w:pPr>
              <w:spacing w:after="0"/>
              <w:rPr>
                <w:sz w:val="18"/>
                <w:szCs w:val="18"/>
                <w:color w:val="auto"/>
              </w:rPr>
            </w:pPr>
          </w:p>
        </w:tc>
        <w:tc>
          <w:tcPr>
            <w:tcW w:w="46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8"/>
              </w:rPr>
              <w:t>Non-Equity</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right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8"/>
              </w:rPr>
              <w:t>Nonqualified</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Borders>
              <w:right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rPr>
              <w:t>Incentive Plan</w:t>
            </w:r>
          </w:p>
        </w:tc>
        <w:tc>
          <w:tcPr>
            <w:tcW w:w="180" w:type="dxa"/>
            <w:vAlign w:val="bottom"/>
          </w:tcPr>
          <w:p>
            <w:pPr>
              <w:spacing w:after="0"/>
              <w:rPr>
                <w:sz w:val="18"/>
                <w:szCs w:val="18"/>
                <w:color w:val="auto"/>
              </w:rPr>
            </w:pPr>
          </w:p>
        </w:tc>
        <w:tc>
          <w:tcPr>
            <w:tcW w:w="1280" w:type="dxa"/>
            <w:vAlign w:val="bottom"/>
            <w:tcBorders>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9"/>
              </w:rPr>
              <w:t>Deferred</w:t>
            </w:r>
          </w:p>
        </w:tc>
        <w:tc>
          <w:tcPr>
            <w:tcW w:w="180" w:type="dxa"/>
            <w:vAlign w:val="bottom"/>
          </w:tcPr>
          <w:p>
            <w:pPr>
              <w:spacing w:after="0"/>
              <w:rPr>
                <w:sz w:val="18"/>
                <w:szCs w:val="18"/>
                <w:color w:val="auto"/>
              </w:rPr>
            </w:pPr>
          </w:p>
        </w:tc>
        <w:tc>
          <w:tcPr>
            <w:tcW w:w="1260" w:type="dxa"/>
            <w:vAlign w:val="bottom"/>
            <w:tcBorders>
              <w:right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9"/>
              </w:rPr>
              <w:t>All Other</w:t>
            </w:r>
          </w:p>
        </w:tc>
        <w:tc>
          <w:tcPr>
            <w:tcW w:w="3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16"/>
        </w:trPr>
        <w:tc>
          <w:tcPr>
            <w:tcW w:w="20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and</w:t>
            </w:r>
          </w:p>
        </w:tc>
        <w:tc>
          <w:tcPr>
            <w:tcW w:w="4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right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Stock</w:t>
            </w:r>
          </w:p>
        </w:tc>
        <w:tc>
          <w:tcPr>
            <w:tcW w:w="180" w:type="dxa"/>
            <w:vAlign w:val="bottom"/>
          </w:tcPr>
          <w:p>
            <w:pPr>
              <w:spacing w:after="0"/>
              <w:rPr>
                <w:sz w:val="18"/>
                <w:szCs w:val="18"/>
                <w:color w:val="auto"/>
              </w:rPr>
            </w:pPr>
          </w:p>
        </w:tc>
        <w:tc>
          <w:tcPr>
            <w:tcW w:w="1260" w:type="dxa"/>
            <w:vAlign w:val="bottom"/>
            <w:tcBorders>
              <w:right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9"/>
              </w:rPr>
              <w:t>Compensation</w:t>
            </w:r>
          </w:p>
        </w:tc>
        <w:tc>
          <w:tcPr>
            <w:tcW w:w="180" w:type="dxa"/>
            <w:vAlign w:val="bottom"/>
          </w:tcPr>
          <w:p>
            <w:pPr>
              <w:spacing w:after="0"/>
              <w:rPr>
                <w:sz w:val="18"/>
                <w:szCs w:val="18"/>
                <w:color w:val="auto"/>
              </w:rPr>
            </w:pPr>
          </w:p>
        </w:tc>
        <w:tc>
          <w:tcPr>
            <w:tcW w:w="1280" w:type="dxa"/>
            <w:vAlign w:val="bottom"/>
            <w:tcBorders>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9"/>
              </w:rPr>
              <w:t>Compensation</w:t>
            </w:r>
          </w:p>
        </w:tc>
        <w:tc>
          <w:tcPr>
            <w:tcW w:w="180" w:type="dxa"/>
            <w:vAlign w:val="bottom"/>
          </w:tcPr>
          <w:p>
            <w:pPr>
              <w:spacing w:after="0"/>
              <w:rPr>
                <w:sz w:val="18"/>
                <w:szCs w:val="18"/>
                <w:color w:val="auto"/>
              </w:rPr>
            </w:pPr>
          </w:p>
        </w:tc>
        <w:tc>
          <w:tcPr>
            <w:tcW w:w="1260" w:type="dxa"/>
            <w:vAlign w:val="bottom"/>
            <w:tcBorders>
              <w:right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9"/>
              </w:rPr>
              <w:t>Compensation</w:t>
            </w:r>
          </w:p>
        </w:tc>
        <w:tc>
          <w:tcPr>
            <w:tcW w:w="3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r>
      <w:tr>
        <w:trPr>
          <w:trHeight w:val="229"/>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Principal Position</w:t>
            </w:r>
          </w:p>
        </w:tc>
        <w:tc>
          <w:tcPr>
            <w:tcW w:w="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Year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Salary</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291"/>
              <w:spacing w:after="0" w:line="230" w:lineRule="exact"/>
              <w:rPr>
                <w:sz w:val="20"/>
                <w:szCs w:val="20"/>
                <w:color w:val="auto"/>
              </w:rPr>
            </w:pPr>
            <w:r>
              <w:rPr>
                <w:rFonts w:ascii="Times New Roman" w:cs="Times New Roman" w:eastAsia="Times New Roman" w:hAnsi="Times New Roman"/>
                <w:sz w:val="16"/>
                <w:szCs w:val="16"/>
                <w:color w:val="auto"/>
              </w:rPr>
              <w:t>Awards</w:t>
            </w:r>
            <w:r>
              <w:rPr>
                <w:rFonts w:ascii="Times New Roman" w:cs="Times New Roman" w:eastAsia="Times New Roman" w:hAnsi="Times New Roman"/>
                <w:sz w:val="26"/>
                <w:szCs w:val="26"/>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ind w:right="112"/>
              <w:spacing w:after="0"/>
              <w:rPr>
                <w:sz w:val="20"/>
                <w:szCs w:val="20"/>
                <w:color w:val="auto"/>
              </w:rPr>
            </w:pPr>
            <w:r>
              <w:rPr>
                <w:rFonts w:ascii="Times New Roman" w:cs="Times New Roman" w:eastAsia="Times New Roman" w:hAnsi="Times New Roman"/>
                <w:sz w:val="15"/>
                <w:szCs w:val="15"/>
                <w:color w:val="auto"/>
              </w:rPr>
              <w:t>(2)</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right w:val="single" w:sz="8" w:color="auto"/>
            </w:tcBorders>
          </w:tcPr>
          <w:p>
            <w:pPr>
              <w:jc w:val="center"/>
              <w:ind w:right="131"/>
              <w:spacing w:after="0" w:line="230" w:lineRule="exact"/>
              <w:rPr>
                <w:sz w:val="20"/>
                <w:szCs w:val="20"/>
                <w:color w:val="auto"/>
              </w:rPr>
            </w:pPr>
            <w:r>
              <w:rPr>
                <w:rFonts w:ascii="Times New Roman" w:cs="Times New Roman" w:eastAsia="Times New Roman" w:hAnsi="Times New Roman"/>
                <w:sz w:val="16"/>
                <w:szCs w:val="16"/>
                <w:color w:val="auto"/>
              </w:rPr>
              <w:t xml:space="preserve">Earnings </w:t>
            </w:r>
            <w:r>
              <w:rPr>
                <w:rFonts w:ascii="Times New Roman" w:cs="Times New Roman" w:eastAsia="Times New Roman" w:hAnsi="Times New Roman"/>
                <w:sz w:val="26"/>
                <w:szCs w:val="26"/>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ind w:right="152"/>
              <w:spacing w:after="0"/>
              <w:rPr>
                <w:sz w:val="20"/>
                <w:szCs w:val="20"/>
                <w:color w:val="auto"/>
              </w:rPr>
            </w:pPr>
            <w:r>
              <w:rPr>
                <w:rFonts w:ascii="Times New Roman" w:cs="Times New Roman" w:eastAsia="Times New Roman" w:hAnsi="Times New Roman"/>
                <w:sz w:val="15"/>
                <w:szCs w:val="15"/>
                <w:color w:val="auto"/>
              </w:rPr>
              <w:t>(4)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r>
      <w:tr>
        <w:trPr>
          <w:trHeight w:val="223"/>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H. Batten</w:t>
            </w:r>
          </w:p>
        </w:tc>
        <w:tc>
          <w:tcPr>
            <w:tcW w:w="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704,698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1,033,830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495,610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177,106</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2,411,245</w:t>
            </w:r>
          </w:p>
        </w:tc>
      </w:tr>
      <w:tr>
        <w:trPr>
          <w:trHeight w:val="191"/>
        </w:trPr>
        <w:tc>
          <w:tcPr>
            <w:tcW w:w="20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President and Chief</w:t>
            </w:r>
          </w:p>
        </w:tc>
        <w:tc>
          <w:tcPr>
            <w:tcW w:w="4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r>
      <w:tr>
        <w:trPr>
          <w:trHeight w:val="234"/>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676,746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1,052,203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674,516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163,048</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2,566,513</w:t>
            </w:r>
          </w:p>
        </w:tc>
      </w:tr>
      <w:tr>
        <w:trPr>
          <w:trHeight w:val="210"/>
        </w:trPr>
        <w:tc>
          <w:tcPr>
            <w:tcW w:w="2060" w:type="dxa"/>
            <w:vAlign w:val="bottom"/>
            <w:tcBorders>
              <w:left w:val="single" w:sz="8" w:color="auto"/>
              <w:bottom w:val="single" w:sz="8" w:color="auto"/>
              <w:right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r>
      <w:tr>
        <w:trPr>
          <w:trHeight w:val="223"/>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Jeffrey S. Knutson</w:t>
            </w:r>
          </w:p>
        </w:tc>
        <w:tc>
          <w:tcPr>
            <w:tcW w:w="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415,026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507,613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195,787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37,771</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1,156,197</w:t>
            </w:r>
          </w:p>
        </w:tc>
      </w:tr>
      <w:tr>
        <w:trPr>
          <w:trHeight w:val="191"/>
        </w:trPr>
        <w:tc>
          <w:tcPr>
            <w:tcW w:w="20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Vice President – Finance,</w:t>
            </w:r>
          </w:p>
        </w:tc>
        <w:tc>
          <w:tcPr>
            <w:tcW w:w="4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r>
      <w:tr>
        <w:trPr>
          <w:trHeight w:val="234"/>
        </w:trPr>
        <w:tc>
          <w:tcPr>
            <w:tcW w:w="20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CFO, Treasurer and Sec’y</w:t>
            </w:r>
          </w:p>
        </w:tc>
        <w:tc>
          <w:tcPr>
            <w:tcW w:w="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398,564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516,632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257,045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36,281</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1,208,521</w:t>
            </w:r>
          </w:p>
        </w:tc>
      </w:tr>
    </w:tbl>
    <w:p>
      <w:pPr>
        <w:spacing w:after="0" w:line="198" w:lineRule="exact"/>
        <w:rPr>
          <w:sz w:val="20"/>
          <w:szCs w:val="20"/>
          <w:color w:val="auto"/>
        </w:rPr>
      </w:pPr>
    </w:p>
    <w:p>
      <w:pPr>
        <w:ind w:left="340" w:right="120" w:hanging="332"/>
        <w:spacing w:after="0" w:line="258"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for each Named Executive Officer computed in accordance with Financial Accounting Standards Board ASC Topic 718, excluding the effect of estimated forfeitures. The performance awards are calculated as of the grant date, based on the most probable outcomes of the respective performance goals. The aggregate grant date fair value of the performance-based awards granted in FY2025, assuming the maximum performance goals are achieved, are as follows: Mr. Batten, $1,240,597; and Mr. Knutson, $609,130. These calculations are based on the closing share price on the date of grant of $13.57.</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left="34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The following table presents separately the compensation expense recognized in FY2025 and in FY2024 for outstanding awards of performance stock (restricted stock units with performance conditions are included in the “Performance Stock” column), restricted stock and restricted stock units for Messrs. Batten and Knutson.</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100" w:type="dxa"/>
            <w:vAlign w:val="bottom"/>
            <w:tcBorders>
              <w:top w:val="single" w:sz="8" w:color="auto"/>
              <w:left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Restricted</w:t>
            </w:r>
          </w:p>
        </w:tc>
      </w:tr>
      <w:tr>
        <w:trPr>
          <w:trHeight w:val="234"/>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880" w:type="dxa"/>
            <w:vAlign w:val="bottom"/>
            <w:tcBorders>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Year</w:t>
            </w:r>
          </w:p>
        </w:tc>
        <w:tc>
          <w:tcPr>
            <w:tcW w:w="1740" w:type="dxa"/>
            <w:vAlign w:val="bottom"/>
            <w:tcBorders>
              <w:bottom w:val="single" w:sz="8" w:color="auto"/>
              <w:right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Performance Stock</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Restricted Stock</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Stock Units</w:t>
            </w:r>
          </w:p>
        </w:tc>
      </w:tr>
      <w:tr>
        <w:trPr>
          <w:trHeight w:val="223"/>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John H. Batten</w:t>
            </w:r>
          </w:p>
        </w:tc>
        <w:tc>
          <w:tcPr>
            <w:tcW w:w="188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989,527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270,555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130,594</w:t>
            </w:r>
          </w:p>
        </w:tc>
      </w:tr>
      <w:tr>
        <w:trPr>
          <w:trHeight w:val="223"/>
        </w:trPr>
        <w:tc>
          <w:tcPr>
            <w:tcW w:w="3100" w:type="dxa"/>
            <w:vAlign w:val="bottom"/>
            <w:tcBorders>
              <w:left w:val="single" w:sz="8" w:color="auto"/>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949,355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278,889</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100,004</w:t>
            </w:r>
          </w:p>
        </w:tc>
      </w:tr>
      <w:tr>
        <w:trPr>
          <w:trHeight w:val="223"/>
        </w:trPr>
        <w:tc>
          <w:tcPr>
            <w:tcW w:w="31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Jeffrey S. Knutson</w:t>
            </w:r>
          </w:p>
        </w:tc>
        <w:tc>
          <w:tcPr>
            <w:tcW w:w="188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485,863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132,842</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65,031</w:t>
            </w:r>
          </w:p>
        </w:tc>
      </w:tr>
      <w:tr>
        <w:trPr>
          <w:trHeight w:val="223"/>
        </w:trPr>
        <w:tc>
          <w:tcPr>
            <w:tcW w:w="3100" w:type="dxa"/>
            <w:vAlign w:val="bottom"/>
            <w:tcBorders>
              <w:left w:val="single" w:sz="8" w:color="auto"/>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399,296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136731</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60,001</w:t>
            </w:r>
          </w:p>
        </w:tc>
      </w:tr>
    </w:tbl>
    <w:p>
      <w:pPr>
        <w:spacing w:after="0" w:line="198" w:lineRule="exact"/>
        <w:rPr>
          <w:sz w:val="20"/>
          <w:szCs w:val="20"/>
          <w:color w:val="auto"/>
        </w:rPr>
      </w:pPr>
    </w:p>
    <w:p>
      <w:pPr>
        <w:ind w:left="340" w:right="6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cash bonuses earned in connection with achievement of specific performance targets under the Corporate Annual Incentive Plan, described in the narrative following the Summary Compensation Table.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represents above-market earnings on the SERP benefits of Mr. Batten. Mr. Batten’s SERP benefit was credited with 4.6% in earnings.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the following for each of the Named Executive Officers: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640" w:type="dxa"/>
            <w:vAlign w:val="bottom"/>
            <w:tcBorders>
              <w:top w:val="single" w:sz="8" w:color="auto"/>
              <w:left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Dividend</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right w:val="single" w:sz="8" w:color="auto"/>
            </w:tcBorders>
          </w:tcPr>
          <w:p>
            <w:pPr>
              <w:spacing w:after="0"/>
              <w:rPr>
                <w:sz w:val="18"/>
                <w:szCs w:val="18"/>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Equivalents</w:t>
            </w:r>
          </w:p>
        </w:tc>
        <w:tc>
          <w:tcPr>
            <w:tcW w:w="2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Paid on</w:t>
            </w:r>
          </w:p>
        </w:tc>
        <w:tc>
          <w:tcPr>
            <w:tcW w:w="22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401(k)</w:t>
            </w:r>
          </w:p>
        </w:tc>
        <w:tc>
          <w:tcPr>
            <w:tcW w:w="200" w:type="dxa"/>
            <w:vAlign w:val="bottom"/>
          </w:tcPr>
          <w:p>
            <w:pPr>
              <w:spacing w:after="0"/>
              <w:rPr>
                <w:sz w:val="18"/>
                <w:szCs w:val="18"/>
                <w:color w:val="auto"/>
              </w:rPr>
            </w:pPr>
          </w:p>
        </w:tc>
        <w:tc>
          <w:tcPr>
            <w:tcW w:w="1060" w:type="dxa"/>
            <w:vAlign w:val="bottom"/>
            <w:tcBorders>
              <w:right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Retirement</w:t>
            </w:r>
          </w:p>
        </w:tc>
        <w:tc>
          <w:tcPr>
            <w:tcW w:w="240" w:type="dxa"/>
            <w:vAlign w:val="bottom"/>
          </w:tcPr>
          <w:p>
            <w:pPr>
              <w:spacing w:after="0"/>
              <w:rPr>
                <w:sz w:val="18"/>
                <w:szCs w:val="18"/>
                <w:color w:val="auto"/>
              </w:rPr>
            </w:pPr>
          </w:p>
        </w:tc>
        <w:tc>
          <w:tcPr>
            <w:tcW w:w="100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Defined</w:t>
            </w:r>
          </w:p>
        </w:tc>
        <w:tc>
          <w:tcPr>
            <w:tcW w:w="18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5"/>
              </w:rPr>
              <w:t>Vested</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Prerequisites</w:t>
            </w: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16"/>
        </w:trPr>
        <w:tc>
          <w:tcPr>
            <w:tcW w:w="1640" w:type="dxa"/>
            <w:vAlign w:val="bottom"/>
            <w:tcBorders>
              <w:left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Company</w:t>
            </w:r>
          </w:p>
        </w:tc>
        <w:tc>
          <w:tcPr>
            <w:tcW w:w="12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Savings Plan</w:t>
            </w:r>
          </w:p>
        </w:tc>
        <w:tc>
          <w:tcPr>
            <w:tcW w:w="12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Contribution</w:t>
            </w:r>
          </w:p>
        </w:tc>
        <w:tc>
          <w:tcPr>
            <w:tcW w:w="180" w:type="dxa"/>
            <w:vAlign w:val="bottom"/>
          </w:tcPr>
          <w:p>
            <w:pPr>
              <w:spacing w:after="0"/>
              <w:rPr>
                <w:sz w:val="18"/>
                <w:szCs w:val="18"/>
                <w:color w:val="auto"/>
              </w:rPr>
            </w:pPr>
          </w:p>
        </w:tc>
        <w:tc>
          <w:tcPr>
            <w:tcW w:w="1000" w:type="dxa"/>
            <w:vAlign w:val="bottom"/>
            <w:tcBorders>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Life</w:t>
            </w:r>
          </w:p>
        </w:tc>
        <w:tc>
          <w:tcPr>
            <w:tcW w:w="180" w:type="dxa"/>
            <w:vAlign w:val="bottom"/>
          </w:tcPr>
          <w:p>
            <w:pPr>
              <w:spacing w:after="0"/>
              <w:rPr>
                <w:sz w:val="18"/>
                <w:szCs w:val="18"/>
                <w:color w:val="auto"/>
              </w:rPr>
            </w:pPr>
          </w:p>
        </w:tc>
        <w:tc>
          <w:tcPr>
            <w:tcW w:w="100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Restricted</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and Personal</w:t>
            </w:r>
          </w:p>
        </w:tc>
        <w:tc>
          <w:tcPr>
            <w:tcW w:w="2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34"/>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Match</w:t>
            </w:r>
          </w:p>
        </w:tc>
        <w:tc>
          <w:tcPr>
            <w:tcW w:w="12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Contribution</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SERP</w:t>
            </w: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Insurance</w:t>
            </w: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Stock Units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Benefits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J.H. Batten</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11,661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21,450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83,408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29,000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29,073</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177,106</w:t>
            </w:r>
          </w:p>
        </w:tc>
      </w:tr>
      <w:tr>
        <w:trPr>
          <w:trHeight w:val="223"/>
        </w:trPr>
        <w:tc>
          <w:tcPr>
            <w:tcW w:w="16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 Knutson</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11,492</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24,770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1,509</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37,771</w:t>
            </w:r>
          </w:p>
        </w:tc>
      </w:tr>
    </w:tbl>
    <w:p>
      <w:pPr>
        <w:spacing w:after="0" w:line="198" w:lineRule="exact"/>
        <w:rPr>
          <w:sz w:val="20"/>
          <w:szCs w:val="20"/>
          <w:color w:val="auto"/>
        </w:rPr>
      </w:pPr>
    </w:p>
    <w:p>
      <w:pPr>
        <w:ind w:left="260" w:right="260"/>
        <w:spacing w:after="0" w:line="282" w:lineRule="auto"/>
        <w:rPr>
          <w:sz w:val="20"/>
          <w:szCs w:val="20"/>
          <w:color w:val="auto"/>
        </w:rPr>
      </w:pPr>
      <w:r>
        <w:rPr>
          <w:rFonts w:ascii="Times New Roman" w:cs="Times New Roman" w:eastAsia="Times New Roman" w:hAnsi="Times New Roman"/>
          <w:sz w:val="18"/>
          <w:szCs w:val="18"/>
          <w:color w:val="auto"/>
        </w:rPr>
        <w:t>The Corporation’s Supplemental Executive Retirement Plan (“SERP”) was restated during FY2011 to provide a defined contribution formula for the benefits of Mr. Batten. Mr. Knutson does not participate in the SERP.</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Messrs. Batten and Knutson participate in an endorsement split-dollar life insurance plan.</w:t>
      </w:r>
    </w:p>
    <w:p>
      <w:pPr>
        <w:spacing w:after="0" w:line="225" w:lineRule="exact"/>
        <w:rPr>
          <w:sz w:val="20"/>
          <w:szCs w:val="20"/>
          <w:color w:val="auto"/>
        </w:rPr>
      </w:pPr>
    </w:p>
    <w:p>
      <w:pPr>
        <w:ind w:left="260" w:right="20"/>
        <w:spacing w:after="0" w:line="266" w:lineRule="auto"/>
        <w:rPr>
          <w:sz w:val="20"/>
          <w:szCs w:val="20"/>
          <w:color w:val="auto"/>
        </w:rPr>
      </w:pPr>
      <w:r>
        <w:rPr>
          <w:rFonts w:ascii="Times New Roman" w:cs="Times New Roman" w:eastAsia="Times New Roman" w:hAnsi="Times New Roman"/>
          <w:sz w:val="18"/>
          <w:szCs w:val="18"/>
          <w:color w:val="auto"/>
        </w:rPr>
        <w:t>Perquisites and Personal Benefits for Mr. Batten for FY2025 consist of personal use of the company plane (valued at $26,986) and supplemental long-term disability premiums. The aggregate total of perquisites and personal benefits for the remaining Named Executive Officer was less than $10,000 for FY2025, and therefore need not be disclosed or included in such Named Executive Officer’s “All Other Compensation” total.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FY2025, the Committee increased the base salary of Mr. Batten by 4.0% and Mr. Knutson by 4.0% effective October 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Awards Granted in FY2025</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amounts in the “Stock Awards” column of the Summary Compensation Table reflect awards made in FY2025 to the Named Executive Officers under the Twin Disc, Incorporated Amended and Restated 2021 Omnibus Incentive Plan. In FY2025, Messrs. Batten and Knutson received awards of performance stock, with Mr. Batten receiving a target number of 45,711 shares of performance stock and Mr. Knutson receiving a target number of 22,444 shares of performance stock. The Committee determined that the performance stock awards granted in FY2025 would use a combination of the following performance goals and weightings for the three-year performance period ending in FY2027: (i) average return on invested capital (50%), and (ii) cumulative EBITDA (50%). In addition, the possible range of long-term incentive payments for each performance goal is 50% to 200% of the target. These shares will vest on June 30, 2027 if the specific measures are achieved within the payout range.</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In order to incent and retain the Corporation’s executives, restricted stock was also granted to Messrs. Batten and Knutson in FY2025, with Mr. Batten receiving 30,474 restricted stock units and Mr. Knutson receiving 14,963 restricted stock units. Messrs. Batten and Knutson dividend equivalent awards, under which if and when their restricted stock units vest, they shall receive a payment equal to the cash dividends that would have been paid during the restricted period on the shares of stock represented by the restricted stock units (without interest), as well as any stock dividends that would have been issued during the restricted period on the shares of stock represented by the restricted stock unit. The restricted stock awards will vest on August 1, 2027, provided the executive remains employed with the Corporation until the vesting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Non-Equity Incentive Plan Compensation</w:t>
      </w:r>
    </w:p>
    <w:p>
      <w:pPr>
        <w:spacing w:after="0" w:line="22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The amounts in the “Non-Equity Incentive Plan Compensation” column of the Summary Compensation Table reflect cash bonuses earned in connection with achievement of specific performance targets under the Corporate Incentive Plan (“CIP”). For FY2025, the target bonuses as a percentage of base salary were set at 85% for Mr. Batten and 55% for Mr. Knutson. The CIP targets for the Named Executive Officers were based on a combination of net sales, EBITDA percentage of net sales, and inventory percentage of net sales as well as on achievement of certain strategic objectives.</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w:t>
            </w:r>
          </w:p>
        </w:tc>
        <w:tc>
          <w:tcPr>
            <w:tcW w:w="39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580" w:type="dxa"/>
            <w:vAlign w:val="bottom"/>
            <w:tcBorders>
              <w:top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580" w:type="dxa"/>
            <w:vAlign w:val="bottom"/>
            <w:tcBorders>
              <w:top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Achieved</w:t>
            </w:r>
          </w:p>
        </w:tc>
      </w:tr>
      <w:tr>
        <w:trPr>
          <w:trHeight w:val="223"/>
        </w:trPr>
        <w:tc>
          <w:tcPr>
            <w:tcW w:w="28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Target: $336,000,000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$340,738,000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113.9%</w:t>
            </w:r>
          </w:p>
        </w:tc>
      </w:tr>
      <w:tr>
        <w:trPr>
          <w:trHeight w:val="223"/>
        </w:trPr>
        <w:tc>
          <w:tcPr>
            <w:tcW w:w="284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Threshold: $302,000,000</w:t>
            </w: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23"/>
        </w:trPr>
        <w:tc>
          <w:tcPr>
            <w:tcW w:w="284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Maximum: $370,000,000</w:t>
            </w: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09"/>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r>
      <w:tr>
        <w:trPr>
          <w:trHeight w:val="223"/>
        </w:trPr>
        <w:tc>
          <w:tcPr>
            <w:tcW w:w="28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EBITDA Percent of Net Sales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Target = 10.0%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64.0%</w:t>
            </w:r>
          </w:p>
        </w:tc>
      </w:tr>
      <w:tr>
        <w:trPr>
          <w:trHeight w:val="223"/>
        </w:trPr>
        <w:tc>
          <w:tcPr>
            <w:tcW w:w="284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Threshold = 9.0%</w:t>
            </w: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23"/>
        </w:trPr>
        <w:tc>
          <w:tcPr>
            <w:tcW w:w="284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Maximum = 11.0%</w:t>
            </w: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09"/>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r>
      <w:tr>
        <w:trPr>
          <w:trHeight w:val="223"/>
        </w:trPr>
        <w:tc>
          <w:tcPr>
            <w:tcW w:w="28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Inventory Percent of Net Sales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Target = 37.8%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65.8%</w:t>
            </w:r>
          </w:p>
        </w:tc>
      </w:tr>
      <w:tr>
        <w:trPr>
          <w:trHeight w:val="223"/>
        </w:trPr>
        <w:tc>
          <w:tcPr>
            <w:tcW w:w="284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Threshold = 42.5%</w:t>
            </w: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23"/>
        </w:trPr>
        <w:tc>
          <w:tcPr>
            <w:tcW w:w="2840" w:type="dxa"/>
            <w:vAlign w:val="bottom"/>
            <w:tcBorders>
              <w:left w:val="single" w:sz="8" w:color="auto"/>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Maximum = 33.1%</w:t>
            </w: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r>
        <w:trPr>
          <w:trHeight w:val="210"/>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r>
      <w:tr>
        <w:trPr>
          <w:trHeight w:val="223"/>
        </w:trPr>
        <w:tc>
          <w:tcPr>
            <w:tcW w:w="28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Strategic Objective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Corporate Growth</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9"/>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390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r>
      <w:tr>
        <w:trPr>
          <w:trHeight w:val="223"/>
        </w:trPr>
        <w:tc>
          <w:tcPr>
            <w:tcW w:w="28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Strategic Objective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3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Individual Performance</w:t>
            </w:r>
          </w:p>
        </w:tc>
        <w:tc>
          <w:tcPr>
            <w:tcW w:w="158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results described in the table above, the CIP paid at 81.9% and 84.9% of the target amounts for Mr. Batten and Mr. Knutson,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Decisions Made by the Committee in FY2026</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Since the end of FY2025, the Committee has taken the following actions with respect to the base salary, annual incentive compensation, and long-term incentive compensation for its Named 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their meeting in August 2025, the Committee approved a 4.2% increase in the base salary of Mr. Knutson. Mr. Batten’s salary remained unchanged.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Annual Incentive Compensation</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August 2025, the Committee reviewed and approved the performance goals recommended for the CIP for FY2026. The CIP will pay out if certain net sales, EBITDA as a percentage of net sales, inventory as a percentage of net sales, and strategic objectives relating to growth and individual performance, are achieved for FY2026. The Committee set the target bonus percentages (as a percentage of base salary) for each of the Named Executive Officers for FY2026 as follows: 100% for Mr. Batten and 55% for Mr. Knutson.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Incentive Compensation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August 2025, the Committee reviewed the performance objective established in August of 2022 for the vesting of performance stock and restricted stock with performance conditions that were granted in August 2022 under the Twin Disc, Incorporated 2021 Long-Term Incentive Compensation Plan. The objective is listed below:</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Performance Objective: Average Return on Invested Capital (also called Average Return on Total Capital), and Cumulative EBITDA for the three fiscal years ending 6/30/2025 at the achievement levels specified below. Average Return on Invested Capital was weighted at 50% and Cumulative EBITDA was weighted at 50% of the performance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700395" cy="1045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1045845"/>
                    </a:xfrm>
                    <a:prstGeom prst="rect">
                      <a:avLst/>
                    </a:prstGeom>
                    <a:noFill/>
                  </pic:spPr>
                </pic:pic>
              </a:graphicData>
            </a:graphic>
          </wp:anchor>
        </w:drawing>
      </w:r>
    </w:p>
    <w:p>
      <w:pPr>
        <w:spacing w:after="0" w:line="18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Performance of Objective as June 30,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40" w:type="dxa"/>
            <w:vAlign w:val="bottom"/>
            <w:tcBorders>
              <w:top w:val="single" w:sz="8" w:color="auto"/>
              <w:right w:val="single" w:sz="8" w:color="auto"/>
            </w:tcBorders>
          </w:tcPr>
          <w:p>
            <w:pPr>
              <w:spacing w:after="0"/>
              <w:rPr>
                <w:sz w:val="16"/>
                <w:szCs w:val="16"/>
                <w:color w:val="auto"/>
              </w:rPr>
            </w:pPr>
          </w:p>
        </w:tc>
        <w:tc>
          <w:tcPr>
            <w:tcW w:w="2880" w:type="dxa"/>
            <w:vAlign w:val="bottom"/>
            <w:tcBorders>
              <w:top w:val="single" w:sz="8" w:color="auto"/>
              <w:right w:val="single" w:sz="8" w:color="auto"/>
            </w:tcBorders>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Avg. Return on Invested Capital</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210"/>
              <w:spacing w:after="0" w:line="191" w:lineRule="exact"/>
              <w:rPr>
                <w:sz w:val="20"/>
                <w:szCs w:val="20"/>
                <w:color w:val="auto"/>
              </w:rPr>
            </w:pPr>
            <w:r>
              <w:rPr>
                <w:rFonts w:ascii="Times New Roman" w:cs="Times New Roman" w:eastAsia="Times New Roman" w:hAnsi="Times New Roman"/>
                <w:sz w:val="18"/>
                <w:szCs w:val="18"/>
                <w:color w:val="auto"/>
                <w:w w:val="99"/>
              </w:rPr>
              <w:t>Cumulative</w:t>
            </w:r>
          </w:p>
        </w:tc>
      </w:tr>
      <w:tr>
        <w:trPr>
          <w:trHeight w:val="216"/>
        </w:trPr>
        <w:tc>
          <w:tcPr>
            <w:tcW w:w="444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(a/k/a Avg. Return on Total Capital)</w:t>
            </w:r>
          </w:p>
        </w:tc>
        <w:tc>
          <w:tcPr>
            <w:tcW w:w="280" w:type="dxa"/>
            <w:vAlign w:val="bottom"/>
          </w:tcPr>
          <w:p>
            <w:pPr>
              <w:spacing w:after="0"/>
              <w:rPr>
                <w:sz w:val="18"/>
                <w:szCs w:val="18"/>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EBITDA</w:t>
            </w:r>
          </w:p>
        </w:tc>
      </w:tr>
      <w:tr>
        <w:trPr>
          <w:trHeight w:val="234"/>
        </w:trPr>
        <w:tc>
          <w:tcPr>
            <w:tcW w:w="444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7"/>
              </w:rPr>
              <w:t>(50%)</w:t>
            </w:r>
          </w:p>
        </w:tc>
      </w:tr>
      <w:tr>
        <w:trPr>
          <w:trHeight w:val="223"/>
        </w:trPr>
        <w:tc>
          <w:tcPr>
            <w:tcW w:w="4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288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120,000,000</w:t>
            </w:r>
          </w:p>
        </w:tc>
      </w:tr>
      <w:tr>
        <w:trPr>
          <w:trHeight w:val="223"/>
        </w:trPr>
        <w:tc>
          <w:tcPr>
            <w:tcW w:w="4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Target</w:t>
            </w:r>
          </w:p>
        </w:tc>
        <w:tc>
          <w:tcPr>
            <w:tcW w:w="288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70,000,000</w:t>
            </w:r>
          </w:p>
        </w:tc>
      </w:tr>
      <w:tr>
        <w:trPr>
          <w:trHeight w:val="223"/>
        </w:trPr>
        <w:tc>
          <w:tcPr>
            <w:tcW w:w="4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2880" w:type="dxa"/>
            <w:vAlign w:val="bottom"/>
            <w:tcBorders>
              <w:bottom w:val="single" w:sz="8" w:color="auto"/>
              <w:right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45,000,000</w:t>
            </w: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“Average Return on Invested Capital” (also known as Average Return on Total Capital) is defined as the average amount of “Return on Invested Capital” for the three fiscal years of the Performance Period. Return on Invested Capital is measured as Net Operating Profit After Taxes (NOPAT) divided by Invested Capital, where NOPAT equals earnings from operations, less tax, calculated using the actual reported effective tax rate, and Invested Capital equals long-term debt plus shareholders equity.</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“Cumulative EBITDA” is defined as the cumulative total of net earnings or loss excluding interest expense, income taxes, depreciation, amortization and other items as determined by the Compensation and Human Capital Committee.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Committee determined, subject to audit, that for the three-year period ending June 30, 2025, the Corporation’s Average Return on Invested Capital was 6.40% and the Cumulative EBITDA was $86,170,000. As a result, the Corporation achieved 200.0% of its Average Return on Invested Capital goal (weighted 50%) and 132.3% of its Cumulative EBITDA goal (weighted 50%). The Committee therefore determined that the performance stock and restricted stock units with performance conditions would vest at 166.2% of target.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FY2026, the awards use a combination of the following performance goals and weightings for the three fiscal year performance period ending June 30, 2028: (i) average return on invested capital (also known as average return on total capital) (50%), and (ii) cumulative EBITDA (50%). In addition, the possible range of long-term incentive payments for each performance goal will be 50% - 200% of the target. The Committee awarded performance stock and restricted stock units as long-term incentive awards in FY2026.</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Grants of Plan-Based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plan-based incentive awards granted to our Named Executive Officers during FY2025:</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600" w:type="dxa"/>
            <w:vAlign w:val="bottom"/>
            <w:tcBorders>
              <w:top w:val="single" w:sz="8" w:color="auto"/>
              <w:lef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40" w:type="dxa"/>
            <w:vAlign w:val="bottom"/>
            <w:tcBorders>
              <w:top w:val="single" w:sz="8" w:color="auto"/>
              <w:right w:val="single" w:sz="8" w:color="auto"/>
            </w:tcBorders>
            <w:gridSpan w:val="5"/>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Estimated Future Cash</w:t>
            </w:r>
          </w:p>
        </w:tc>
        <w:tc>
          <w:tcPr>
            <w:tcW w:w="1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40" w:type="dxa"/>
            <w:vAlign w:val="bottom"/>
            <w:tcBorders>
              <w:right w:val="single" w:sz="8" w:color="auto"/>
            </w:tcBorders>
            <w:gridSpan w:val="5"/>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Incentive Payouts Under</w:t>
            </w:r>
          </w:p>
        </w:tc>
        <w:tc>
          <w:tcPr>
            <w:tcW w:w="3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Future Share or</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Non-Equity Incentive</w:t>
            </w:r>
          </w:p>
        </w:tc>
        <w:tc>
          <w:tcPr>
            <w:tcW w:w="860" w:type="dxa"/>
            <w:vAlign w:val="bottom"/>
            <w:tcBorders>
              <w:right w:val="single" w:sz="8" w:color="auto"/>
            </w:tcBorders>
          </w:tcPr>
          <w:p>
            <w:pPr>
              <w:spacing w:after="0"/>
              <w:rPr>
                <w:sz w:val="18"/>
                <w:szCs w:val="18"/>
                <w:color w:val="auto"/>
              </w:rPr>
            </w:pPr>
          </w:p>
        </w:tc>
        <w:tc>
          <w:tcPr>
            <w:tcW w:w="33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 Payouts Under Equity</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38"/>
        </w:trPr>
        <w:tc>
          <w:tcPr>
            <w:tcW w:w="1600" w:type="dxa"/>
            <w:vAlign w:val="bottom"/>
            <w:tcBorders>
              <w:left w:val="single" w:sz="8" w:color="auto"/>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Incentive Plan Awards</w:t>
            </w: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191"/>
        </w:trPr>
        <w:tc>
          <w:tcPr>
            <w:tcW w:w="1600" w:type="dxa"/>
            <w:vAlign w:val="bottom"/>
            <w:tcBorders>
              <w:left w:val="single" w:sz="8" w:color="auto"/>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All other</w:t>
            </w: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0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Grant Date</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awards;</w:t>
            </w:r>
          </w:p>
        </w:tc>
        <w:tc>
          <w:tcPr>
            <w:tcW w:w="10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200" w:type="dxa"/>
            <w:vAlign w:val="bottom"/>
          </w:tcPr>
          <w:p>
            <w:pPr>
              <w:spacing w:after="0"/>
              <w:rPr>
                <w:sz w:val="18"/>
                <w:szCs w:val="18"/>
                <w:color w:val="auto"/>
              </w:rPr>
            </w:pPr>
          </w:p>
        </w:tc>
        <w:tc>
          <w:tcPr>
            <w:tcW w:w="880" w:type="dxa"/>
            <w:vAlign w:val="bottom"/>
            <w:tcBorders>
              <w:right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of Stock</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w:t>
            </w:r>
          </w:p>
        </w:tc>
        <w:tc>
          <w:tcPr>
            <w:tcW w:w="1120" w:type="dxa"/>
            <w:vAlign w:val="bottom"/>
            <w:tcBorders>
              <w:right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Threshold</w:t>
            </w:r>
          </w:p>
        </w:tc>
        <w:tc>
          <w:tcPr>
            <w:tcW w:w="240" w:type="dxa"/>
            <w:vAlign w:val="bottom"/>
          </w:tcPr>
          <w:p>
            <w:pPr>
              <w:spacing w:after="0"/>
              <w:rPr>
                <w:sz w:val="18"/>
                <w:szCs w:val="18"/>
                <w:color w:val="auto"/>
              </w:rPr>
            </w:pPr>
          </w:p>
        </w:tc>
        <w:tc>
          <w:tcPr>
            <w:tcW w:w="860" w:type="dxa"/>
            <w:vAlign w:val="bottom"/>
            <w:tcBorders>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Target</w:t>
            </w:r>
          </w:p>
        </w:tc>
        <w:tc>
          <w:tcPr>
            <w:tcW w:w="1120" w:type="dxa"/>
            <w:vAlign w:val="bottom"/>
            <w:tcBorders>
              <w:right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Maximum</w:t>
            </w: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Threshold</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Target</w:t>
            </w:r>
          </w:p>
        </w:tc>
        <w:tc>
          <w:tcPr>
            <w:tcW w:w="11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Maximum</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shares of</w:t>
            </w:r>
          </w:p>
        </w:tc>
        <w:tc>
          <w:tcPr>
            <w:tcW w:w="10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and Option</w:t>
            </w:r>
          </w:p>
        </w:tc>
      </w:tr>
      <w:tr>
        <w:trPr>
          <w:trHeight w:val="234"/>
        </w:trPr>
        <w:tc>
          <w:tcPr>
            <w:tcW w:w="1600" w:type="dxa"/>
            <w:vAlign w:val="bottom"/>
            <w:tcBorders>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Name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5"/>
              </w:rPr>
              <w: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10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stock or units</w:t>
            </w:r>
          </w:p>
        </w:tc>
        <w:tc>
          <w:tcPr>
            <w:tcW w:w="1080" w:type="dxa"/>
            <w:vAlign w:val="bottom"/>
            <w:tcBorders>
              <w:bottom w:val="single" w:sz="8" w:color="auto"/>
              <w:right w:val="single" w:sz="8" w:color="auto"/>
            </w:tcBorders>
            <w:gridSpan w:val="2"/>
          </w:tcPr>
          <w:p>
            <w:pPr>
              <w:jc w:val="center"/>
              <w:spacing w:after="0" w:line="235" w:lineRule="exact"/>
              <w:rPr>
                <w:sz w:val="20"/>
                <w:szCs w:val="20"/>
                <w:color w:val="auto"/>
              </w:rPr>
            </w:pPr>
            <w:r>
              <w:rPr>
                <w:rFonts w:ascii="Times New Roman" w:cs="Times New Roman" w:eastAsia="Times New Roman" w:hAnsi="Times New Roman"/>
                <w:sz w:val="17"/>
                <w:szCs w:val="17"/>
                <w:color w:val="auto"/>
                <w:w w:val="97"/>
              </w:rPr>
              <w:t xml:space="preserve">Awards </w:t>
            </w:r>
            <w:r>
              <w:rPr>
                <w:rFonts w:ascii="Times New Roman" w:cs="Times New Roman" w:eastAsia="Times New Roman" w:hAnsi="Times New Roman"/>
                <w:sz w:val="27"/>
                <w:szCs w:val="27"/>
                <w:color w:val="auto"/>
                <w:w w:val="97"/>
                <w:vertAlign w:val="superscript"/>
              </w:rPr>
              <w:t>(3)</w:t>
            </w:r>
          </w:p>
        </w:tc>
      </w:tr>
      <w:tr>
        <w:trPr>
          <w:trHeight w:val="223"/>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John H. Batten</w:t>
            </w:r>
          </w:p>
        </w:tc>
        <w:tc>
          <w:tcPr>
            <w:tcW w:w="68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223"/>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Incentive</w:t>
            </w:r>
          </w:p>
        </w:tc>
        <w:tc>
          <w:tcPr>
            <w:tcW w:w="68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302,630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605,260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7"/>
              </w:rPr>
              <w:t>1,210,521</w:t>
            </w: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191"/>
        </w:trPr>
        <w:tc>
          <w:tcPr>
            <w:tcW w:w="16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Performance Stock</w:t>
            </w:r>
          </w:p>
        </w:tc>
        <w:tc>
          <w:tcPr>
            <w:tcW w:w="6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600" w:type="dxa"/>
            <w:vAlign w:val="bottom"/>
            <w:tcBorders>
              <w:left w:val="single" w:sz="8" w:color="auto"/>
              <w:bottom w:val="single" w:sz="8" w:color="auto"/>
              <w:right w:val="single" w:sz="8" w:color="auto"/>
            </w:tcBorders>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Award </w:t>
            </w:r>
            <w:r>
              <w:rPr>
                <w:rFonts w:ascii="Times New Roman" w:cs="Times New Roman" w:eastAsia="Times New Roman" w:hAnsi="Times New Roman"/>
                <w:sz w:val="27"/>
                <w:szCs w:val="27"/>
                <w:color w:val="auto"/>
                <w:vertAlign w:val="superscript"/>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8/1/2024</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22,856</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45,711</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91,422</w:t>
            </w:r>
          </w:p>
        </w:tc>
        <w:tc>
          <w:tcPr>
            <w:tcW w:w="12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620,298</w:t>
            </w:r>
          </w:p>
        </w:tc>
      </w:tr>
      <w:tr>
        <w:trPr>
          <w:trHeight w:val="191"/>
        </w:trPr>
        <w:tc>
          <w:tcPr>
            <w:tcW w:w="16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Restricted Stock Unit</w:t>
            </w:r>
          </w:p>
        </w:tc>
        <w:tc>
          <w:tcPr>
            <w:tcW w:w="6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600" w:type="dxa"/>
            <w:vAlign w:val="bottom"/>
            <w:tcBorders>
              <w:left w:val="single" w:sz="8" w:color="auto"/>
              <w:bottom w:val="single" w:sz="8" w:color="auto"/>
              <w:right w:val="single" w:sz="8" w:color="auto"/>
            </w:tcBorders>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Award </w:t>
            </w:r>
            <w:r>
              <w:rPr>
                <w:rFonts w:ascii="Times New Roman" w:cs="Times New Roman" w:eastAsia="Times New Roman" w:hAnsi="Times New Roman"/>
                <w:sz w:val="27"/>
                <w:szCs w:val="27"/>
                <w:color w:val="auto"/>
                <w:vertAlign w:val="superscript"/>
              </w:rPr>
              <w:t>(2)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8/1/2024</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30,474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413,532</w:t>
            </w:r>
          </w:p>
        </w:tc>
      </w:tr>
      <w:tr>
        <w:trPr>
          <w:trHeight w:val="209"/>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r>
      <w:tr>
        <w:trPr>
          <w:trHeight w:val="223"/>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Jeffrey S. Knutson</w:t>
            </w:r>
          </w:p>
        </w:tc>
        <w:tc>
          <w:tcPr>
            <w:tcW w:w="68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223"/>
        </w:trPr>
        <w:tc>
          <w:tcPr>
            <w:tcW w:w="16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Incentive</w:t>
            </w:r>
          </w:p>
        </w:tc>
        <w:tc>
          <w:tcPr>
            <w:tcW w:w="68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115,326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230,653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461,306</w:t>
            </w:r>
          </w:p>
        </w:tc>
        <w:tc>
          <w:tcPr>
            <w:tcW w:w="11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spacing w:after="0"/>
              <w:rPr>
                <w:sz w:val="19"/>
                <w:szCs w:val="19"/>
                <w:color w:val="auto"/>
              </w:rPr>
            </w:pPr>
          </w:p>
        </w:tc>
        <w:tc>
          <w:tcPr>
            <w:tcW w:w="122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191"/>
        </w:trPr>
        <w:tc>
          <w:tcPr>
            <w:tcW w:w="16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Performance Stock</w:t>
            </w:r>
          </w:p>
        </w:tc>
        <w:tc>
          <w:tcPr>
            <w:tcW w:w="6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600" w:type="dxa"/>
            <w:vAlign w:val="bottom"/>
            <w:tcBorders>
              <w:left w:val="single" w:sz="8" w:color="auto"/>
              <w:bottom w:val="single" w:sz="8" w:color="auto"/>
              <w:right w:val="single" w:sz="8" w:color="auto"/>
            </w:tcBorders>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Award </w:t>
            </w:r>
            <w:r>
              <w:rPr>
                <w:rFonts w:ascii="Times New Roman" w:cs="Times New Roman" w:eastAsia="Times New Roman" w:hAnsi="Times New Roman"/>
                <w:sz w:val="27"/>
                <w:szCs w:val="27"/>
                <w:color w:val="auto"/>
                <w:vertAlign w:val="superscript"/>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8/1/2024</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11,222</w:t>
            </w:r>
          </w:p>
        </w:tc>
        <w:tc>
          <w:tcPr>
            <w:tcW w:w="11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22,444</w:t>
            </w:r>
          </w:p>
        </w:tc>
        <w:tc>
          <w:tcPr>
            <w:tcW w:w="110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44,888</w:t>
            </w:r>
          </w:p>
        </w:tc>
        <w:tc>
          <w:tcPr>
            <w:tcW w:w="12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304,565</w:t>
            </w:r>
          </w:p>
        </w:tc>
      </w:tr>
      <w:tr>
        <w:trPr>
          <w:trHeight w:val="191"/>
        </w:trPr>
        <w:tc>
          <w:tcPr>
            <w:tcW w:w="160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w w:val="99"/>
              </w:rPr>
              <w:t>Restricted Stock Unit</w:t>
            </w:r>
          </w:p>
        </w:tc>
        <w:tc>
          <w:tcPr>
            <w:tcW w:w="6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34"/>
        </w:trPr>
        <w:tc>
          <w:tcPr>
            <w:tcW w:w="1600" w:type="dxa"/>
            <w:vAlign w:val="bottom"/>
            <w:tcBorders>
              <w:left w:val="single" w:sz="8" w:color="auto"/>
              <w:bottom w:val="single" w:sz="8" w:color="auto"/>
              <w:right w:val="single" w:sz="8" w:color="auto"/>
            </w:tcBorders>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Award </w:t>
            </w:r>
            <w:r>
              <w:rPr>
                <w:rFonts w:ascii="Times New Roman" w:cs="Times New Roman" w:eastAsia="Times New Roman" w:hAnsi="Times New Roman"/>
                <w:sz w:val="27"/>
                <w:szCs w:val="27"/>
                <w:color w:val="auto"/>
                <w:vertAlign w:val="superscript"/>
              </w:rPr>
              <w:t>(2)</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8/1/2024</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14,963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203,047</w:t>
            </w:r>
          </w:p>
        </w:tc>
      </w:tr>
    </w:tbl>
    <w:p>
      <w:pPr>
        <w:spacing w:after="0" w:line="198" w:lineRule="exact"/>
        <w:rPr>
          <w:sz w:val="20"/>
          <w:szCs w:val="20"/>
          <w:color w:val="auto"/>
        </w:rPr>
      </w:pPr>
    </w:p>
    <w:p>
      <w:pPr>
        <w:ind w:left="340" w:right="220" w:hanging="332"/>
        <w:spacing w:after="0" w:line="261"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performance stock awards, as discussed in the “Long-Term Incentive Compensation” section of the Executive Compensation discussion; eligible for vesting in 2027.</w:t>
      </w:r>
    </w:p>
    <w:p>
      <w:pPr>
        <w:ind w:left="340" w:right="60" w:hanging="332"/>
        <w:spacing w:after="0" w:line="250"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restricted stock unit awards with a vesting date of August 1, 2027. These stock awards will vest if the executive remains employed through the vesting date.</w:t>
      </w: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values are calculated using the closing price of Twin Disc shares on August 1, 2024 (the grant date) of $13.57.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restricted stock, performance stock and restricted stock unit awards held by our Named Executive Officers on June 30, 2025. The Named Executive Officers had no outstanding exercisable or unexercisable options outstanding on June 30, 2025.</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380" w:type="dxa"/>
            <w:vAlign w:val="bottom"/>
            <w:tcBorders>
              <w:top w:val="single" w:sz="8" w:color="auto"/>
              <w:left w:val="single" w:sz="8" w:color="auto"/>
              <w:right w:val="single" w:sz="8" w:color="auto"/>
            </w:tcBorders>
          </w:tcPr>
          <w:p>
            <w:pPr>
              <w:spacing w:after="0"/>
              <w:rPr>
                <w:sz w:val="16"/>
                <w:szCs w:val="16"/>
                <w:color w:val="auto"/>
              </w:rPr>
            </w:pPr>
          </w:p>
        </w:tc>
        <w:tc>
          <w:tcPr>
            <w:tcW w:w="230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spacing w:after="0"/>
              <w:rPr>
                <w:sz w:val="16"/>
                <w:szCs w:val="16"/>
                <w:color w:val="auto"/>
              </w:rPr>
            </w:pPr>
          </w:p>
        </w:tc>
        <w:tc>
          <w:tcPr>
            <w:tcW w:w="2000" w:type="dxa"/>
            <w:vAlign w:val="bottom"/>
            <w:tcBorders>
              <w:top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Equity Incentive Plan</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 Incentive Plan</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Awards: Market or Payout</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Awards: Number of</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Value of Unearned</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Number of Shares or</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Market Value of Shares</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Unearned Shares,Units or</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Shares,Units or Other</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Units of Stock That Have</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Units of Stock That</w:t>
            </w:r>
          </w:p>
        </w:tc>
        <w:tc>
          <w:tcPr>
            <w:tcW w:w="2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Other Rights That Have</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Rights That Have Not</w:t>
            </w:r>
          </w:p>
        </w:tc>
      </w:tr>
      <w:tr>
        <w:trPr>
          <w:trHeight w:val="234"/>
        </w:trPr>
        <w:tc>
          <w:tcPr>
            <w:tcW w:w="23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Name and Grant Date</w:t>
            </w:r>
          </w:p>
        </w:tc>
        <w:tc>
          <w:tcPr>
            <w:tcW w:w="2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Not Vested</w:t>
            </w:r>
          </w:p>
        </w:tc>
        <w:tc>
          <w:tcPr>
            <w:tcW w:w="228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rPr>
              <w:t xml:space="preserve">Have Not Vested </w:t>
            </w:r>
            <w:r>
              <w:rPr>
                <w:rFonts w:ascii="Times New Roman" w:cs="Times New Roman" w:eastAsia="Times New Roman" w:hAnsi="Times New Roman"/>
                <w:sz w:val="27"/>
                <w:szCs w:val="27"/>
                <w:color w:val="auto"/>
                <w:vertAlign w:val="superscript"/>
              </w:rPr>
              <w:t>(6)</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Not Vested</w:t>
            </w:r>
          </w:p>
        </w:tc>
        <w:tc>
          <w:tcPr>
            <w:tcW w:w="2000" w:type="dxa"/>
            <w:vAlign w:val="bottom"/>
            <w:tcBorders>
              <w:bottom w:val="single" w:sz="8" w:color="auto"/>
              <w:right w:val="single" w:sz="8" w:color="auto"/>
            </w:tcBorders>
          </w:tcPr>
          <w:p>
            <w:pPr>
              <w:jc w:val="center"/>
              <w:spacing w:after="0" w:line="235" w:lineRule="exact"/>
              <w:rPr>
                <w:sz w:val="20"/>
                <w:szCs w:val="20"/>
                <w:color w:val="auto"/>
              </w:rPr>
            </w:pPr>
            <w:r>
              <w:rPr>
                <w:rFonts w:ascii="Times New Roman" w:cs="Times New Roman" w:eastAsia="Times New Roman" w:hAnsi="Times New Roman"/>
                <w:sz w:val="17"/>
                <w:szCs w:val="17"/>
                <w:color w:val="auto"/>
                <w:w w:val="96"/>
              </w:rPr>
              <w:t xml:space="preserve">Vested </w:t>
            </w:r>
            <w:r>
              <w:rPr>
                <w:rFonts w:ascii="Times New Roman" w:cs="Times New Roman" w:eastAsia="Times New Roman" w:hAnsi="Times New Roman"/>
                <w:sz w:val="27"/>
                <w:szCs w:val="27"/>
                <w:color w:val="auto"/>
                <w:w w:val="96"/>
                <w:vertAlign w:val="superscript"/>
              </w:rPr>
              <w:t>(6)</w:t>
            </w:r>
          </w:p>
        </w:tc>
      </w:tr>
      <w:tr>
        <w:trPr>
          <w:trHeight w:val="209"/>
        </w:trPr>
        <w:tc>
          <w:tcPr>
            <w:tcW w:w="23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John H. Batten</w:t>
            </w:r>
          </w:p>
        </w:tc>
        <w:tc>
          <w:tcPr>
            <w:tcW w:w="2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r>
        <w:trPr>
          <w:trHeight w:val="210"/>
        </w:trPr>
        <w:tc>
          <w:tcPr>
            <w:tcW w:w="23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8/3/2022</w:t>
            </w:r>
          </w:p>
        </w:tc>
        <w:tc>
          <w:tcPr>
            <w:tcW w:w="23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48,251 </w:t>
            </w:r>
            <w:r>
              <w:rPr>
                <w:rFonts w:ascii="Times New Roman" w:cs="Times New Roman" w:eastAsia="Times New Roman" w:hAnsi="Times New Roman"/>
                <w:sz w:val="24"/>
                <w:szCs w:val="24"/>
                <w:color w:val="auto"/>
                <w:vertAlign w:val="superscript"/>
              </w:rPr>
              <w:t>(2)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$426,056</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(3)</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23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8/3/2023</w:t>
            </w:r>
          </w:p>
        </w:tc>
        <w:tc>
          <w:tcPr>
            <w:tcW w:w="23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32,933 </w:t>
            </w:r>
            <w:r>
              <w:rPr>
                <w:rFonts w:ascii="Times New Roman" w:cs="Times New Roman" w:eastAsia="Times New Roman" w:hAnsi="Times New Roman"/>
                <w:sz w:val="24"/>
                <w:szCs w:val="24"/>
                <w:color w:val="auto"/>
                <w:vertAlign w:val="superscript"/>
              </w:rPr>
              <w:t>(2)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$290,798</w:t>
            </w:r>
          </w:p>
        </w:tc>
        <w:tc>
          <w:tcPr>
            <w:tcW w:w="22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98,798 </w:t>
            </w:r>
            <w:r>
              <w:rPr>
                <w:rFonts w:ascii="Times New Roman" w:cs="Times New Roman" w:eastAsia="Times New Roman" w:hAnsi="Times New Roman"/>
                <w:sz w:val="24"/>
                <w:szCs w:val="24"/>
                <w:color w:val="auto"/>
                <w:vertAlign w:val="superscript"/>
              </w:rPr>
              <w:t>(4)</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$872,386</w:t>
            </w:r>
          </w:p>
        </w:tc>
      </w:tr>
      <w:tr>
        <w:trPr>
          <w:trHeight w:val="209"/>
        </w:trPr>
        <w:tc>
          <w:tcPr>
            <w:tcW w:w="23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8/1/2024</w:t>
            </w:r>
          </w:p>
        </w:tc>
        <w:tc>
          <w:tcPr>
            <w:tcW w:w="23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30,474 </w:t>
            </w:r>
            <w:r>
              <w:rPr>
                <w:rFonts w:ascii="Times New Roman" w:cs="Times New Roman" w:eastAsia="Times New Roman" w:hAnsi="Times New Roman"/>
                <w:sz w:val="24"/>
                <w:szCs w:val="24"/>
                <w:color w:val="auto"/>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$269,085</w:t>
            </w:r>
          </w:p>
        </w:tc>
        <w:tc>
          <w:tcPr>
            <w:tcW w:w="22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91,422 </w:t>
            </w:r>
            <w:r>
              <w:rPr>
                <w:rFonts w:ascii="Times New Roman" w:cs="Times New Roman" w:eastAsia="Times New Roman" w:hAnsi="Times New Roman"/>
                <w:sz w:val="24"/>
                <w:szCs w:val="24"/>
                <w:color w:val="auto"/>
                <w:vertAlign w:val="superscript"/>
              </w:rPr>
              <w:t>(5)</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$807,256</w:t>
            </w:r>
          </w:p>
        </w:tc>
      </w:tr>
      <w:tr>
        <w:trPr>
          <w:trHeight w:val="210"/>
        </w:trPr>
        <w:tc>
          <w:tcPr>
            <w:tcW w:w="23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Jeffrey S. Knutson</w:t>
            </w:r>
          </w:p>
        </w:tc>
        <w:tc>
          <w:tcPr>
            <w:tcW w:w="230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r>
      <w:tr>
        <w:trPr>
          <w:trHeight w:val="209"/>
        </w:trPr>
        <w:tc>
          <w:tcPr>
            <w:tcW w:w="23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8/3/2022</w:t>
            </w:r>
          </w:p>
        </w:tc>
        <w:tc>
          <w:tcPr>
            <w:tcW w:w="23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23,691 </w:t>
            </w:r>
            <w:r>
              <w:rPr>
                <w:rFonts w:ascii="Times New Roman" w:cs="Times New Roman" w:eastAsia="Times New Roman" w:hAnsi="Times New Roman"/>
                <w:sz w:val="24"/>
                <w:szCs w:val="24"/>
                <w:color w:val="auto"/>
                <w:vertAlign w:val="superscript"/>
              </w:rPr>
              <w:t>(2)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$209,192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(3)</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23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8/3/2023</w:t>
            </w:r>
          </w:p>
        </w:tc>
        <w:tc>
          <w:tcPr>
            <w:tcW w:w="23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16,170 </w:t>
            </w:r>
            <w:r>
              <w:rPr>
                <w:rFonts w:ascii="Times New Roman" w:cs="Times New Roman" w:eastAsia="Times New Roman" w:hAnsi="Times New Roman"/>
                <w:sz w:val="24"/>
                <w:szCs w:val="24"/>
                <w:color w:val="auto"/>
                <w:vertAlign w:val="superscript"/>
              </w:rPr>
              <w:t>(2)</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$142,781</w:t>
            </w:r>
          </w:p>
        </w:tc>
        <w:tc>
          <w:tcPr>
            <w:tcW w:w="22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48,510 </w:t>
            </w:r>
            <w:r>
              <w:rPr>
                <w:rFonts w:ascii="Times New Roman" w:cs="Times New Roman" w:eastAsia="Times New Roman" w:hAnsi="Times New Roman"/>
                <w:sz w:val="24"/>
                <w:szCs w:val="24"/>
                <w:color w:val="auto"/>
                <w:vertAlign w:val="superscript"/>
              </w:rPr>
              <w:t>(4)</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$428,343</w:t>
            </w:r>
          </w:p>
        </w:tc>
      </w:tr>
      <w:tr>
        <w:trPr>
          <w:trHeight w:val="209"/>
        </w:trPr>
        <w:tc>
          <w:tcPr>
            <w:tcW w:w="23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8/1/2024</w:t>
            </w:r>
          </w:p>
        </w:tc>
        <w:tc>
          <w:tcPr>
            <w:tcW w:w="23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14,963 </w:t>
            </w:r>
            <w:r>
              <w:rPr>
                <w:rFonts w:ascii="Times New Roman" w:cs="Times New Roman" w:eastAsia="Times New Roman" w:hAnsi="Times New Roman"/>
                <w:sz w:val="24"/>
                <w:szCs w:val="24"/>
                <w:color w:val="auto"/>
                <w:vertAlign w:val="superscript"/>
              </w:rPr>
              <w:t>(1)</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$132,123</w:t>
            </w:r>
          </w:p>
        </w:tc>
        <w:tc>
          <w:tcPr>
            <w:tcW w:w="228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5"/>
                <w:szCs w:val="15"/>
                <w:color w:val="auto"/>
              </w:rPr>
              <w:t xml:space="preserve">44,888 </w:t>
            </w:r>
            <w:r>
              <w:rPr>
                <w:rFonts w:ascii="Times New Roman" w:cs="Times New Roman" w:eastAsia="Times New Roman" w:hAnsi="Times New Roman"/>
                <w:sz w:val="24"/>
                <w:szCs w:val="24"/>
                <w:color w:val="auto"/>
                <w:vertAlign w:val="superscript"/>
              </w:rPr>
              <w:t>(5)</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$396,361</w:t>
            </w:r>
          </w:p>
        </w:tc>
      </w:tr>
    </w:tbl>
    <w:p>
      <w:pPr>
        <w:spacing w:after="0" w:line="198" w:lineRule="exact"/>
        <w:rPr>
          <w:sz w:val="20"/>
          <w:szCs w:val="20"/>
          <w:color w:val="auto"/>
        </w:rPr>
      </w:pPr>
    </w:p>
    <w:p>
      <w:pPr>
        <w:ind w:left="500" w:hanging="330"/>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restricted stock unit awards that are scheduled to vest three years from the date of grant.</w:t>
      </w:r>
    </w:p>
    <w:p>
      <w:pPr>
        <w:spacing w:after="0" w:line="248" w:lineRule="exact"/>
        <w:rPr>
          <w:rFonts w:ascii="Times New Roman" w:cs="Times New Roman" w:eastAsia="Times New Roman" w:hAnsi="Times New Roman"/>
          <w:sz w:val="18"/>
          <w:szCs w:val="18"/>
          <w:color w:val="auto"/>
        </w:rPr>
      </w:pPr>
    </w:p>
    <w:p>
      <w:pPr>
        <w:ind w:left="2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TWIN DISC, INCORPORATED 2025 ANNUAL REPORT | PROXY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0" w:name="page31"/>
    <w:bookmarkEnd w:id="30"/>
    <w:p>
      <w:pPr>
        <w:ind w:left="500" w:hanging="330"/>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Reflects non-vested restricted stock awards that are scheduled to vest three years from the date of grant.</w:t>
      </w:r>
    </w:p>
    <w:p>
      <w:pPr>
        <w:spacing w:after="0" w:line="36" w:lineRule="exact"/>
        <w:rPr>
          <w:rFonts w:ascii="Times New Roman" w:cs="Times New Roman" w:eastAsia="Times New Roman" w:hAnsi="Times New Roman"/>
          <w:sz w:val="18"/>
          <w:szCs w:val="18"/>
          <w:color w:val="auto"/>
        </w:rPr>
      </w:pPr>
    </w:p>
    <w:p>
      <w:pPr>
        <w:jc w:val="both"/>
        <w:ind w:left="500" w:right="80" w:hanging="330"/>
        <w:spacing w:after="0" w:line="257"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performance stock awards or restricted stock units with performance conditions granted on August 3. 2022 based on the three-year performance period ending June 30, 2025. To the extent such awards vested, they vested on June 30, 2025, and were no longer outstanding as of the fiscal year ending June 30, 2025.</w:t>
      </w:r>
    </w:p>
    <w:p>
      <w:pPr>
        <w:spacing w:after="0" w:line="1" w:lineRule="exact"/>
        <w:rPr>
          <w:rFonts w:ascii="Times New Roman" w:cs="Times New Roman" w:eastAsia="Times New Roman" w:hAnsi="Times New Roman"/>
          <w:sz w:val="18"/>
          <w:szCs w:val="18"/>
          <w:color w:val="auto"/>
        </w:rPr>
      </w:pPr>
    </w:p>
    <w:p>
      <w:pPr>
        <w:ind w:left="500" w:right="280" w:hanging="330"/>
        <w:spacing w:after="0" w:line="25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performance stock awards scheduled to vest on June 30, 2026 based on three-year performance period ending June 30, 2026. Because the Corporation achieved greater than the target performance goals during the last fiscal year, figures are shown based on achieving maximum performance goals.</w:t>
      </w:r>
    </w:p>
    <w:p>
      <w:pPr>
        <w:spacing w:after="0" w:line="1" w:lineRule="exact"/>
        <w:rPr>
          <w:rFonts w:ascii="Times New Roman" w:cs="Times New Roman" w:eastAsia="Times New Roman" w:hAnsi="Times New Roman"/>
          <w:sz w:val="18"/>
          <w:szCs w:val="18"/>
          <w:color w:val="auto"/>
        </w:rPr>
      </w:pPr>
    </w:p>
    <w:p>
      <w:pPr>
        <w:ind w:left="500" w:right="280" w:hanging="330"/>
        <w:spacing w:after="0" w:line="25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non-vested performance stock awards scheduled to vest on June 30, 2027 based on three-year performance period ending June 30, 2027. Because the Corporation achieved greater than the target performance goals during the last fiscal year, figures shown are based on achieving maximum performance goals.</w:t>
      </w:r>
    </w:p>
    <w:p>
      <w:pPr>
        <w:spacing w:after="0" w:line="1" w:lineRule="exact"/>
        <w:rPr>
          <w:rFonts w:ascii="Times New Roman" w:cs="Times New Roman" w:eastAsia="Times New Roman" w:hAnsi="Times New Roman"/>
          <w:sz w:val="18"/>
          <w:szCs w:val="18"/>
          <w:color w:val="auto"/>
        </w:rPr>
      </w:pPr>
    </w:p>
    <w:p>
      <w:pPr>
        <w:ind w:left="500" w:right="280" w:hanging="330"/>
        <w:spacing w:after="0" w:line="26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were calculated using $8.83 per share, the closing price of the Corporation’s common stock as of June 30, 2025, the last trading day of the fiscal year.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Qualified Retirement Plans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The Twin Disc, Incorporated Retirement Savings Plan for Salaried Employees</w:t>
      </w:r>
      <w:r>
        <w:rPr>
          <w:rFonts w:ascii="Times New Roman" w:cs="Times New Roman" w:eastAsia="Times New Roman" w:hAnsi="Times New Roman"/>
          <w:sz w:val="18"/>
          <w:szCs w:val="18"/>
          <w:color w:val="auto"/>
        </w:rPr>
        <w:t xml:space="preserve"> (“Savings Plan”) provides non-contributory retirement benefits to all Twin Disc, Incorporated salaried employees hired prior to October 1, 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Savings Plan does not allow employee contributions. Employer contributions, which are made annually, are 100% vested.</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The Twin Disc, Incorporated Retirement Plan for Salaried Employees</w:t>
      </w:r>
      <w:r>
        <w:rPr>
          <w:rFonts w:ascii="Times New Roman" w:cs="Times New Roman" w:eastAsia="Times New Roman" w:hAnsi="Times New Roman"/>
          <w:sz w:val="18"/>
          <w:szCs w:val="18"/>
          <w:color w:val="auto"/>
        </w:rPr>
        <w:t xml:space="preserve"> (“Retirement Plan”) provides non-contributory retirement benefits to all Twin Disc, Incorporated salaried employees hired prior to October 1, 2003. Eligibility for retirement occurs upon reaching one of the following age and service requirements: a) Age 65 with 5 years of service; b) Age 60 with 10 years of service; c) 30 years of service at any age; or d) age plus service equals 85 points. Only Mr. Batten participates in this program and he is eligible for retirement as of June 30, 2025.</w:t>
      </w:r>
    </w:p>
    <w:p>
      <w:pPr>
        <w:spacing w:after="0" w:line="180"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Batten is eligible for a benefit under the cash-balance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the Retirement Plan was amended to freeze all future benefit accruals, effective August 1, 2009.</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definition of compensation for purposes of calculating the pension benefit includes W-2 income, excluding any expense reimbursements or taxable fringe benefits, and is limited by the IRS maximum compensation as determined each year. In calendar years 2023, 2024, and 2025 the annual limits were $330,000, $345,000, and $350,000, respectively.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t>The Twin Disc, Incorporated – The Accelerator 401(k) Savings Plan (“401(k) Plan”)</w:t>
      </w:r>
      <w:r>
        <w:rPr>
          <w:rFonts w:ascii="Times New Roman" w:cs="Times New Roman" w:eastAsia="Times New Roman" w:hAnsi="Times New Roman"/>
          <w:sz w:val="18"/>
          <w:szCs w:val="18"/>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matches 50% of the first 8% of pay that is contributed to the 401(k) Plan. All contributions to the 401(k) Plan, as well as any matching contributions, are fully vested upon contribution.</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Supplemental Executive Retirement Plan</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extends a supplemental retirement plan, called the Twin Disc, Incorporated, Supplemental Executive Retirement Plan (“SERP”), to certain qualified officers. It is the Corporation’s current practice to not add new officers to the SERP. Mr. Batten is the only employee eligible to participate in the SERP. The SERP benefit is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due to certain regulations used in determining benefits under those plans. SERP benefits of all Named Executive Officers who are eligible participants are stated as individual accounts.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SERP benefit is payable in two lump sum payments, which are paid on or about the first and second February 1st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Executive Life Insurance</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Corporation provides an endorsement split-dollar life insurance benefit to certain Named Executive Officers who were in their positions prior to January 1, 2015. The Corporation’s current practice is to not provide this benefit to new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Officers who obtained their positions on or after January 1, 2015 are eligible for a term life insurance benefit equal to approximately three times their base salary, subject to certain limitations that may apply regarding insurability or maximum insurance levels.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Agreements Providing Payments Following Termination or Change in Control</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 in Control Agreements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Corporation has Change in Control Severance Agreements with each of its executive officers, which were most recently updated in August 2022. If a change in control occurs (as defined in the agreements) and the executive thereafter experiences an involuntary termination (or resigns for good reason, as defined),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annual bonus for the fiscal year preceding termination (or, if no annual bonus was paid in that year, the average of the annual bonuses for the three fiscal years preceding termination) or target annual bonus for the fiscal year of termination, times a multiple (2.5 for Mr. Batten, 2.0 for Mr. Knutson). In addition, the executive would be entitled to the cash value over the exercise price of any shares of common stock subject to unexercised stock options held by the executive, and fringe benefits would continue for 24 months following termination. The agreements are designed to avoid having benefits exceed the limitations and provisions of Section 280G of the Internal Revenue Code.</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performance stock and performance stock unit award agreements and the restricted stock and restricted stock unit grant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immediately vest as if the performance objectives had been fully achieved at the maximum level (or the target level for employees who had not received an award prior to November 1, 2021 under the Corporation’s 2018 or 2021 long-term incentive plans), all restricted shares shall become freely transferable and non-forfeitable, and all restricted stock units shall immediately vest and the related shares shall be delivered.</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following information describes the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Normal or Early Retirement</w:t>
      </w:r>
      <w:r>
        <w:rPr>
          <w:rFonts w:ascii="Times New Roman" w:cs="Times New Roman" w:eastAsia="Times New Roman" w:hAnsi="Times New Roman"/>
          <w:sz w:val="18"/>
          <w:szCs w:val="18"/>
          <w:color w:val="auto"/>
        </w:rPr>
        <w:t>. For purposes of the following discussion, retirement means termination of employment after the Named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reaches age 65, or after the Named Executive Officer reaches age 60 with 10 years of service, which is how retirement is defined in the SERP and the award agreement for performance stock. Named Executive Officers who participate in the Twin Disc, Incorporated Retirement Plan for Salaried Employees and the Twin Disc, Incorporated Retirement Savings Plan for Salaried Employees may also retire after 30 years of service at any age, or if their age plus service equals 85 points, but these definitions of retirement are not considered in the following discussion because they do not affect the amounts required to be disclosed in the tables below. None of the Named Executive Officers are currently eligible for retirement.</w:t>
      </w:r>
    </w:p>
    <w:p>
      <w:pPr>
        <w:spacing w:after="0" w:line="186"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Medical benefits are only available to Twin Disc retirees hired before October 1, 2003 and who are not yet Medicare-eligible. Eligibility for retiree medical benefits ends upon reaching Medicare eligibility.</w:t>
      </w:r>
    </w:p>
    <w:p>
      <w:pPr>
        <w:spacing w:after="0" w:line="162" w:lineRule="exact"/>
        <w:rPr>
          <w:sz w:val="20"/>
          <w:szCs w:val="20"/>
          <w:color w:val="auto"/>
        </w:rPr>
      </w:pPr>
    </w:p>
    <w:p>
      <w:pPr>
        <w:ind w:left="20" w:right="180"/>
        <w:spacing w:after="0" w:line="282" w:lineRule="auto"/>
        <w:rPr>
          <w:sz w:val="20"/>
          <w:szCs w:val="20"/>
          <w:color w:val="auto"/>
        </w:rPr>
      </w:pPr>
      <w:r>
        <w:rPr>
          <w:rFonts w:ascii="Times New Roman" w:cs="Times New Roman" w:eastAsia="Times New Roman" w:hAnsi="Times New Roman"/>
          <w:sz w:val="18"/>
          <w:szCs w:val="18"/>
          <w:color w:val="auto"/>
        </w:rPr>
        <w:t>Restricted stock and restricted stock units without performance conditions are forfeited if retirement occurs before the restrictions on such shares or units have ended.</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Performance stock, performance stock units and restricted stock units with performance conditions will be paid after the end of the relevant performance period, but only if the performance objectives are achieved. The stock or units are prorated based on actual employment during the performance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must be exercised within 30 days of termination or they expire.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Corporation’s SERP is available for certain Named Executive Officers who qualify for a retirement benefit under the Corporation’s pension plans.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Batten is currently the only participant.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3" w:name="page34"/>
    <w:bookmarkEnd w:id="33"/>
    <w:p>
      <w:pPr>
        <w:ind w:right="60"/>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For those executives eligible for an endorsement split-dollar life insurance policy, the ownership of the life insurance will be transferred from the Corporation to the executive at the later of retirement or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9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Death while Employed</w:t>
      </w:r>
      <w:r>
        <w:rPr>
          <w:rFonts w:ascii="Times New Roman" w:cs="Times New Roman" w:eastAsia="Times New Roman" w:hAnsi="Times New Roman"/>
          <w:sz w:val="18"/>
          <w:szCs w:val="18"/>
          <w:color w:val="auto"/>
        </w:rPr>
        <w:t>. In the event of death of a Named Executive Officer while actively employed, the executive’s estate would receive payment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base salary earned, but not yet paid. In addition, any vacation accrual not used would also be paid to the estate.</w:t>
      </w:r>
    </w:p>
    <w:p>
      <w:pPr>
        <w:spacing w:after="0" w:line="1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Restricted stock and restricted stock units vest and become payable per the terms of the individual grant agreement. The estate would receive the payment of shares.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Performance stock and performance stock units will immediately vest after the Employee’s termination of employment due to death and be paid as if the maximum performance target has been achieved (or the target level for employees who had not received an award prior to November 1, 2021 under the Corporation’s 2018 or 2021 long-term incentive plans). The stock or units are prorated based on actual employment during the performance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will fully vest and pass to the estate, or as directed by a will, and must be exercised within one year from date of death.</w:t>
      </w:r>
    </w:p>
    <w:p>
      <w:pPr>
        <w:spacing w:after="0" w:line="221"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In the event of termination of employment due to disability, a Named Executive Officer would receive benefits under the Corporation’s short-term and long-term disability plans, generally available to full-time salaried employees. Benefits are reduced for any social security pension eligibility.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and restricted stock units vest and become payable per the terms of the individual grant agreements.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stock and performance stock units immediately vest after the Employee’s termination of employment due to disability and are paid assuming the maximum performance target has been achieved (or the target level for employees who had not received an award prior to November 1, 2021 under the Corporation’s 2018 or 2021 long-term incentive plans). The stock or units are prorated based on actual employment during the performance period.</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Termination for Cause</w:t>
      </w:r>
      <w:r>
        <w:rPr>
          <w:rFonts w:ascii="Times New Roman" w:cs="Times New Roman" w:eastAsia="Times New Roman" w:hAnsi="Times New Roman"/>
          <w:sz w:val="18"/>
          <w:szCs w:val="18"/>
          <w:color w:val="auto"/>
        </w:rPr>
        <w:t>. An executive is not eligible for any additional benefits upon termination for cause, unless the Compensation and Human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would determine that severance payments are appropriate.</w:t>
      </w:r>
    </w:p>
    <w:p>
      <w:pPr>
        <w:spacing w:after="0" w:line="15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Voluntary Termination Prior to Retirement</w:t>
      </w:r>
      <w:r>
        <w:rPr>
          <w:rFonts w:ascii="Times New Roman" w:cs="Times New Roman" w:eastAsia="Times New Roman" w:hAnsi="Times New Roman"/>
          <w:sz w:val="18"/>
          <w:szCs w:val="18"/>
          <w:color w:val="auto"/>
        </w:rPr>
        <w:t>. An executive is not entitled to any additional forms of severance payments in the event of a voluntary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prior to becoming eligible for retirement.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The following information under the “Pay Versus Performance” heading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4" w:name="page35"/>
    <w:bookmarkEnd w:id="34"/>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In accordance with rules adopted by the Securities and Exchange Commission (“SEC”), the following table presents information regarding compensation paid to our Chief Executive Officer (the “CEO”) and our other named executive officers shown in the Summary Compensation Table (collectively, the “Non-CEO NEOs”). The amounts set forth below under the headings “Compensation Actually Paid to CEO” and “Average Compensation Actually Paid to Non-CEO NEOs” have been calculated in a manner prescribed by the SEC rules and do not necessarily align with how the Corporation or the Committee views the link between our performance and pay of our named executive officers. The footnotes below set forth the adjustments from the total compensation for each of our NEOs reported in the Summary Compensation Table above. As permitted under the rules applicable to smaller reporting companies, we are including three years of data and are not including a peer group total shareholder return or company-selected measure.</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160" w:type="dxa"/>
            <w:vAlign w:val="bottom"/>
            <w:tcBorders>
              <w:top w:val="single" w:sz="8" w:color="auto"/>
              <w:left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right w:val="single" w:sz="8" w:color="auto"/>
            </w:tcBorders>
          </w:tcPr>
          <w:p>
            <w:pPr>
              <w:spacing w:after="0"/>
              <w:rPr>
                <w:sz w:val="18"/>
                <w:szCs w:val="18"/>
                <w:color w:val="auto"/>
              </w:rPr>
            </w:pPr>
          </w:p>
        </w:tc>
      </w:tr>
      <w:tr>
        <w:trPr>
          <w:trHeight w:val="225"/>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24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Summary</w:t>
            </w:r>
          </w:p>
        </w:tc>
        <w:tc>
          <w:tcPr>
            <w:tcW w:w="220" w:type="dxa"/>
            <w:vAlign w:val="bottom"/>
          </w:tcPr>
          <w:p>
            <w:pPr>
              <w:spacing w:after="0"/>
              <w:rPr>
                <w:sz w:val="19"/>
                <w:szCs w:val="19"/>
                <w:color w:val="auto"/>
              </w:rPr>
            </w:pPr>
          </w:p>
        </w:tc>
        <w:tc>
          <w:tcPr>
            <w:tcW w:w="1440" w:type="dxa"/>
            <w:vAlign w:val="bottom"/>
            <w:tcBorders>
              <w:right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9"/>
                <w:szCs w:val="19"/>
                <w:color w:val="auto"/>
              </w:rPr>
            </w:pPr>
          </w:p>
        </w:tc>
        <w:tc>
          <w:tcPr>
            <w:tcW w:w="1460" w:type="dxa"/>
            <w:vAlign w:val="bottom"/>
            <w:tcBorders>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Fixed $100</w:t>
            </w:r>
          </w:p>
        </w:tc>
        <w:tc>
          <w:tcPr>
            <w:tcW w:w="220" w:type="dxa"/>
            <w:vAlign w:val="bottom"/>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40" w:type="dxa"/>
            <w:vAlign w:val="bottom"/>
          </w:tcPr>
          <w:p>
            <w:pPr>
              <w:spacing w:after="0"/>
              <w:rPr>
                <w:sz w:val="18"/>
                <w:szCs w:val="18"/>
                <w:color w:val="auto"/>
              </w:rPr>
            </w:pPr>
          </w:p>
        </w:tc>
        <w:tc>
          <w:tcPr>
            <w:tcW w:w="1480" w:type="dxa"/>
            <w:vAlign w:val="bottom"/>
            <w:tcBorders>
              <w:right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4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Borders>
              <w:right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8"/>
                <w:szCs w:val="18"/>
                <w:color w:val="auto"/>
              </w:rPr>
            </w:pPr>
          </w:p>
        </w:tc>
        <w:tc>
          <w:tcPr>
            <w:tcW w:w="1440" w:type="dxa"/>
            <w:vAlign w:val="bottom"/>
            <w:tcBorders>
              <w:right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18"/>
                <w:szCs w:val="18"/>
                <w:color w:val="auto"/>
              </w:rPr>
            </w:pPr>
          </w:p>
        </w:tc>
        <w:tc>
          <w:tcPr>
            <w:tcW w:w="1460" w:type="dxa"/>
            <w:vAlign w:val="bottom"/>
            <w:tcBorders>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40" w:type="dxa"/>
            <w:vAlign w:val="bottom"/>
          </w:tcPr>
          <w:p>
            <w:pPr>
              <w:spacing w:after="0"/>
              <w:rPr>
                <w:sz w:val="18"/>
                <w:szCs w:val="18"/>
                <w:color w:val="auto"/>
              </w:rPr>
            </w:pPr>
          </w:p>
        </w:tc>
        <w:tc>
          <w:tcPr>
            <w:tcW w:w="1480" w:type="dxa"/>
            <w:vAlign w:val="bottom"/>
            <w:tcBorders>
              <w:right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18"/>
                <w:szCs w:val="18"/>
                <w:color w:val="auto"/>
              </w:rPr>
            </w:pPr>
          </w:p>
        </w:tc>
        <w:tc>
          <w:tcPr>
            <w:tcW w:w="1480" w:type="dxa"/>
            <w:vAlign w:val="bottom"/>
            <w:tcBorders>
              <w:right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80" w:type="dxa"/>
            <w:vAlign w:val="bottom"/>
          </w:tcPr>
          <w:p>
            <w:pPr>
              <w:spacing w:after="0"/>
              <w:rPr>
                <w:sz w:val="18"/>
                <w:szCs w:val="18"/>
                <w:color w:val="auto"/>
              </w:rPr>
            </w:pPr>
          </w:p>
        </w:tc>
        <w:tc>
          <w:tcPr>
            <w:tcW w:w="1500" w:type="dxa"/>
            <w:vAlign w:val="bottom"/>
            <w:tcBorders>
              <w:right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Table Total for</w:t>
            </w:r>
          </w:p>
        </w:tc>
        <w:tc>
          <w:tcPr>
            <w:tcW w:w="220" w:type="dxa"/>
            <w:vAlign w:val="bottom"/>
          </w:tcPr>
          <w:p>
            <w:pPr>
              <w:spacing w:after="0"/>
              <w:rPr>
                <w:sz w:val="18"/>
                <w:szCs w:val="18"/>
                <w:color w:val="auto"/>
              </w:rPr>
            </w:pPr>
          </w:p>
        </w:tc>
        <w:tc>
          <w:tcPr>
            <w:tcW w:w="1440" w:type="dxa"/>
            <w:vAlign w:val="bottom"/>
            <w:tcBorders>
              <w:right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200" w:type="dxa"/>
            <w:vAlign w:val="bottom"/>
          </w:tcPr>
          <w:p>
            <w:pPr>
              <w:spacing w:after="0"/>
              <w:rPr>
                <w:sz w:val="18"/>
                <w:szCs w:val="18"/>
                <w:color w:val="auto"/>
              </w:rPr>
            </w:pPr>
          </w:p>
        </w:tc>
        <w:tc>
          <w:tcPr>
            <w:tcW w:w="1460" w:type="dxa"/>
            <w:vAlign w:val="bottom"/>
            <w:tcBorders>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Based on Total</w:t>
            </w:r>
          </w:p>
        </w:tc>
        <w:tc>
          <w:tcPr>
            <w:tcW w:w="22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8"/>
                <w:szCs w:val="18"/>
                <w:color w:val="auto"/>
              </w:rPr>
            </w:pPr>
          </w:p>
        </w:tc>
        <w:tc>
          <w:tcPr>
            <w:tcW w:w="1480" w:type="dxa"/>
            <w:vAlign w:val="bottom"/>
            <w:tcBorders>
              <w:right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8"/>
              </w:rPr>
              <w:t>Table Total</w:t>
            </w:r>
          </w:p>
        </w:tc>
        <w:tc>
          <w:tcPr>
            <w:tcW w:w="240" w:type="dxa"/>
            <w:vAlign w:val="bottom"/>
          </w:tcPr>
          <w:p>
            <w:pPr>
              <w:spacing w:after="0"/>
              <w:rPr>
                <w:sz w:val="18"/>
                <w:szCs w:val="18"/>
                <w:color w:val="auto"/>
              </w:rPr>
            </w:pPr>
          </w:p>
        </w:tc>
        <w:tc>
          <w:tcPr>
            <w:tcW w:w="1480" w:type="dxa"/>
            <w:vAlign w:val="bottom"/>
            <w:tcBorders>
              <w:right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80" w:type="dxa"/>
            <w:vAlign w:val="bottom"/>
          </w:tcPr>
          <w:p>
            <w:pPr>
              <w:spacing w:after="0"/>
              <w:rPr>
                <w:sz w:val="18"/>
                <w:szCs w:val="18"/>
                <w:color w:val="auto"/>
              </w:rPr>
            </w:pPr>
          </w:p>
        </w:tc>
        <w:tc>
          <w:tcPr>
            <w:tcW w:w="1500" w:type="dxa"/>
            <w:vAlign w:val="bottom"/>
            <w:tcBorders>
              <w:right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rPr>
              <w:t>Non-CEO NEOs</w:t>
            </w:r>
          </w:p>
        </w:tc>
        <w:tc>
          <w:tcPr>
            <w:tcW w:w="220" w:type="dxa"/>
            <w:vAlign w:val="bottom"/>
          </w:tcPr>
          <w:p>
            <w:pPr>
              <w:spacing w:after="0"/>
              <w:rPr>
                <w:sz w:val="18"/>
                <w:szCs w:val="18"/>
                <w:color w:val="auto"/>
              </w:rPr>
            </w:pPr>
          </w:p>
        </w:tc>
        <w:tc>
          <w:tcPr>
            <w:tcW w:w="1440" w:type="dxa"/>
            <w:vAlign w:val="bottom"/>
            <w:tcBorders>
              <w:right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to Non-CEO</w:t>
            </w:r>
          </w:p>
        </w:tc>
        <w:tc>
          <w:tcPr>
            <w:tcW w:w="200" w:type="dxa"/>
            <w:vAlign w:val="bottom"/>
          </w:tcPr>
          <w:p>
            <w:pPr>
              <w:spacing w:after="0"/>
              <w:rPr>
                <w:sz w:val="18"/>
                <w:szCs w:val="18"/>
                <w:color w:val="auto"/>
              </w:rPr>
            </w:pPr>
          </w:p>
        </w:tc>
        <w:tc>
          <w:tcPr>
            <w:tcW w:w="1460" w:type="dxa"/>
            <w:vAlign w:val="bottom"/>
            <w:tcBorders>
              <w:right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220" w:type="dxa"/>
            <w:vAlign w:val="bottom"/>
          </w:tcPr>
          <w:p>
            <w:pPr>
              <w:spacing w:after="0"/>
              <w:rPr>
                <w:sz w:val="18"/>
                <w:szCs w:val="18"/>
                <w:color w:val="auto"/>
              </w:rPr>
            </w:pPr>
          </w:p>
        </w:tc>
        <w:tc>
          <w:tcPr>
            <w:tcW w:w="142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 Income</w:t>
            </w:r>
          </w:p>
        </w:tc>
      </w:tr>
      <w:tr>
        <w:trPr>
          <w:trHeight w:val="230"/>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(1)</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ind w:right="191"/>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for CEO </w:t>
            </w:r>
            <w:r>
              <w:rPr>
                <w:rFonts w:ascii="Times New Roman" w:cs="Times New Roman" w:eastAsia="Times New Roman" w:hAnsi="Times New Roman"/>
                <w:sz w:val="26"/>
                <w:szCs w:val="26"/>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ind w:right="191"/>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to CEO </w:t>
            </w:r>
            <w:r>
              <w:rPr>
                <w:rFonts w:ascii="Times New Roman" w:cs="Times New Roman" w:eastAsia="Times New Roman" w:hAnsi="Times New Roman"/>
                <w:sz w:val="26"/>
                <w:szCs w:val="26"/>
                <w:b w:val="1"/>
                <w:bCs w:val="1"/>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jc w:val="center"/>
              <w:ind w:right="132"/>
              <w:spacing w:after="0"/>
              <w:rPr>
                <w:sz w:val="20"/>
                <w:szCs w:val="20"/>
                <w:color w:val="auto"/>
              </w:rPr>
            </w:pPr>
            <w:r>
              <w:rPr>
                <w:rFonts w:ascii="Times New Roman" w:cs="Times New Roman" w:eastAsia="Times New Roman" w:hAnsi="Times New Roman"/>
                <w:sz w:val="15"/>
                <w:szCs w:val="15"/>
                <w:b w:val="1"/>
                <w:bCs w:val="1"/>
                <w:color w:val="auto"/>
                <w:w w:val="91"/>
              </w:rPr>
              <w:t>(1)</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center"/>
              <w:ind w:right="191"/>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NEOs </w:t>
            </w:r>
            <w:r>
              <w:rPr>
                <w:rFonts w:ascii="Times New Roman" w:cs="Times New Roman" w:eastAsia="Times New Roman" w:hAnsi="Times New Roman"/>
                <w:sz w:val="26"/>
                <w:szCs w:val="26"/>
                <w:b w:val="1"/>
                <w:bCs w:val="1"/>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center"/>
              <w:ind w:right="151"/>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Return </w:t>
            </w:r>
            <w:r>
              <w:rPr>
                <w:rFonts w:ascii="Times New Roman" w:cs="Times New Roman" w:eastAsia="Times New Roman" w:hAnsi="Times New Roman"/>
                <w:sz w:val="26"/>
                <w:szCs w:val="26"/>
                <w:b w:val="1"/>
                <w:bCs w:val="1"/>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2,411,245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2,134,915</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1,156,197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1,022,434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100.67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2,566,513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2,877,213</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1,208,521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1,328,191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10,988</w:t>
            </w:r>
          </w:p>
        </w:tc>
      </w:tr>
      <w:tr>
        <w:trPr>
          <w:trHeight w:val="223"/>
        </w:trPr>
        <w:tc>
          <w:tcPr>
            <w:tcW w:w="1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2,311,564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3,097,928</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right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1,113,200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1,369,844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126.09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10,380</w:t>
            </w:r>
          </w:p>
        </w:tc>
      </w:tr>
    </w:tbl>
    <w:p>
      <w:pPr>
        <w:spacing w:after="0" w:line="198" w:lineRule="exact"/>
        <w:rPr>
          <w:sz w:val="20"/>
          <w:szCs w:val="20"/>
          <w:color w:val="auto"/>
        </w:rPr>
      </w:pPr>
    </w:p>
    <w:p>
      <w:pPr>
        <w:ind w:right="20" w:firstLine="8"/>
        <w:spacing w:after="0" w:line="261"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“Summary Compensation Table Total for CEO” column are the amounts of total compensation reported for John H. Batten for each corresponding fiscal year in the “Total” column of the Summary Compensation Table. The amounts reported in the “Average Summary Compensation Table Total for Non-CEO NEOs” column are the amounts of total compensation reported for Jeffrey S. Knutson for each corresponding year in the “Total” column of the Summary Compensation Table.</w:t>
      </w:r>
    </w:p>
    <w:p>
      <w:pPr>
        <w:spacing w:after="0" w:line="179" w:lineRule="exact"/>
        <w:rPr>
          <w:rFonts w:ascii="Times New Roman" w:cs="Times New Roman" w:eastAsia="Times New Roman" w:hAnsi="Times New Roman"/>
          <w:sz w:val="18"/>
          <w:szCs w:val="18"/>
          <w:color w:val="auto"/>
        </w:rPr>
      </w:pPr>
    </w:p>
    <w:p>
      <w:pPr>
        <w:ind w:right="160" w:firstLine="8"/>
        <w:spacing w:after="0" w:line="282"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amounts were added and deducted from the Summary Compensation Table amounts to determine the compensation actually paid to the Corporation’s CEO and the Non-CEO NEOs in accordance with SEC regulations:</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1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CEO</w:t>
            </w: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right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Non-CEO NEO Average</w:t>
            </w:r>
          </w:p>
        </w:tc>
        <w:tc>
          <w:tcPr>
            <w:tcW w:w="94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3180" w:type="dxa"/>
            <w:vAlign w:val="bottom"/>
            <w:tcBorders>
              <w:left w:val="single" w:sz="8" w:color="auto"/>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31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Summary Compensation Table (SCT)</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234"/>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2,411,245</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2,566,513</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2,311,564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1,156,197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1,208,521</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1,113,200</w:t>
            </w:r>
          </w:p>
        </w:tc>
      </w:tr>
      <w:tr>
        <w:trPr>
          <w:trHeight w:val="191"/>
        </w:trPr>
        <w:tc>
          <w:tcPr>
            <w:tcW w:w="31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Minus amounts reported under “Stock</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234"/>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Awards” column in SCT</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1,033,830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1,052,203</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1,092,881</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507,613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516,632</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536,605</w:t>
            </w:r>
          </w:p>
        </w:tc>
      </w:tr>
      <w:tr>
        <w:trPr>
          <w:trHeight w:val="191"/>
        </w:trPr>
        <w:tc>
          <w:tcPr>
            <w:tcW w:w="31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Minus amounts reported under “Option</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234"/>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Awards” column in SCT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1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Plus fair value (as of fiscal year-end) of</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awards granted during fiscal year that</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remain outstanding and unvested as of</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4"/>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fiscal year-end</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672,714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969,871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1,358,260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330,304</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476,207</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666,907</w:t>
            </w:r>
          </w:p>
        </w:tc>
      </w:tr>
      <w:tr>
        <w:trPr>
          <w:trHeight w:val="191"/>
        </w:trPr>
        <w:tc>
          <w:tcPr>
            <w:tcW w:w="31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Plus/minus change in fair value from</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prior fiscal year-end to current fiscal</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year-end of awards granted in any prior</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fiscal year that are outstanding and</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4"/>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unvested as of fiscal year-end</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67,221</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316,947</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326,645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33,008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124,589</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117,059</w:t>
            </w:r>
          </w:p>
        </w:tc>
      </w:tr>
      <w:tr>
        <w:trPr>
          <w:trHeight w:val="191"/>
        </w:trPr>
        <w:tc>
          <w:tcPr>
            <w:tcW w:w="31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Plus increase in fair value (as of vesting</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date) of awards granted during fiscal</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4"/>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 that vest during the same fiscal year</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1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Plus/minus change in fair value (as of</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vesting date) from prior fiscal year-end</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 vesting date of awards granted in any</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prior fiscal year that vested during fiscal</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4"/>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17,565</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76,085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194,340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10,539</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35,506</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9,283</w:t>
            </w:r>
          </w:p>
        </w:tc>
      </w:tr>
      <w:tr>
        <w:trPr>
          <w:trHeight w:val="191"/>
        </w:trPr>
        <w:tc>
          <w:tcPr>
            <w:tcW w:w="31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w w:val="99"/>
              </w:rPr>
              <w:t>Minus fair value (as of end of prior fiscal</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 of awards granted in any prior</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fiscal year that were forfeited during</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4"/>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fiscal year</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31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Plus value of dividends or other earnings</w:t>
            </w: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paid on stock or option awards during</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6"/>
        </w:trPr>
        <w:tc>
          <w:tcPr>
            <w:tcW w:w="318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fiscal year prior to vesting date not</w:t>
            </w: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34"/>
        </w:trPr>
        <w:tc>
          <w:tcPr>
            <w:tcW w:w="31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included in SCT total compensation</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80" w:type="dxa"/>
            <w:vAlign w:val="bottom"/>
            <w:tcBorders>
              <w:left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(276,330)</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310,700</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786,364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(133,763)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119,670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256,644</w:t>
            </w:r>
          </w:p>
        </w:tc>
      </w:tr>
    </w:tbl>
    <w:p>
      <w:pPr>
        <w:spacing w:after="0" w:line="198"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$100 was invested in the Corporation for the period starting July 1, 2022, through the end of the listed fiscal year.</w:t>
      </w:r>
    </w:p>
    <w:p>
      <w:pPr>
        <w:spacing w:after="0" w:line="221" w:lineRule="exact"/>
        <w:rPr>
          <w:rFonts w:ascii="Times New Roman" w:cs="Times New Roman" w:eastAsia="Times New Roman" w:hAnsi="Times New Roman"/>
          <w:sz w:val="18"/>
          <w:szCs w:val="18"/>
          <w:color w:val="auto"/>
        </w:rPr>
      </w:pPr>
    </w:p>
    <w:p>
      <w:pPr>
        <w:ind w:left="2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TWIN DISC, INCORPORATED 2025 ANNUAL REPORT | PROXY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694"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TSR</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the Corporation’s CEO and the average compensation actually paid to the Corporation’s other NEOs, and Corporation’s cumulative TSR (total shareholder return, based on an initial investment of $100 on July 1, 2022)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123190</wp:posOffset>
            </wp:positionV>
            <wp:extent cx="5683250" cy="32746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8325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Net Income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the Corporation’s CEO and the average compensation actually paid to the Corporation’s other NEOs, and the Corporation’s net income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114300</wp:posOffset>
            </wp:positionV>
            <wp:extent cx="5683250" cy="32746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8325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compensation received by each of our non-employee Directors during FY2025:</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60" w:type="dxa"/>
            <w:vAlign w:val="bottom"/>
            <w:tcBorders>
              <w:top w:val="single" w:sz="8" w:color="auto"/>
              <w:left w:val="single" w:sz="8" w:color="auto"/>
              <w:right w:val="single" w:sz="8" w:color="auto"/>
            </w:tcBorders>
          </w:tcPr>
          <w:p>
            <w:pPr>
              <w:spacing w:after="0"/>
              <w:rPr>
                <w:sz w:val="18"/>
                <w:szCs w:val="18"/>
                <w:color w:val="auto"/>
              </w:rPr>
            </w:pPr>
          </w:p>
        </w:tc>
        <w:tc>
          <w:tcPr>
            <w:tcW w:w="1520" w:type="dxa"/>
            <w:vAlign w:val="bottom"/>
            <w:tcBorders>
              <w:top w:val="single" w:sz="8" w:color="auto"/>
              <w:right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Fees Earned</w:t>
            </w:r>
          </w:p>
        </w:tc>
        <w:tc>
          <w:tcPr>
            <w:tcW w:w="1420" w:type="dxa"/>
            <w:vAlign w:val="bottom"/>
            <w:tcBorders>
              <w:top w:val="single" w:sz="8" w:color="auto"/>
              <w:right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Value of Stock</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jc w:val="center"/>
              <w:ind w:right="315"/>
              <w:spacing w:after="0"/>
              <w:rPr>
                <w:sz w:val="20"/>
                <w:szCs w:val="20"/>
                <w:color w:val="auto"/>
              </w:rPr>
            </w:pPr>
            <w:r>
              <w:rPr>
                <w:rFonts w:ascii="Times New Roman" w:cs="Times New Roman" w:eastAsia="Times New Roman" w:hAnsi="Times New Roman"/>
                <w:sz w:val="18"/>
                <w:szCs w:val="18"/>
                <w:color w:val="auto"/>
                <w:w w:val="99"/>
              </w:rPr>
              <w:t>All Other</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r>
      <w:tr>
        <w:trPr>
          <w:trHeight w:val="234"/>
        </w:trPr>
        <w:tc>
          <w:tcPr>
            <w:tcW w:w="2860" w:type="dxa"/>
            <w:vAlign w:val="bottom"/>
            <w:tcBorders>
              <w:left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Name</w:t>
            </w:r>
          </w:p>
        </w:tc>
        <w:tc>
          <w:tcPr>
            <w:tcW w:w="15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Year</w:t>
            </w:r>
          </w:p>
        </w:tc>
        <w:tc>
          <w:tcPr>
            <w:tcW w:w="1460" w:type="dxa"/>
            <w:vAlign w:val="bottom"/>
            <w:tcBorders>
              <w:bottom w:val="single" w:sz="8" w:color="auto"/>
              <w:right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or Paid in Cash</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right"/>
              <w:ind w:right="271"/>
              <w:spacing w:after="0" w:line="235" w:lineRule="exact"/>
              <w:rPr>
                <w:sz w:val="20"/>
                <w:szCs w:val="20"/>
                <w:color w:val="auto"/>
              </w:rPr>
            </w:pPr>
            <w:r>
              <w:rPr>
                <w:rFonts w:ascii="Times New Roman" w:cs="Times New Roman" w:eastAsia="Times New Roman" w:hAnsi="Times New Roman"/>
                <w:sz w:val="17"/>
                <w:szCs w:val="17"/>
                <w:color w:val="auto"/>
              </w:rPr>
              <w:t xml:space="preserve">Awards </w:t>
            </w:r>
            <w:r>
              <w:rPr>
                <w:rFonts w:ascii="Times New Roman" w:cs="Times New Roman" w:eastAsia="Times New Roman" w:hAnsi="Times New Roman"/>
                <w:sz w:val="27"/>
                <w:szCs w:val="27"/>
                <w:color w:val="auto"/>
                <w:vertAlign w:val="superscript"/>
              </w:rPr>
              <w:t>(1)</w:t>
            </w:r>
          </w:p>
        </w:tc>
        <w:tc>
          <w:tcPr>
            <w:tcW w:w="1480" w:type="dxa"/>
            <w:vAlign w:val="bottom"/>
            <w:tcBorders>
              <w:bottom w:val="single" w:sz="8" w:color="auto"/>
              <w:right w:val="single" w:sz="8" w:color="auto"/>
            </w:tcBorders>
            <w:gridSpan w:val="2"/>
          </w:tcPr>
          <w:p>
            <w:pPr>
              <w:jc w:val="center"/>
              <w:ind w:right="75"/>
              <w:spacing w:after="0"/>
              <w:rPr>
                <w:sz w:val="20"/>
                <w:szCs w:val="20"/>
                <w:color w:val="auto"/>
              </w:rPr>
            </w:pPr>
            <w:r>
              <w:rPr>
                <w:rFonts w:ascii="Times New Roman" w:cs="Times New Roman" w:eastAsia="Times New Roman" w:hAnsi="Times New Roman"/>
                <w:sz w:val="18"/>
                <w:szCs w:val="18"/>
                <w:color w:val="auto"/>
                <w:w w:val="99"/>
              </w:rPr>
              <w:t>Compensation</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286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Michael Doar </w:t>
            </w:r>
            <w:r>
              <w:rPr>
                <w:rFonts w:ascii="Times New Roman" w:cs="Times New Roman" w:eastAsia="Times New Roman" w:hAnsi="Times New Roman"/>
                <w:sz w:val="25"/>
                <w:szCs w:val="25"/>
                <w:color w:val="auto"/>
                <w:vertAlign w:val="superscript"/>
              </w:rPr>
              <w:t>(2)</w:t>
            </w:r>
          </w:p>
        </w:tc>
        <w:tc>
          <w:tcPr>
            <w:tcW w:w="15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144,375</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154,375</w:t>
            </w:r>
          </w:p>
        </w:tc>
      </w:tr>
      <w:tr>
        <w:trPr>
          <w:trHeight w:val="223"/>
        </w:trPr>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Janet Giesselman</w:t>
            </w:r>
          </w:p>
        </w:tc>
        <w:tc>
          <w:tcPr>
            <w:tcW w:w="15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79,375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159,375</w:t>
            </w:r>
          </w:p>
        </w:tc>
      </w:tr>
      <w:tr>
        <w:trPr>
          <w:trHeight w:val="223"/>
        </w:trPr>
        <w:tc>
          <w:tcPr>
            <w:tcW w:w="286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David Johnson </w:t>
            </w:r>
            <w:r>
              <w:rPr>
                <w:rFonts w:ascii="Times New Roman" w:cs="Times New Roman" w:eastAsia="Times New Roman" w:hAnsi="Times New Roman"/>
                <w:sz w:val="25"/>
                <w:szCs w:val="25"/>
                <w:color w:val="auto"/>
                <w:vertAlign w:val="superscript"/>
              </w:rPr>
              <w:t>(2)</w:t>
            </w:r>
          </w:p>
        </w:tc>
        <w:tc>
          <w:tcPr>
            <w:tcW w:w="15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64,375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164,375</w:t>
            </w:r>
          </w:p>
        </w:tc>
      </w:tr>
      <w:tr>
        <w:trPr>
          <w:trHeight w:val="223"/>
        </w:trPr>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 Olsen</w:t>
            </w:r>
          </w:p>
        </w:tc>
        <w:tc>
          <w:tcPr>
            <w:tcW w:w="15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64,375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144,375</w:t>
            </w:r>
          </w:p>
        </w:tc>
      </w:tr>
      <w:tr>
        <w:trPr>
          <w:trHeight w:val="223"/>
        </w:trPr>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Smiley</w:t>
            </w:r>
          </w:p>
        </w:tc>
        <w:tc>
          <w:tcPr>
            <w:tcW w:w="15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122,875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spacing w:after="0" w:line="223" w:lineRule="exact"/>
              <w:rPr>
                <w:sz w:val="20"/>
                <w:szCs w:val="20"/>
                <w:color w:val="auto"/>
              </w:rPr>
            </w:pPr>
            <w:r>
              <w:rPr>
                <w:rFonts w:ascii="Times New Roman" w:cs="Times New Roman" w:eastAsia="Times New Roman" w:hAnsi="Times New Roman"/>
                <w:sz w:val="16"/>
                <w:szCs w:val="16"/>
                <w:color w:val="auto"/>
              </w:rPr>
              <w:t>62,500</w:t>
            </w:r>
            <w:r>
              <w:rPr>
                <w:rFonts w:ascii="Times New Roman" w:cs="Times New Roman" w:eastAsia="Times New Roman" w:hAnsi="Times New Roman"/>
                <w:sz w:val="25"/>
                <w:szCs w:val="25"/>
                <w:color w:val="auto"/>
                <w:vertAlign w:val="superscript"/>
              </w:rPr>
              <w:t>(3)</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265,375</w:t>
            </w:r>
          </w:p>
        </w:tc>
      </w:tr>
      <w:tr>
        <w:trPr>
          <w:trHeight w:val="223"/>
        </w:trPr>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Juliann Larimer</w:t>
            </w:r>
          </w:p>
        </w:tc>
        <w:tc>
          <w:tcPr>
            <w:tcW w:w="152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64,375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144,375</w:t>
            </w:r>
          </w:p>
        </w:tc>
      </w:tr>
    </w:tbl>
    <w:p>
      <w:pPr>
        <w:spacing w:after="0" w:line="198" w:lineRule="exact"/>
        <w:rPr>
          <w:sz w:val="20"/>
          <w:szCs w:val="20"/>
          <w:color w:val="auto"/>
        </w:rPr>
      </w:pPr>
    </w:p>
    <w:p>
      <w:pPr>
        <w:jc w:val="both"/>
        <w:ind w:left="5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Stock Awards is computed as of the date of grant in accordance with Financial Accounting Standards Board ASC Topic 718. Mr. Doar held 13,111 shares of restricted stock and Mr. Johnson held 8,634 shares of restricted stock as of the end of FY2025. Each other director held 6,747 shares of restricted stock as of the end of FY2025.</w:t>
      </w:r>
    </w:p>
    <w:p>
      <w:pPr>
        <w:spacing w:after="0" w:line="175" w:lineRule="exact"/>
        <w:rPr>
          <w:rFonts w:ascii="Times New Roman" w:cs="Times New Roman" w:eastAsia="Times New Roman" w:hAnsi="Times New Roman"/>
          <w:sz w:val="18"/>
          <w:szCs w:val="18"/>
          <w:color w:val="auto"/>
        </w:rPr>
      </w:pPr>
    </w:p>
    <w:p>
      <w:pPr>
        <w:ind w:left="500" w:right="1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Messrs. Doar and Johnson’s stock awards includes shares of restricted stock issued in lieu of quarterly cash retainers, pursuant to an irrevocable election made under the Twin Disc, Incorporated Amended and Restated 2021 Omnibus Incentive Plan and the Twin Disc, Incorporated 2020 Stock Incentive Plan for Non-Employee Directors. Such shares will vest on the first anniversary of the date of issuance.</w:t>
      </w:r>
    </w:p>
    <w:p>
      <w:pPr>
        <w:spacing w:after="0" w:line="175" w:lineRule="exact"/>
        <w:rPr>
          <w:rFonts w:ascii="Times New Roman" w:cs="Times New Roman" w:eastAsia="Times New Roman" w:hAnsi="Times New Roman"/>
          <w:sz w:val="18"/>
          <w:szCs w:val="18"/>
          <w:color w:val="auto"/>
        </w:rPr>
      </w:pPr>
    </w:p>
    <w:p>
      <w:pPr>
        <w:ind w:left="500" w:right="100" w:hanging="330"/>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a pension benefit that Mr. Smiley receives quarterly following his initial retirement from the Board in 2018. Upon his return to the Board in August 2019, he was no longer eligible to earn benefits under the director retirement plan (described below), as this retirement program had been closed effective January 2018. Mr. Smiley will continue to receive this benefit through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Compensation Plan</w:t>
      </w:r>
    </w:p>
    <w:p>
      <w:pPr>
        <w:spacing w:after="0" w:line="22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Outside Directors of the Corporation (i.e., non-Corporation employees) are paid an annual retainer fee composed of both cash and restricted shares of Twin Disc stock. The restricted shares are issued under the Twin Disc, Incorporated Amended and Restated 2021 Omnibus Incentive Plan (the “LTI Plan”). The mix of cash and stock is determined by the Board of Directors on an annual basis. The cash portion is paid quarterly, while the stock portion of the retainer is awarded annually, at the annual shareholders meeting in October. The restricted shares awarded at a shareholders meeting will vest as of the subsequent annual shareholders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LTI Plan, Directors have the option to elect to receive all or a portion of their quarterly base cash retainer in restricted shares of Twin Disc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restricted shares will vest one year after the date that the quarterly cash retainer payment would have been made.</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Committee chairs are paid an annual fee in addition to the annual retainer. The chair of the Audit Committee receives $20,000, the chair of the Compensation and Human Capital Committee receives $15,000 and the chair of the Governance Committee receives $10,000. The annual Chairman’s fee is $54,000.</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Director stock ownership guidelines are in place for the outside Directors of the Corporation. These guidelines will set a target ownership level of three times the value of the Director annual retainer fee, exclusive of committee chair fees. Directors will have a period of five years to attain their targeted ownership level. The Compensation and Human Capital Committee monitors compliance with this guideline, using its discretion to address nonattainment issues.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Outside Directors who reach the age of 72 are required to retire from the Board of Directors effective as of the completion of their current term.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 In January of 2018, the Board voted to close this retirement program to new directors, with current participants continuing in the program, as described above, until their retirement. In May of 2020, the Board voted to cap the maximum annual benefit at $62,500 and cap the maximum service years equal to 15 years. For those Directors who already had more than fifteen years of service at the time of the change, their benefit immediately freezes at their current service years, with no additional accruals.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Audit Committee Report</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five times during fiscal 2025.</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the applicable requirements of the Public Company Accounting Oversight Board and the SEC.</w:t>
      </w:r>
    </w:p>
    <w:p>
      <w:pPr>
        <w:spacing w:after="0" w:line="18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RSM US LLP matters relating to its independence.</w:t>
      </w:r>
    </w:p>
    <w:p>
      <w:pPr>
        <w:spacing w:after="0" w:line="158" w:lineRule="exact"/>
        <w:rPr>
          <w:sz w:val="20"/>
          <w:szCs w:val="20"/>
          <w:color w:val="auto"/>
        </w:rPr>
      </w:pPr>
    </w:p>
    <w:p>
      <w:pPr>
        <w:ind w:right="420"/>
        <w:spacing w:after="0" w:line="222" w:lineRule="exact"/>
        <w:rPr>
          <w:sz w:val="20"/>
          <w:szCs w:val="20"/>
          <w:color w:val="auto"/>
        </w:rPr>
      </w:pPr>
      <w:r>
        <w:rPr>
          <w:rFonts w:ascii="Times New Roman" w:cs="Times New Roman" w:eastAsia="Times New Roman" w:hAnsi="Times New Roman"/>
          <w:sz w:val="18"/>
          <w:szCs w:val="18"/>
          <w:color w:val="auto"/>
        </w:rPr>
        <w:t>On the basis of these reviews and discussions, the Committee recommended to the Board of Directors that the Board approve the inclusion of the Corporation's audited financial statements in the Corporation’s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June 30, 2025, for filing with the Securities and Exchange Commission.</w:t>
      </w:r>
    </w:p>
    <w:p>
      <w:pPr>
        <w:spacing w:after="0" w:line="19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David W. Johnson, Chair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Janet P. Giesselman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Juliann Larimer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Kevin M. Olsen</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August 6, 2025</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EQUITY COMPENSATION PLAN INFORMATION</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the Corporation’s equity-based compensation plans as of the end of the most recently completed fiscal year:</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160" w:type="dxa"/>
            <w:vAlign w:val="bottom"/>
            <w:tcBorders>
              <w:top w:val="single" w:sz="8" w:color="auto"/>
              <w:left w:val="single" w:sz="8" w:color="auto"/>
              <w:right w:val="single" w:sz="8" w:color="auto"/>
            </w:tcBorders>
          </w:tcPr>
          <w:p>
            <w:pPr>
              <w:spacing w:after="0"/>
              <w:rPr>
                <w:sz w:val="18"/>
                <w:szCs w:val="18"/>
                <w:color w:val="auto"/>
              </w:rPr>
            </w:pP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Securities to be</w:t>
            </w:r>
          </w:p>
        </w:tc>
        <w:tc>
          <w:tcPr>
            <w:tcW w:w="2800" w:type="dxa"/>
            <w:vAlign w:val="bottom"/>
            <w:tcBorders>
              <w:top w:val="single" w:sz="8" w:color="auto"/>
              <w:right w:val="single" w:sz="8" w:color="auto"/>
            </w:tcBorders>
          </w:tcPr>
          <w:p>
            <w:pPr>
              <w:spacing w:after="0"/>
              <w:rPr>
                <w:sz w:val="18"/>
                <w:szCs w:val="18"/>
                <w:color w:val="auto"/>
              </w:rPr>
            </w:pP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of Securities Remaining</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Issued Upon Exercise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Weighted Average Price</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Available for FutureIssuance</w:t>
            </w:r>
          </w:p>
        </w:tc>
        <w:tc>
          <w:tcPr>
            <w:tcW w:w="0" w:type="dxa"/>
            <w:vAlign w:val="bottom"/>
          </w:tcPr>
          <w:p>
            <w:pPr>
              <w:spacing w:after="0"/>
              <w:rPr>
                <w:sz w:val="1"/>
                <w:szCs w:val="1"/>
                <w:color w:val="auto"/>
              </w:rPr>
            </w:pPr>
          </w:p>
        </w:tc>
      </w:tr>
      <w:tr>
        <w:trPr>
          <w:trHeight w:val="216"/>
        </w:trPr>
        <w:tc>
          <w:tcPr>
            <w:tcW w:w="316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Outstanding Options,</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Outstanding Options,</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Under Equity Compensation</w:t>
            </w:r>
          </w:p>
        </w:tc>
        <w:tc>
          <w:tcPr>
            <w:tcW w:w="0" w:type="dxa"/>
            <w:vAlign w:val="bottom"/>
          </w:tcPr>
          <w:p>
            <w:pPr>
              <w:spacing w:after="0"/>
              <w:rPr>
                <w:sz w:val="1"/>
                <w:szCs w:val="1"/>
                <w:color w:val="auto"/>
              </w:rPr>
            </w:pPr>
          </w:p>
        </w:tc>
      </w:tr>
      <w:tr>
        <w:trPr>
          <w:trHeight w:val="251"/>
        </w:trPr>
        <w:tc>
          <w:tcPr>
            <w:tcW w:w="31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Plans</w:t>
            </w:r>
          </w:p>
        </w:tc>
        <w:tc>
          <w:tcPr>
            <w:tcW w:w="0" w:type="dxa"/>
            <w:vAlign w:val="bottom"/>
          </w:tcPr>
          <w:p>
            <w:pPr>
              <w:spacing w:after="0"/>
              <w:rPr>
                <w:sz w:val="1"/>
                <w:szCs w:val="1"/>
                <w:color w:val="auto"/>
              </w:rPr>
            </w:pPr>
          </w:p>
        </w:tc>
      </w:tr>
      <w:tr>
        <w:trPr>
          <w:trHeight w:val="174"/>
        </w:trPr>
        <w:tc>
          <w:tcPr>
            <w:tcW w:w="3160" w:type="dxa"/>
            <w:vAlign w:val="bottom"/>
            <w:tcBorders>
              <w:left w:val="single" w:sz="8" w:color="auto"/>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309,533 (1)</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566,168 (2)</w:t>
            </w:r>
          </w:p>
        </w:tc>
        <w:tc>
          <w:tcPr>
            <w:tcW w:w="0" w:type="dxa"/>
            <w:vAlign w:val="bottom"/>
          </w:tcPr>
          <w:p>
            <w:pPr>
              <w:spacing w:after="0"/>
              <w:rPr>
                <w:sz w:val="1"/>
                <w:szCs w:val="1"/>
                <w:color w:val="auto"/>
              </w:rPr>
            </w:pPr>
          </w:p>
        </w:tc>
      </w:tr>
      <w:tr>
        <w:trPr>
          <w:trHeight w:val="126"/>
        </w:trPr>
        <w:tc>
          <w:tcPr>
            <w:tcW w:w="31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5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16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31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By Shareholders</w:t>
            </w:r>
          </w:p>
        </w:tc>
        <w:tc>
          <w:tcPr>
            <w:tcW w:w="258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1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309,533 (1)</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566,168 (2)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80" w:hanging="332"/>
        <w:spacing w:after="0" w:line="258"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119,349 shares of performance stock that may be issued as of June 30, 2026, and 113,805 shares of performance stock that may be issued as of June 30, 2027, all under the Twin Disc, Incorporated Amended and Restated 2021 Omnibus Incentive Compensation Plan (“LTI Plan”) assuming the target performance goals are achieved. As of June 30, 2025, the Corporation believes that it is likely that the performance goals for the awards that may be issued as of June 30, 2026 and June 30, 2027 will be achieved above target. Also includes 76,379 restricted stock units that are scheduled to vest on August 1, 2027 issued under the LTI Plan.</w:t>
      </w:r>
    </w:p>
    <w:p>
      <w:pPr>
        <w:spacing w:after="0" w:line="183" w:lineRule="exact"/>
        <w:rPr>
          <w:rFonts w:ascii="Times New Roman" w:cs="Times New Roman" w:eastAsia="Times New Roman" w:hAnsi="Times New Roman"/>
          <w:sz w:val="18"/>
          <w:szCs w:val="18"/>
          <w:color w:val="auto"/>
        </w:rPr>
      </w:pPr>
    </w:p>
    <w:p>
      <w:pPr>
        <w:ind w:left="340" w:right="32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566,168 shares of the Corporation’s common stock issuable under the Twin Disc, Incorporated Amended and Restated 2021 Omnibus Incentive Plan (“LTI Plan”). Assumes that all outstanding restricted stock unit awards will vest, and all outstanding performance-based awards will vest at target; such awards are not included in the number of securities remaining available for future issuance under the LTI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10% of a registered class of our equity securities, to file with the SEC initial reports of ownership and reports of changes in ownership of such securities. To our knowledge, based solely on a review of such reports filed with the SEC and written representations that no other reports were required, during fiscal 2025, we believe that all required reports were timely filed, except that the Forms 4 filed by John H. Batten and Jeffrey S. Knutson on August 6, 2024 did not include their awards of restricted stock units in the table of derivative securities. The Forms 4 were subsequently amended to include the restricted stock unit awards.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3302635</wp:posOffset>
            </wp:positionH>
            <wp:positionV relativeFrom="page">
              <wp:posOffset>88900</wp:posOffset>
            </wp:positionV>
            <wp:extent cx="942975" cy="394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942975" cy="394335"/>
                    </a:xfrm>
                    <a:prstGeom prst="rect">
                      <a:avLst/>
                    </a:prstGeom>
                    <a:noFill/>
                  </pic:spPr>
                </pic:pic>
              </a:graphicData>
            </a:graphic>
          </wp:anchor>
        </w:drawing>
        <w:t>GENERAL</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Corporation will bear the cost of the solicitation of proxies. The firm of Georgeson Inc., New York, NY has been retained to assist in solicitation of proxies for the Annual Meeting at a fee not to exceed $11,000 plus expenses.</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If you do not contemplate attending the Annual Meeting, we respectfully request that you direct your vote via the Internet or by telephone, or (if you received paper copies of the proxy materials) by filling in, signing and returning the accompanying proxy at your earliest convenience. If you are a registered shareholder of the Corporation, you may transmit your voting instructions via the Internet by accessing </w:t>
      </w:r>
      <w:r>
        <w:rPr>
          <w:rFonts w:ascii="Times New Roman" w:cs="Times New Roman" w:eastAsia="Times New Roman" w:hAnsi="Times New Roman"/>
          <w:sz w:val="18"/>
          <w:szCs w:val="18"/>
          <w:u w:val="single" w:color="auto"/>
          <w:color w:val="auto"/>
        </w:rPr>
        <w:t>www.investorvote.com/twin</w:t>
      </w:r>
      <w:r>
        <w:rPr>
          <w:rFonts w:ascii="Times New Roman" w:cs="Times New Roman" w:eastAsia="Times New Roman" w:hAnsi="Times New Roman"/>
          <w:sz w:val="18"/>
          <w:szCs w:val="18"/>
          <w:color w:val="auto"/>
        </w:rPr>
        <w:t xml:space="preserve"> or by telephone at 1-800-652-8683. If you hold your shares through an intermediary, such as a bank or brokerage firm, you may be eligible to vote your shares electronically via the Internet or by telephone – your voting form will provide you with instructions. If you are returning a paper copy of your proxy, it must be delivered to the Secretary either in person, by mail, or by messenger, and it must be received by the Secretary not less than forty-eight (48) hours prior to the date of the Annual Meeting.</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TWIN DISC, INCORPORATED 2025 ANNUAL REPORT | PROXY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97" w:right="5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380365</wp:posOffset>
            </wp:positionV>
            <wp:extent cx="2948940" cy="814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4894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Using a </w:t>
      </w:r>
      <w:r>
        <w:rPr>
          <w:rFonts w:ascii="Times New Roman" w:cs="Times New Roman" w:eastAsia="Times New Roman" w:hAnsi="Times New Roman"/>
          <w:sz w:val="18"/>
          <w:szCs w:val="18"/>
          <w:b w:val="1"/>
          <w:bCs w:val="1"/>
          <w:u w:val="single" w:color="auto"/>
          <w:color w:val="auto"/>
        </w:rPr>
        <w:t>black ink</w:t>
      </w:r>
      <w:r>
        <w:rPr>
          <w:rFonts w:ascii="Times New Roman" w:cs="Times New Roman" w:eastAsia="Times New Roman" w:hAnsi="Times New Roman"/>
          <w:sz w:val="18"/>
          <w:szCs w:val="18"/>
          <w:color w:val="auto"/>
        </w:rPr>
        <w:t xml:space="preserve"> pen, mark your votes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as shown in this example.</w:t>
      </w:r>
    </w:p>
    <w:p>
      <w:pPr>
        <w:spacing w:after="0" w:line="9" w:lineRule="exact"/>
        <w:rPr>
          <w:sz w:val="20"/>
          <w:szCs w:val="20"/>
          <w:color w:val="auto"/>
        </w:rPr>
      </w:pPr>
    </w:p>
    <w:p>
      <w:pPr>
        <w:ind w:right="3360"/>
        <w:spacing w:after="0" w:line="260" w:lineRule="auto"/>
        <w:rPr>
          <w:sz w:val="20"/>
          <w:szCs w:val="20"/>
          <w:color w:val="auto"/>
        </w:rPr>
      </w:pPr>
      <w:r>
        <w:rPr>
          <w:rFonts w:ascii="Times New Roman" w:cs="Times New Roman" w:eastAsia="Times New Roman" w:hAnsi="Times New Roman"/>
          <w:sz w:val="18"/>
          <w:szCs w:val="18"/>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-275590</wp:posOffset>
            </wp:positionV>
            <wp:extent cx="291465" cy="265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Your vote matters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here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how to vote!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You may vote online or by phone instead of mailing this card.</w:t>
      </w:r>
    </w:p>
    <w:p>
      <w:pPr>
        <w:spacing w:after="0" w:line="158" w:lineRule="exact"/>
        <w:rPr>
          <w:sz w:val="20"/>
          <w:szCs w:val="20"/>
          <w:color w:val="auto"/>
        </w:rPr>
      </w:pPr>
    </w:p>
    <w:p>
      <w:pPr>
        <w:ind w:left="780" w:right="40"/>
        <w:spacing w:after="0" w:line="268" w:lineRule="auto"/>
        <w:rPr>
          <w:sz w:val="20"/>
          <w:szCs w:val="20"/>
          <w:color w:val="auto"/>
        </w:rPr>
      </w:pPr>
      <w:r>
        <w:rPr>
          <w:rFonts w:ascii="Times New Roman" w:cs="Times New Roman" w:eastAsia="Times New Roman" w:hAnsi="Times New Roman"/>
          <w:sz w:val="18"/>
          <w:szCs w:val="18"/>
          <w:b w:val="1"/>
          <w:bCs w:val="1"/>
          <w:color w:val="auto"/>
        </w:rPr>
        <w:t>Votes submitted electronically must be received by October 29, 2025 at 11:59 P.M., Central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-365760</wp:posOffset>
            </wp:positionV>
            <wp:extent cx="334645"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4645" cy="291465"/>
                    </a:xfrm>
                    <a:prstGeom prst="rect">
                      <a:avLst/>
                    </a:prstGeom>
                    <a:noFill/>
                  </pic:spPr>
                </pic:pic>
              </a:graphicData>
            </a:graphic>
          </wp:anchor>
        </w:drawing>
      </w:r>
    </w:p>
    <w:p>
      <w:pPr>
        <w:spacing w:after="0" w:line="15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Online</w:t>
      </w:r>
    </w:p>
    <w:p>
      <w:pPr>
        <w:spacing w:after="0" w:line="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Go to </w:t>
      </w:r>
      <w:r>
        <w:rPr>
          <w:rFonts w:ascii="Times New Roman" w:cs="Times New Roman" w:eastAsia="Times New Roman" w:hAnsi="Times New Roman"/>
          <w:sz w:val="18"/>
          <w:szCs w:val="18"/>
          <w:b w:val="1"/>
          <w:bCs w:val="1"/>
          <w:color w:val="auto"/>
        </w:rPr>
        <w:t>www.investorvote.com/TWIN</w:t>
      </w:r>
      <w:r>
        <w:rPr>
          <w:rFonts w:ascii="Times New Roman" w:cs="Times New Roman" w:eastAsia="Times New Roman" w:hAnsi="Times New Roman"/>
          <w:sz w:val="18"/>
          <w:szCs w:val="18"/>
          <w:color w:val="auto"/>
        </w:rPr>
        <w:t>or scan</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QR code — login details are located in the</w:t>
      </w:r>
    </w:p>
    <w:p>
      <w:pPr>
        <w:spacing w:after="0" w:line="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shaded bar below</w:t>
      </w:r>
    </w:p>
    <w:p>
      <w:pPr>
        <w:spacing w:after="0" w:line="2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231775" cy="386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1775" cy="386080"/>
                    </a:xfrm>
                    <a:prstGeom prst="rect">
                      <a:avLst/>
                    </a:prstGeom>
                    <a:noFill/>
                  </pic:spPr>
                </pic:pic>
              </a:graphicData>
            </a:graphic>
          </wp:anchor>
        </w:drawing>
      </w:r>
    </w:p>
    <w:p>
      <w:pPr>
        <w:spacing w:after="0" w:line="11" w:lineRule="exact"/>
        <w:rPr>
          <w:sz w:val="20"/>
          <w:szCs w:val="20"/>
          <w:color w:val="auto"/>
        </w:rPr>
      </w:pPr>
    </w:p>
    <w:p>
      <w:pPr>
        <w:ind w:left="780" w:right="80"/>
        <w:spacing w:after="0" w:line="260" w:lineRule="auto"/>
        <w:rPr>
          <w:sz w:val="20"/>
          <w:szCs w:val="20"/>
          <w:color w:val="auto"/>
        </w:rPr>
      </w:pPr>
      <w:r>
        <w:rPr>
          <w:rFonts w:ascii="Times New Roman" w:cs="Times New Roman" w:eastAsia="Times New Roman" w:hAnsi="Times New Roman"/>
          <w:sz w:val="18"/>
          <w:szCs w:val="18"/>
          <w:color w:val="auto"/>
        </w:rPr>
        <w:t>Call toll free 1-800-652-VOTE (8683) within the USA, US territories and Canada</w:t>
      </w:r>
    </w:p>
    <w:p>
      <w:pPr>
        <w:spacing w:after="0" w:line="285" w:lineRule="exact"/>
        <w:rPr>
          <w:sz w:val="20"/>
          <w:szCs w:val="20"/>
          <w:color w:val="auto"/>
        </w:rPr>
      </w:pPr>
    </w:p>
    <w:p>
      <w:pPr>
        <w:ind w:left="780" w:right="240"/>
        <w:spacing w:after="0" w:line="268" w:lineRule="auto"/>
        <w:rPr>
          <w:sz w:val="20"/>
          <w:szCs w:val="20"/>
          <w:color w:val="auto"/>
        </w:rPr>
      </w:pPr>
      <w:r>
        <w:rPr>
          <w:rFonts w:ascii="Times New Roman" w:cs="Times New Roman" w:eastAsia="Times New Roman" w:hAnsi="Times New Roman"/>
          <w:sz w:val="18"/>
          <w:szCs w:val="18"/>
          <w:b w:val="1"/>
          <w:bCs w:val="1"/>
          <w:color w:val="auto"/>
        </w:rPr>
        <w:t>Save paper, time and money! Sign up for electronic delivery at www.investorvote.com/TWIN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-391160</wp:posOffset>
            </wp:positionV>
            <wp:extent cx="334645" cy="3346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4645" cy="33464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191135</wp:posOffset>
            </wp:positionV>
            <wp:extent cx="7132320" cy="265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1" w:lineRule="exact"/>
        <w:rPr>
          <w:sz w:val="20"/>
          <w:szCs w:val="20"/>
          <w:color w:val="auto"/>
        </w:rPr>
      </w:pPr>
    </w:p>
    <w:p>
      <w:pPr>
        <w:sectPr>
          <w:pgSz w:w="11900" w:h="16838" w:orient="portrait"/>
          <w:cols w:equalWidth="0" w:num="2">
            <w:col w:w="6380" w:space="720"/>
            <w:col w:w="4140"/>
          </w:cols>
          <w:pgMar w:left="320" w:top="1440" w:right="339" w:bottom="808" w:gutter="0" w:footer="0" w:header="0"/>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b w:val="1"/>
          <w:bCs w:val="1"/>
          <w:color w:val="auto"/>
        </w:rPr>
        <w:t>2025 Annual Meeting Proxy Card</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IF VOTING BY MAIL, SIGN, DETACH AND RETURN THE BOTTOM PORTION IN THE ENCLOSED ENVELOPE.</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spacing w:after="0"/>
        <w:rPr>
          <w:sz w:val="20"/>
          <w:szCs w:val="20"/>
          <w:color w:val="auto"/>
        </w:rPr>
      </w:pPr>
      <w:r>
        <w:rPr>
          <w:sz w:val="1"/>
          <w:szCs w:val="1"/>
          <w:color w:val="auto"/>
        </w:rPr>
        <w:drawing>
          <wp:inline distT="0" distB="0" distL="0" distR="0">
            <wp:extent cx="179705" cy="1797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Proposals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BOARD OF DIRECTORS RECOMMEND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3771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1.</w:t>
        <w:tab/>
        <w:t>Election of Directors:</w:t>
      </w:r>
    </w:p>
    <w:p>
      <w:pPr>
        <w:spacing w:after="0" w:line="8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01 - John H. Batten</w:t>
            </w:r>
          </w:p>
        </w:tc>
        <w:tc>
          <w:tcPr>
            <w:tcW w:w="38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02 - Juliann Larimer</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 Kevin M. Olsen</w:t>
            </w: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8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Mark here to vote FOR all nominees</w:t>
            </w:r>
          </w:p>
        </w:tc>
        <w:tc>
          <w:tcPr>
            <w:tcW w:w="5700" w:type="dxa"/>
            <w:vAlign w:val="bottom"/>
            <w:gridSpan w:val="4"/>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Mark here to WITHHOLD vote from all nominees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For All EXCEPT - </w:t>
            </w:r>
            <w:r>
              <w:rPr>
                <w:rFonts w:ascii="Times New Roman" w:cs="Times New Roman" w:eastAsia="Times New Roman" w:hAnsi="Times New Roman"/>
                <w:sz w:val="18"/>
                <w:szCs w:val="18"/>
                <w:color w:val="auto"/>
              </w:rPr>
              <w:t>To withhold a vote for one or more</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02</w:t>
            </w:r>
          </w:p>
        </w:tc>
        <w:tc>
          <w:tcPr>
            <w:tcW w:w="372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75"/>
        </w:trPr>
        <w:tc>
          <w:tcPr>
            <w:tcW w:w="4880" w:type="dxa"/>
            <w:vAlign w:val="bottom"/>
            <w:gridSpan w:val="5"/>
            <w:vMerge w:val="continue"/>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nominees, mark the box to the left and the corresponding</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numbered box(es) to the right.</w:t>
            </w: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For   Against Abstain</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Against Abstain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-1002665</wp:posOffset>
            </wp:positionV>
            <wp:extent cx="179705"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-1002665</wp:posOffset>
            </wp:positionV>
            <wp:extent cx="179705"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-574040</wp:posOffset>
            </wp:positionV>
            <wp:extent cx="179705"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-574040</wp:posOffset>
            </wp:positionV>
            <wp:extent cx="179705"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-574040</wp:posOffset>
            </wp:positionV>
            <wp:extent cx="179705"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-574040</wp:posOffset>
            </wp:positionV>
            <wp:extent cx="179705"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ectPr>
          <w:pgSz w:w="11900" w:h="16838" w:orient="portrait"/>
          <w:cols w:equalWidth="0" w:num="1">
            <w:col w:w="11240"/>
          </w:cols>
          <w:pgMar w:left="320" w:top="1440" w:right="339" w:bottom="808" w:gutter="0" w:footer="0" w:header="0"/>
          <w:type w:val="continuous"/>
        </w:sectPr>
      </w:pPr>
    </w:p>
    <w:p>
      <w:pPr>
        <w:ind w:left="220" w:right="1638" w:hanging="212"/>
        <w:spacing w:after="0" w:line="255" w:lineRule="auto"/>
        <w:tabs>
          <w:tab w:leader="none" w:pos="2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 advisory vote to approve the compensation of the Corporation’s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-238125</wp:posOffset>
            </wp:positionV>
            <wp:extent cx="18034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-238125</wp:posOffset>
            </wp:positionV>
            <wp:extent cx="18034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34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2" w:right="1980" w:hanging="222"/>
        <w:spacing w:after="0" w:line="253" w:lineRule="auto"/>
        <w:tabs>
          <w:tab w:leader="none" w:pos="2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RSM US LLP, an independent registered public accounting firm, as our independent auditors for the fiscal year ending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-373380</wp:posOffset>
            </wp:positionV>
            <wp:extent cx="179705"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-373380</wp:posOffset>
            </wp:positionV>
            <wp:extent cx="179705"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-373380</wp:posOffset>
            </wp:positionV>
            <wp:extent cx="180340" cy="1797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-373380</wp:posOffset>
            </wp:positionV>
            <wp:extent cx="179705"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98" w:space="720"/>
            <w:col w:w="5522"/>
          </w:cols>
          <w:pgMar w:left="320" w:top="1440" w:right="339" w:bottom="8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sz w:val="1"/>
          <w:szCs w:val="1"/>
          <w:color w:val="auto"/>
        </w:rPr>
        <w:drawing>
          <wp:inline distT="0" distB="0" distL="0" distR="0">
            <wp:extent cx="179705" cy="18034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9705" cy="18034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Authorized Signatures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right="120"/>
        <w:spacing w:after="0" w:line="250" w:lineRule="auto"/>
        <w:rPr>
          <w:sz w:val="20"/>
          <w:szCs w:val="20"/>
          <w:color w:val="auto"/>
        </w:rPr>
      </w:pPr>
      <w:r>
        <w:rPr>
          <w:rFonts w:ascii="Times New Roman" w:cs="Times New Roman" w:eastAsia="Times New Roman" w:hAnsi="Times New Roman"/>
          <w:sz w:val="18"/>
          <w:szCs w:val="18"/>
          <w:color w:val="auto"/>
        </w:rPr>
        <w:t>Please sign exactly as name(s) appears hereon. Joint owners should each sign. When signing as attorney, executor, administrator, corporate officer, trustee, guardian, or custodian, please give full title.</w:t>
      </w:r>
    </w:p>
    <w:p>
      <w:pPr>
        <w:sectPr>
          <w:pgSz w:w="11900" w:h="16838" w:orient="portrait"/>
          <w:cols w:equalWidth="0" w:num="1">
            <w:col w:w="11240"/>
          </w:cols>
          <w:pgMar w:left="320" w:top="1440" w:right="339" w:bottom="808" w:gutter="0" w:footer="0" w:header="0"/>
          <w:type w:val="continuous"/>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2284095" cy="3810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84095" cy="381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auto"/>
        <w:rPr>
          <w:sz w:val="20"/>
          <w:szCs w:val="20"/>
          <w:color w:val="auto"/>
        </w:rPr>
      </w:pPr>
      <w:r>
        <w:rPr>
          <w:rFonts w:ascii="Times New Roman" w:cs="Times New Roman" w:eastAsia="Times New Roman" w:hAnsi="Times New Roman"/>
          <w:sz w:val="18"/>
          <w:szCs w:val="18"/>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275840" cy="3810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75840" cy="381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60" w:lineRule="auto"/>
        <w:rPr>
          <w:sz w:val="20"/>
          <w:szCs w:val="20"/>
          <w:color w:val="auto"/>
        </w:rPr>
      </w:pPr>
      <w:r>
        <w:rPr>
          <w:rFonts w:ascii="Times New Roman" w:cs="Times New Roman" w:eastAsia="Times New Roman" w:hAnsi="Times New Roman"/>
          <w:sz w:val="18"/>
          <w:szCs w:val="18"/>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wp:posOffset>
            </wp:positionV>
            <wp:extent cx="2275840" cy="3810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75840" cy="381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00" w:space="440"/>
            <w:col w:w="3420" w:space="380"/>
            <w:col w:w="3600"/>
          </w:cols>
          <w:pgMar w:left="320" w:top="1440" w:right="339" w:bottom="8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6820"/>
        <w:spacing w:after="0"/>
        <w:rPr>
          <w:sz w:val="20"/>
          <w:szCs w:val="20"/>
          <w:color w:val="auto"/>
        </w:rPr>
      </w:pPr>
      <w:r>
        <w:rPr>
          <w:rFonts w:ascii="Times New Roman" w:cs="Times New Roman" w:eastAsia="Times New Roman" w:hAnsi="Times New Roman"/>
          <w:sz w:val="22"/>
          <w:szCs w:val="22"/>
          <w:color w:val="auto"/>
        </w:rPr>
        <w:t>1 U P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-151130</wp:posOffset>
            </wp:positionV>
            <wp:extent cx="179705"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-160020</wp:posOffset>
            </wp:positionV>
            <wp:extent cx="197485" cy="196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7485" cy="196850"/>
                    </a:xfrm>
                    <a:prstGeom prst="rect">
                      <a:avLst/>
                    </a:prstGeom>
                    <a:noFill/>
                  </pic:spPr>
                </pic:pic>
              </a:graphicData>
            </a:graphic>
          </wp:anchor>
        </w:drawing>
      </w:r>
    </w:p>
    <w:p>
      <w:pPr>
        <w:spacing w:after="0" w:line="16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046DFB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08" w:gutter="0" w:footer="0" w:header="0"/>
          <w:type w:val="continuous"/>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380"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Internet availability of proxy materials for the Annual Meeting of Shareholders to be held October 30, 2025. </w:t>
      </w:r>
      <w:r>
        <w:rPr>
          <w:rFonts w:ascii="Times New Roman" w:cs="Times New Roman" w:eastAsia="Times New Roman" w:hAnsi="Times New Roman"/>
          <w:sz w:val="18"/>
          <w:szCs w:val="18"/>
          <w:color w:val="auto"/>
        </w:rPr>
        <w:t>The Proxy Statement and Annual Report on Form 10-K are available at</w:t>
      </w:r>
      <w:r>
        <w:rPr>
          <w:rFonts w:ascii="Times New Roman" w:cs="Times New Roman" w:eastAsia="Times New Roman" w:hAnsi="Times New Roman"/>
          <w:sz w:val="18"/>
          <w:szCs w:val="18"/>
          <w:b w:val="1"/>
          <w:bCs w:val="1"/>
          <w:color w:val="auto"/>
        </w:rPr>
        <w:t>: http://ir.twindisc.com/proxy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112395</wp:posOffset>
            </wp:positionV>
            <wp:extent cx="4534535" cy="5657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345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IF VOTING BY MAIL, SIGN, DETACH AND RETURN THE BOTTOM PORTION IN THE ENCLOSED ENVELOPE.</w:t>
      </w:r>
      <w:r>
        <w:rPr>
          <w:rFonts w:ascii="Times New Roman" w:cs="Times New Roman" w:eastAsia="Times New Roman" w:hAnsi="Times New Roman"/>
          <w:sz w:val="18"/>
          <w:szCs w:val="18"/>
          <w:color w:val="auto"/>
        </w:rPr>
        <w:t>▼</w:t>
      </w:r>
    </w:p>
    <w:p>
      <w:pPr>
        <w:spacing w:after="0" w:line="2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5"/>
          <w:szCs w:val="25"/>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 xml:space="preserve">Annual Meeting of Shareholders </w:t>
      </w:r>
      <w:r>
        <w:rPr>
          <w:rFonts w:ascii="Times New Roman" w:cs="Times New Roman" w:eastAsia="Times New Roman" w:hAnsi="Times New Roman"/>
          <w:sz w:val="25"/>
          <w:szCs w:val="25"/>
          <w:color w:val="auto"/>
        </w:rPr>
        <w:t>–</w:t>
      </w:r>
      <w:r>
        <w:rPr>
          <w:rFonts w:ascii="Times New Roman" w:cs="Times New Roman" w:eastAsia="Times New Roman" w:hAnsi="Times New Roman"/>
          <w:sz w:val="25"/>
          <w:szCs w:val="25"/>
          <w:b w:val="1"/>
          <w:bCs w:val="1"/>
          <w:color w:val="auto"/>
        </w:rPr>
        <w:t xml:space="preserve"> October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THIS PROXY IS SOLICITED BY THE BOARD OF DIRECTORS OF THE COMPANY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appoints Janet P. Giesselman and David W. Johnson and each of them, with power to act without the other and with power of substitution, as proxies and attorneys-in-fact and hereby authorizes them to represent and vote, as provided on the other side, all the shares of Twin Disc, Incorporated Common Stock which the undersigned is entitled to vote, and, in their discretion, to vote upon such other business as may properly come before the Annual Meeting of Shareholders of Twin Disc, Incorporated to be held Thursday, October 30, 2025 at 2:00 P.M., local time, or at any adjournment or postponement thereof, with all powers which the undersigned would possess if present at the Meeting.</w:t>
      </w:r>
    </w:p>
    <w:p>
      <w:pPr>
        <w:spacing w:after="0" w:line="3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PROXY WHEN PROPERLY EXECUTED WILL BE VOTED IN THE MANNER DIRECTED HEREIN BY THE UNDERSIGNED SHAREHOLDER. IF NO DIRECTION IS MADE, THIS PROXY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ALL NOMINEES SPECIFIED IN 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OF THE ADVISORY VOTE TO APPROVE THE COMPENSATION OF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NAMED EXECUTIVE OFFICERS;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RSM US LLP, AN INDEPENDENT REGISTERED PUBLIC ACCOUNTING FIRM, AS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INDEPENDENT AUDITORS FOR THE FISCAL YEAR ENDING JUNE 30, 2026.</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(Items to be voted appear on reverse side)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sz w:val="1"/>
          <w:szCs w:val="1"/>
          <w:color w:val="auto"/>
        </w:rPr>
        <w:drawing>
          <wp:inline distT="0" distB="0" distL="0" distR="0">
            <wp:extent cx="179705" cy="1797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 xml:space="preserve">Change of Address </w:t>
      </w:r>
      <w:r>
        <w:rPr>
          <w:rFonts w:ascii="Times New Roman" w:cs="Times New Roman" w:eastAsia="Times New Roman" w:hAnsi="Times New Roman"/>
          <w:sz w:val="18"/>
          <w:szCs w:val="18"/>
          <w:color w:val="auto"/>
        </w:rPr>
        <w:t>— Please print new address below.</w:t>
      </w:r>
      <w:r>
        <w:rPr>
          <w:sz w:val="20"/>
          <w:szCs w:val="20"/>
          <w:color w:val="auto"/>
        </w:rPr>
        <w:tab/>
      </w:r>
      <w:r>
        <w:rPr>
          <w:rFonts w:ascii="Times New Roman" w:cs="Times New Roman" w:eastAsia="Times New Roman" w:hAnsi="Times New Roman"/>
          <w:sz w:val="17"/>
          <w:szCs w:val="17"/>
          <w:b w:val="1"/>
          <w:bCs w:val="1"/>
          <w:color w:val="auto"/>
        </w:rPr>
        <w:t xml:space="preserve">Comments </w:t>
      </w:r>
      <w:r>
        <w:rPr>
          <w:rFonts w:ascii="Times New Roman" w:cs="Times New Roman" w:eastAsia="Times New Roman" w:hAnsi="Times New Roman"/>
          <w:sz w:val="17"/>
          <w:szCs w:val="17"/>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7127875" cy="578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27875" cy="578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1557655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871855</wp:posOffset>
            </wp:positionV>
            <wp:extent cx="179705" cy="1797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862965</wp:posOffset>
            </wp:positionV>
            <wp:extent cx="197485"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7485" cy="1968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525145</wp:posOffset>
            </wp:positionH>
            <wp:positionV relativeFrom="page">
              <wp:posOffset>380365</wp:posOffset>
            </wp:positionV>
            <wp:extent cx="2948940" cy="814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4894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Using a </w:t>
      </w:r>
      <w:r>
        <w:rPr>
          <w:rFonts w:ascii="Times New Roman" w:cs="Times New Roman" w:eastAsia="Times New Roman" w:hAnsi="Times New Roman"/>
          <w:sz w:val="18"/>
          <w:szCs w:val="18"/>
          <w:b w:val="1"/>
          <w:bCs w:val="1"/>
          <w:u w:val="single" w:color="auto"/>
          <w:color w:val="auto"/>
        </w:rPr>
        <w:t>black ink</w:t>
      </w:r>
      <w:r>
        <w:rPr>
          <w:rFonts w:ascii="Times New Roman" w:cs="Times New Roman" w:eastAsia="Times New Roman" w:hAnsi="Times New Roman"/>
          <w:sz w:val="18"/>
          <w:szCs w:val="18"/>
          <w:color w:val="auto"/>
        </w:rPr>
        <w:t xml:space="preserve"> pen, mark your votes 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 xml:space="preserve"> as shown in this example.</w:t>
      </w:r>
    </w:p>
    <w:p>
      <w:pPr>
        <w:spacing w:after="0" w:line="9" w:lineRule="exact"/>
        <w:rPr>
          <w:sz w:val="20"/>
          <w:szCs w:val="20"/>
          <w:color w:val="auto"/>
        </w:rPr>
      </w:pPr>
    </w:p>
    <w:p>
      <w:pPr>
        <w:ind w:right="8220"/>
        <w:spacing w:after="0" w:line="260" w:lineRule="auto"/>
        <w:rPr>
          <w:sz w:val="20"/>
          <w:szCs w:val="20"/>
          <w:color w:val="auto"/>
        </w:rPr>
      </w:pPr>
      <w:r>
        <w:rPr>
          <w:rFonts w:ascii="Times New Roman" w:cs="Times New Roman" w:eastAsia="Times New Roman" w:hAnsi="Times New Roman"/>
          <w:sz w:val="18"/>
          <w:szCs w:val="18"/>
          <w:color w:val="auto"/>
        </w:rPr>
        <w:t>Please do not write outside the designated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-275590</wp:posOffset>
            </wp:positionV>
            <wp:extent cx="291465" cy="265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1465" cy="265430"/>
                    </a:xfrm>
                    <a:prstGeom prst="rect">
                      <a:avLst/>
                    </a:prstGeom>
                    <a:noFill/>
                  </pic:spPr>
                </pic:pic>
              </a:graphicData>
            </a:graphic>
          </wp:anchor>
        </w:drawing>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5"/>
          <w:szCs w:val="25"/>
          <w:b w:val="1"/>
          <w:bCs w:val="1"/>
          <w:color w:val="auto"/>
        </w:rPr>
        <w:t>2025 Annual Meeting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228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IF VOTING BY MAIL, SIGN, DETACH AND RETURN THE BOTTOM PORTION IN THE ENCLOSED ENVELOPE.</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sz w:val="1"/>
          <w:szCs w:val="1"/>
          <w:color w:val="auto"/>
        </w:rPr>
        <w:drawing>
          <wp:inline distT="0" distB="0" distL="0" distR="0">
            <wp:extent cx="179705" cy="18034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9705" cy="18034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Proposals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BOARD OF DIRECTORS RECOMMEND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3771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1.</w:t>
        <w:tab/>
        <w:t>Election of Directors:</w:t>
      </w:r>
    </w:p>
    <w:p>
      <w:pPr>
        <w:spacing w:after="0" w:line="8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01 - John H. Batten</w:t>
            </w:r>
          </w:p>
        </w:tc>
        <w:tc>
          <w:tcPr>
            <w:tcW w:w="38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02 - Juliann Larimer</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 Kevin M. Olsen</w:t>
            </w: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8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Mark here to vote FOR all nominees</w:t>
            </w:r>
          </w:p>
        </w:tc>
        <w:tc>
          <w:tcPr>
            <w:tcW w:w="5700" w:type="dxa"/>
            <w:vAlign w:val="bottom"/>
            <w:gridSpan w:val="4"/>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Mark here to WITHHOLD vote from all nominees</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80" w:type="dxa"/>
            <w:vAlign w:val="bottom"/>
            <w:gridSpan w:val="5"/>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For All EXCEPT - </w:t>
            </w:r>
            <w:r>
              <w:rPr>
                <w:rFonts w:ascii="Times New Roman" w:cs="Times New Roman" w:eastAsia="Times New Roman" w:hAnsi="Times New Roman"/>
                <w:sz w:val="18"/>
                <w:szCs w:val="18"/>
                <w:color w:val="auto"/>
              </w:rPr>
              <w:t>To withhold a vote for one or more</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w:t>
            </w:r>
          </w:p>
        </w:tc>
        <w:tc>
          <w:tcPr>
            <w:tcW w:w="8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02</w:t>
            </w:r>
          </w:p>
        </w:tc>
        <w:tc>
          <w:tcPr>
            <w:tcW w:w="3720" w:type="dxa"/>
            <w:vAlign w:val="bottom"/>
            <w:gridSpan w:val="2"/>
          </w:tcPr>
          <w:p>
            <w:pPr>
              <w:jc w:val="right"/>
              <w:ind w:right="339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75"/>
        </w:trPr>
        <w:tc>
          <w:tcPr>
            <w:tcW w:w="4880" w:type="dxa"/>
            <w:vAlign w:val="bottom"/>
            <w:gridSpan w:val="5"/>
            <w:vMerge w:val="continue"/>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nominees, mark the box to the left and the corresponding</w:t>
            </w: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numbered box(es) to the right.</w:t>
            </w: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For   Against Abstain</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For   Against Abstain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-1002665</wp:posOffset>
            </wp:positionV>
            <wp:extent cx="179705"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-1002665</wp:posOffset>
            </wp:positionV>
            <wp:extent cx="179705" cy="1803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-574040</wp:posOffset>
            </wp:positionV>
            <wp:extent cx="179705" cy="180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-574040</wp:posOffset>
            </wp:positionV>
            <wp:extent cx="179705"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-574040</wp:posOffset>
            </wp:positionV>
            <wp:extent cx="179705"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-574040</wp:posOffset>
            </wp:positionV>
            <wp:extent cx="179705" cy="1803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9705" cy="180340"/>
                    </a:xfrm>
                    <a:prstGeom prst="rect">
                      <a:avLst/>
                    </a:prstGeom>
                    <a:noFill/>
                  </pic:spPr>
                </pic:pic>
              </a:graphicData>
            </a:graphic>
          </wp:anchor>
        </w:drawing>
      </w:r>
    </w:p>
    <w:p>
      <w:pPr>
        <w:sectPr>
          <w:pgSz w:w="11900" w:h="16838" w:orient="portrait"/>
          <w:cols w:equalWidth="0" w:num="1">
            <w:col w:w="11240"/>
          </w:cols>
          <w:pgMar w:left="320" w:top="1440" w:right="339" w:bottom="876" w:gutter="0" w:footer="0" w:header="0"/>
        </w:sectPr>
      </w:pPr>
    </w:p>
    <w:p>
      <w:pPr>
        <w:ind w:left="220" w:right="1638" w:hanging="212"/>
        <w:spacing w:after="0" w:line="255" w:lineRule="auto"/>
        <w:tabs>
          <w:tab w:leader="none" w:pos="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 advisory vote to approve the compensation of the Corporation’s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-238125</wp:posOffset>
            </wp:positionV>
            <wp:extent cx="180340"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-238125</wp:posOffset>
            </wp:positionV>
            <wp:extent cx="180340"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034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2" w:right="1980" w:hanging="222"/>
        <w:spacing w:after="0" w:line="253" w:lineRule="auto"/>
        <w:tabs>
          <w:tab w:leader="none" w:pos="2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RSM US LLP, an independent registered public accounting firm, as our independent auditors for the fiscal year ending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-373380</wp:posOffset>
            </wp:positionV>
            <wp:extent cx="179705"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-373380</wp:posOffset>
            </wp:positionV>
            <wp:extent cx="179705"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-373380</wp:posOffset>
            </wp:positionV>
            <wp:extent cx="180340" cy="1803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-373380</wp:posOffset>
            </wp:positionV>
            <wp:extent cx="179705" cy="1803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970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98" w:space="720"/>
            <w:col w:w="5522"/>
          </w:cols>
          <w:pgMar w:left="320" w:top="1440" w:right="339" w:bottom="87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sz w:val="1"/>
          <w:szCs w:val="1"/>
          <w:color w:val="auto"/>
        </w:rPr>
        <w:drawing>
          <wp:inline distT="0" distB="0" distL="0" distR="0">
            <wp:extent cx="179705" cy="17970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9705" cy="17970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Authorized Signatures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80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right="120"/>
        <w:spacing w:after="0" w:line="260" w:lineRule="auto"/>
        <w:rPr>
          <w:sz w:val="20"/>
          <w:szCs w:val="20"/>
          <w:color w:val="auto"/>
        </w:rPr>
      </w:pPr>
      <w:r>
        <w:rPr>
          <w:rFonts w:ascii="Times New Roman" w:cs="Times New Roman" w:eastAsia="Times New Roman" w:hAnsi="Times New Roman"/>
          <w:sz w:val="18"/>
          <w:szCs w:val="18"/>
          <w:color w:val="auto"/>
        </w:rPr>
        <w:t>Please sign exactly as name(s) appears hereon. Joint owners should each sign. When signing as attorney, executor, administrator, corporate officer, trustee, guardian, or custodian, please give full title.</w:t>
      </w:r>
    </w:p>
    <w:p>
      <w:pPr>
        <w:sectPr>
          <w:pgSz w:w="11900" w:h="16838" w:orient="portrait"/>
          <w:cols w:equalWidth="0" w:num="1">
            <w:col w:w="11240"/>
          </w:cols>
          <w:pgMar w:left="320" w:top="1440" w:right="339" w:bottom="876"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(mm/dd/yyyy) — Please print date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2284095" cy="3810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84095" cy="381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Signature 1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275840" cy="3810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275840" cy="381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-20320</wp:posOffset>
            </wp:positionV>
            <wp:extent cx="2275840" cy="3810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75840" cy="381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00" w:space="440"/>
            <w:col w:w="3420" w:space="380"/>
            <w:col w:w="3600"/>
          </w:cols>
          <w:pgMar w:left="320" w:top="1440" w:right="339" w:bottom="87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6820"/>
        <w:spacing w:after="0"/>
        <w:rPr>
          <w:sz w:val="20"/>
          <w:szCs w:val="20"/>
          <w:color w:val="auto"/>
        </w:rPr>
      </w:pPr>
      <w:r>
        <w:rPr>
          <w:rFonts w:ascii="Times New Roman" w:cs="Times New Roman" w:eastAsia="Times New Roman" w:hAnsi="Times New Roman"/>
          <w:sz w:val="22"/>
          <w:szCs w:val="22"/>
          <w:color w:val="auto"/>
        </w:rPr>
        <w:t>1 U P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-151130</wp:posOffset>
            </wp:positionV>
            <wp:extent cx="179705"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-160020</wp:posOffset>
            </wp:positionV>
            <wp:extent cx="197485" cy="196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7485" cy="196850"/>
                    </a:xfrm>
                    <a:prstGeom prst="rect">
                      <a:avLst/>
                    </a:prstGeom>
                    <a:noFill/>
                  </pic:spPr>
                </pic:pic>
              </a:graphicData>
            </a:graphic>
          </wp:anchor>
        </w:drawing>
      </w:r>
    </w:p>
    <w:p>
      <w:pPr>
        <w:spacing w:after="0" w:line="16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046DFB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876"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480"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Internet availability of proxy materials for the Annual Meeting of Shareholders to be held October 30, 2025. </w:t>
      </w:r>
      <w:r>
        <w:rPr>
          <w:rFonts w:ascii="Times New Roman" w:cs="Times New Roman" w:eastAsia="Times New Roman" w:hAnsi="Times New Roman"/>
          <w:sz w:val="18"/>
          <w:szCs w:val="18"/>
          <w:color w:val="auto"/>
        </w:rPr>
        <w:t>The Proxy Statement and Annual Report on Form 10-K are available at</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8"/>
          <w:szCs w:val="18"/>
          <w:b w:val="1"/>
          <w:bCs w:val="1"/>
          <w:u w:val="single" w:color="auto"/>
          <w:color w:val="auto"/>
        </w:rPr>
        <w:t>ttp://ir.twindisc.com/proxy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IF VOTING BY MAIL, SIGN, DETACH AND RETURN THE BOTTOM PORTION IN THE ENCLOSED ENVELOPE.</w:t>
      </w:r>
      <w:r>
        <w:rPr>
          <w:rFonts w:ascii="Times New Roman" w:cs="Times New Roman" w:eastAsia="Times New Roman" w:hAnsi="Times New Roman"/>
          <w:sz w:val="18"/>
          <w:szCs w:val="18"/>
          <w:color w:val="auto"/>
        </w:rPr>
        <w:t>▼</w:t>
      </w:r>
    </w:p>
    <w:p>
      <w:pPr>
        <w:spacing w:after="0" w:line="2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5"/>
          <w:szCs w:val="25"/>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2228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 xml:space="preserve">Annual Meeting of Shareholders </w:t>
      </w:r>
      <w:r>
        <w:rPr>
          <w:rFonts w:ascii="Times New Roman" w:cs="Times New Roman" w:eastAsia="Times New Roman" w:hAnsi="Times New Roman"/>
          <w:sz w:val="25"/>
          <w:szCs w:val="25"/>
          <w:color w:val="auto"/>
        </w:rPr>
        <w:t>–</w:t>
      </w:r>
      <w:r>
        <w:rPr>
          <w:rFonts w:ascii="Times New Roman" w:cs="Times New Roman" w:eastAsia="Times New Roman" w:hAnsi="Times New Roman"/>
          <w:sz w:val="25"/>
          <w:szCs w:val="25"/>
          <w:b w:val="1"/>
          <w:bCs w:val="1"/>
          <w:color w:val="auto"/>
        </w:rPr>
        <w:t xml:space="preserve"> October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THIS PROXY IS SOLICITED BY THE BOARD OF DIRECTORS OF THE COMPANY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appoints Janet P. Giesselman and David W. Johnson and each of them, with power to act without the other and with power of substitution, as proxies and attorneys-in-fact and hereby authorizes them to represent and vote, as provided on the other side, all the shares of Twin Disc, Incorporated Common Stock which the undersigned is entitled to vote, and, in their discretion, to vote upon such other business as may properly come before the Annual Meeting of Shareholders of Twin Disc, Incorporated to be held Thursday, October 30, 2025 at 2:00 P.M., local time, or at any adjournment or postponement thereof, with all powers which the undersigned would possess if present at the Meeting.</w:t>
      </w:r>
    </w:p>
    <w:p>
      <w:pPr>
        <w:spacing w:after="0" w:line="395" w:lineRule="exact"/>
        <w:rPr>
          <w:sz w:val="20"/>
          <w:szCs w:val="20"/>
          <w:color w:val="auto"/>
        </w:rPr>
      </w:pPr>
    </w:p>
    <w:p>
      <w:pPr>
        <w:jc w:val="right"/>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THIS PROXY  WHEN PROPERLY  EXECUTED WILL BE VOTED IN THE MANNER  DIRECTED HEREIN BY THE UNDERSIGNED SHAREHOLDER. IF NO DIRECTION IS MADE,  THIS PROXY  WILL BE  VOTED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ALL NOMINEES SPECIFIED  IN ITEM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OF THE ADVISORY  VOTE TO APPROVE THE COMPENSATION OF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NAMED EXECUTIVE OFFICERS;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RSM US LLP, AN INDEPENDENT REGISTERED PUBLIC ACCOUNTING FIRM, AS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INDEPENDENT AUDITORS FOR THE FISCAL YEAR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ENDING JUNE 30,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(Items to be voted appear on reverse side)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lvl>
    <w:lvl w:ilvl="1">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lowerLetter"/>
      <w:start w:val="1"/>
    </w:lvl>
    <w:lvl w:ilvl="1">
      <w:lvlJc w:val="left"/>
      <w:lvlText w:val="%2."/>
      <w:numFmt w:val="lowerRoman"/>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2"/>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2"/>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3"/>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2"/>
    </w:lvl>
  </w:abstractNum>
  <w:abstractNum w:abstractNumId="26">
    <w:nsid w:val="2CA88611"/>
    <w:multiLevelType w:val="hybridMultilevel"/>
    <w:lvl w:ilvl="0">
      <w:lvlJc w:val="left"/>
      <w:lvlText w:val="%1."/>
      <w:numFmt w:val="decimal"/>
      <w:start w:val="3"/>
    </w:lvl>
  </w:abstractNum>
  <w:abstractNum w:abstractNumId="27">
    <w:nsid w:val="836C40E"/>
    <w:multiLevelType w:val="hybridMultilevel"/>
    <w:lvl w:ilvl="0">
      <w:lvlJc w:val="left"/>
      <w:lvlText w:val="%1."/>
      <w:numFmt w:val="decimal"/>
      <w:start w:val="2"/>
    </w:lvl>
  </w:abstractNum>
  <w:abstractNum w:abstractNumId="28">
    <w:nsid w:val="2901D8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2025-09-15T07:41:07Z</dcterms:created>
  <dcterms:modified xsi:type="dcterms:W3CDTF">2025-09-15T07:41:07Z</dcterms:modified>
</cp:coreProperties>
</file>