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9"/>
          <w:szCs w:val="19"/>
          <w:b w:val="1"/>
          <w:bCs w:val="1"/>
          <w:color w:val="auto"/>
        </w:rPr>
        <w:t>SCHEDULE 14A INFORMATION</w:t>
      </w:r>
    </w:p>
    <w:p>
      <w:pPr>
        <w:spacing w:after="0" w:line="22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24" w:lineRule="exact"/>
        <w:rPr>
          <w:sz w:val="24"/>
          <w:szCs w:val="24"/>
          <w:color w:val="auto"/>
        </w:rPr>
      </w:pPr>
    </w:p>
    <w:p>
      <w:pPr>
        <w:ind w:left="4"/>
        <w:spacing w:after="0"/>
        <w:rPr>
          <w:sz w:val="20"/>
          <w:szCs w:val="20"/>
          <w:color w:val="auto"/>
        </w:rPr>
      </w:pPr>
      <w:r>
        <w:rPr>
          <w:rFonts w:ascii="Arial" w:cs="Arial" w:eastAsia="Arial" w:hAnsi="Arial"/>
          <w:sz w:val="16"/>
          <w:szCs w:val="16"/>
          <w:color w:val="auto"/>
        </w:rPr>
        <w:t>Filed by the Registrant [ x ]</w:t>
      </w:r>
    </w:p>
    <w:p>
      <w:pPr>
        <w:spacing w:after="0" w:line="224" w:lineRule="exact"/>
        <w:rPr>
          <w:sz w:val="24"/>
          <w:szCs w:val="24"/>
          <w:color w:val="auto"/>
        </w:rPr>
      </w:pPr>
    </w:p>
    <w:p>
      <w:pPr>
        <w:ind w:left="4"/>
        <w:spacing w:after="0"/>
        <w:tabs>
          <w:tab w:leader="none" w:pos="2904" w:val="left"/>
        </w:tabs>
        <w:rPr>
          <w:sz w:val="20"/>
          <w:szCs w:val="20"/>
          <w:color w:val="auto"/>
        </w:rPr>
      </w:pPr>
      <w:r>
        <w:rPr>
          <w:rFonts w:ascii="Arial" w:cs="Arial" w:eastAsia="Arial" w:hAnsi="Arial"/>
          <w:sz w:val="15"/>
          <w:szCs w:val="15"/>
          <w:color w:val="auto"/>
        </w:rPr>
        <w:t>Filed by a Party Other than the Registrant [</w:t>
      </w:r>
      <w:r>
        <w:rPr>
          <w:sz w:val="20"/>
          <w:szCs w:val="20"/>
          <w:color w:val="auto"/>
        </w:rPr>
        <w:tab/>
      </w:r>
      <w:r>
        <w:rPr>
          <w:rFonts w:ascii="Arial" w:cs="Arial" w:eastAsia="Arial" w:hAnsi="Arial"/>
          <w:sz w:val="16"/>
          <w:szCs w:val="16"/>
          <w:color w:val="auto"/>
        </w:rPr>
        <w:t>]</w:t>
      </w:r>
    </w:p>
    <w:p>
      <w:pPr>
        <w:spacing w:after="0" w:line="224"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224" w:lineRule="exact"/>
        <w:rPr>
          <w:sz w:val="24"/>
          <w:szCs w:val="24"/>
          <w:color w:val="auto"/>
        </w:rPr>
      </w:pPr>
    </w:p>
    <w:p>
      <w:pPr>
        <w:ind w:left="204" w:hanging="204"/>
        <w:spacing w:after="0"/>
        <w:tabs>
          <w:tab w:leader="none" w:pos="204"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Preliminary Proxy Statement</w:t>
      </w:r>
    </w:p>
    <w:p>
      <w:pPr>
        <w:spacing w:after="0" w:line="21" w:lineRule="exact"/>
        <w:rPr>
          <w:sz w:val="24"/>
          <w:szCs w:val="24"/>
          <w:color w:val="auto"/>
        </w:rPr>
      </w:pPr>
    </w:p>
    <w:p>
      <w:pPr>
        <w:ind w:left="204" w:hanging="204"/>
        <w:spacing w:after="0"/>
        <w:tabs>
          <w:tab w:leader="none" w:pos="204" w:val="left"/>
        </w:tabs>
        <w:numPr>
          <w:ilvl w:val="0"/>
          <w:numId w:val="2"/>
        </w:numPr>
        <w:rPr>
          <w:rFonts w:ascii="Arial" w:cs="Arial" w:eastAsia="Arial" w:hAnsi="Arial"/>
          <w:sz w:val="16"/>
          <w:szCs w:val="16"/>
          <w:color w:val="auto"/>
        </w:rPr>
      </w:pPr>
      <w:r>
        <w:rPr>
          <w:rFonts w:ascii="Arial" w:cs="Arial" w:eastAsia="Arial" w:hAnsi="Arial"/>
          <w:sz w:val="16"/>
          <w:szCs w:val="16"/>
          <w:color w:val="auto"/>
        </w:rPr>
        <w:t>] Confidential, for Use of the Commission Only (as permitted by Rule 14a-6(e)(2))</w:t>
      </w:r>
    </w:p>
    <w:p>
      <w:pPr>
        <w:spacing w:after="0" w:line="8" w:lineRule="exact"/>
        <w:rPr>
          <w:rFonts w:ascii="Arial" w:cs="Arial" w:eastAsia="Arial" w:hAnsi="Arial"/>
          <w:sz w:val="16"/>
          <w:szCs w:val="16"/>
          <w:color w:val="auto"/>
        </w:rPr>
      </w:pPr>
    </w:p>
    <w:p>
      <w:pPr>
        <w:ind w:left="84" w:hanging="84"/>
        <w:spacing w:after="0"/>
        <w:tabs>
          <w:tab w:leader="none" w:pos="84" w:val="left"/>
        </w:tabs>
        <w:numPr>
          <w:ilvl w:val="0"/>
          <w:numId w:val="2"/>
        </w:numPr>
        <w:rPr>
          <w:rFonts w:ascii="Arial" w:cs="Arial" w:eastAsia="Arial" w:hAnsi="Arial"/>
          <w:sz w:val="16"/>
          <w:szCs w:val="16"/>
          <w:color w:val="auto"/>
        </w:rPr>
      </w:pPr>
      <w:r>
        <w:rPr>
          <w:rFonts w:ascii="Arial" w:cs="Arial" w:eastAsia="Arial" w:hAnsi="Arial"/>
          <w:sz w:val="16"/>
          <w:szCs w:val="16"/>
          <w:color w:val="auto"/>
        </w:rPr>
        <w:t>x ] Definitive Proxy Statement</w:t>
      </w:r>
    </w:p>
    <w:p>
      <w:pPr>
        <w:spacing w:after="0" w:line="8" w:lineRule="exact"/>
        <w:rPr>
          <w:rFonts w:ascii="Arial" w:cs="Arial" w:eastAsia="Arial" w:hAnsi="Arial"/>
          <w:sz w:val="16"/>
          <w:szCs w:val="16"/>
          <w:color w:val="auto"/>
        </w:rPr>
      </w:pPr>
    </w:p>
    <w:p>
      <w:pPr>
        <w:ind w:left="204" w:hanging="204"/>
        <w:spacing w:after="0"/>
        <w:tabs>
          <w:tab w:leader="none" w:pos="204" w:val="left"/>
        </w:tabs>
        <w:numPr>
          <w:ilvl w:val="0"/>
          <w:numId w:val="2"/>
        </w:numPr>
        <w:rPr>
          <w:rFonts w:ascii="Arial" w:cs="Arial" w:eastAsia="Arial" w:hAnsi="Arial"/>
          <w:sz w:val="16"/>
          <w:szCs w:val="16"/>
          <w:color w:val="auto"/>
        </w:rPr>
      </w:pPr>
      <w:r>
        <w:rPr>
          <w:rFonts w:ascii="Arial" w:cs="Arial" w:eastAsia="Arial" w:hAnsi="Arial"/>
          <w:sz w:val="16"/>
          <w:szCs w:val="16"/>
          <w:color w:val="auto"/>
        </w:rPr>
        <w:t>] Definitive Additional Materials</w:t>
      </w:r>
    </w:p>
    <w:p>
      <w:pPr>
        <w:spacing w:after="0" w:line="8" w:lineRule="exact"/>
        <w:rPr>
          <w:rFonts w:ascii="Arial" w:cs="Arial" w:eastAsia="Arial" w:hAnsi="Arial"/>
          <w:sz w:val="16"/>
          <w:szCs w:val="16"/>
          <w:color w:val="auto"/>
        </w:rPr>
      </w:pPr>
    </w:p>
    <w:p>
      <w:pPr>
        <w:ind w:left="204" w:hanging="204"/>
        <w:spacing w:after="0"/>
        <w:tabs>
          <w:tab w:leader="none" w:pos="204" w:val="left"/>
        </w:tabs>
        <w:numPr>
          <w:ilvl w:val="0"/>
          <w:numId w:val="2"/>
        </w:numPr>
        <w:rPr>
          <w:rFonts w:ascii="Arial" w:cs="Arial" w:eastAsia="Arial" w:hAnsi="Arial"/>
          <w:sz w:val="16"/>
          <w:szCs w:val="16"/>
          <w:color w:val="auto"/>
        </w:rPr>
      </w:pPr>
      <w:r>
        <w:rPr>
          <w:rFonts w:ascii="Arial" w:cs="Arial" w:eastAsia="Arial" w:hAnsi="Arial"/>
          <w:sz w:val="16"/>
          <w:szCs w:val="16"/>
          <w:color w:val="auto"/>
        </w:rPr>
        <w:t>] Soliciting Material Pursuant to Section 240.14a-2.</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u w:val="single" w:color="auto"/>
          <w:color w:val="auto"/>
        </w:rPr>
        <w:t>Twin Disc, Incorporated</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(Name of Registrant as Specified In Its Charter)</w:t>
      </w:r>
    </w:p>
    <w:p>
      <w:pPr>
        <w:spacing w:after="0" w:line="210" w:lineRule="exact"/>
        <w:rPr>
          <w:sz w:val="24"/>
          <w:szCs w:val="24"/>
          <w:color w:val="auto"/>
        </w:rPr>
      </w:pPr>
    </w:p>
    <w:p>
      <w:pPr>
        <w:ind w:left="3964"/>
        <w:spacing w:after="0"/>
        <w:rPr>
          <w:sz w:val="20"/>
          <w:szCs w:val="20"/>
          <w:color w:val="auto"/>
        </w:rPr>
      </w:pPr>
      <w:r>
        <w:rPr>
          <w:rFonts w:ascii="Arial" w:cs="Arial" w:eastAsia="Arial" w:hAnsi="Arial"/>
          <w:sz w:val="16"/>
          <w:szCs w:val="16"/>
          <w:color w:val="auto"/>
        </w:rPr>
        <w:t>____________________________________________</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1" w:lineRule="exact"/>
        <w:rPr>
          <w:sz w:val="24"/>
          <w:szCs w:val="24"/>
          <w:color w:val="auto"/>
        </w:rPr>
      </w:pPr>
    </w:p>
    <w:p>
      <w:pPr>
        <w:ind w:left="4"/>
        <w:spacing w:after="0"/>
        <w:rPr>
          <w:sz w:val="20"/>
          <w:szCs w:val="20"/>
          <w:color w:val="auto"/>
        </w:rPr>
      </w:pPr>
      <w:r>
        <w:rPr>
          <w:rFonts w:ascii="Arial" w:cs="Arial" w:eastAsia="Arial" w:hAnsi="Arial"/>
          <w:sz w:val="16"/>
          <w:szCs w:val="16"/>
          <w:color w:val="auto"/>
        </w:rPr>
        <w:t>[ x ] No fee required.</w:t>
      </w:r>
    </w:p>
    <w:p>
      <w:pPr>
        <w:spacing w:after="0" w:line="212" w:lineRule="exact"/>
        <w:rPr>
          <w:sz w:val="24"/>
          <w:szCs w:val="24"/>
          <w:color w:val="auto"/>
        </w:rPr>
      </w:pPr>
    </w:p>
    <w:p>
      <w:pPr>
        <w:ind w:left="204" w:hanging="204"/>
        <w:spacing w:after="0"/>
        <w:tabs>
          <w:tab w:leader="none" w:pos="204" w:val="left"/>
        </w:tabs>
        <w:numPr>
          <w:ilvl w:val="0"/>
          <w:numId w:val="3"/>
        </w:numPr>
        <w:rPr>
          <w:rFonts w:ascii="Arial" w:cs="Arial" w:eastAsia="Arial" w:hAnsi="Arial"/>
          <w:sz w:val="16"/>
          <w:szCs w:val="16"/>
          <w:color w:val="auto"/>
        </w:rPr>
      </w:pPr>
      <w:r>
        <w:rPr>
          <w:rFonts w:ascii="Arial" w:cs="Arial" w:eastAsia="Arial" w:hAnsi="Arial"/>
          <w:sz w:val="16"/>
          <w:szCs w:val="16"/>
          <w:color w:val="auto"/>
        </w:rPr>
        <w:t>] Fee computed on table below per Exchange Act Rules 14a-6(i)(4) and 0-11.</w:t>
      </w:r>
    </w:p>
    <w:p>
      <w:pPr>
        <w:spacing w:after="0" w:line="20" w:lineRule="exact"/>
        <w:rPr>
          <w:rFonts w:ascii="Arial" w:cs="Arial" w:eastAsia="Arial" w:hAnsi="Arial"/>
          <w:sz w:val="16"/>
          <w:szCs w:val="16"/>
          <w:color w:val="auto"/>
        </w:rPr>
      </w:pPr>
    </w:p>
    <w:p>
      <w:pPr>
        <w:ind w:left="864" w:hanging="212"/>
        <w:spacing w:after="0"/>
        <w:tabs>
          <w:tab w:leader="none" w:pos="864"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tabs>
          <w:tab w:leader="none" w:pos="864"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line="250" w:lineRule="auto"/>
        <w:tabs>
          <w:tab w:leader="none" w:pos="864"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transactions computed pursuant to Exchange Act Rule 0-11 (Set forth the amount on which the filing fee is calculated and state how it was determined):</w:t>
      </w:r>
    </w:p>
    <w:p>
      <w:pPr>
        <w:spacing w:after="0" w:line="1" w:lineRule="exact"/>
        <w:rPr>
          <w:sz w:val="24"/>
          <w:szCs w:val="24"/>
          <w:color w:val="auto"/>
        </w:rPr>
      </w:pPr>
    </w:p>
    <w:p>
      <w:pPr>
        <w:ind w:left="584"/>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ind w:left="864" w:hanging="212"/>
        <w:spacing w:after="0"/>
        <w:tabs>
          <w:tab w:leader="none" w:pos="86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transactions:</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tabs>
          <w:tab w:leader="none" w:pos="8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w:t>
      </w:r>
    </w:p>
    <w:p>
      <w:pPr>
        <w:spacing w:after="0" w:line="212" w:lineRule="exact"/>
        <w:rPr>
          <w:sz w:val="24"/>
          <w:szCs w:val="24"/>
          <w:color w:val="auto"/>
        </w:rPr>
      </w:pPr>
    </w:p>
    <w:p>
      <w:pPr>
        <w:ind w:left="204" w:hanging="204"/>
        <w:spacing w:after="0"/>
        <w:tabs>
          <w:tab w:leader="none" w:pos="204" w:val="left"/>
        </w:tabs>
        <w:numPr>
          <w:ilvl w:val="0"/>
          <w:numId w:val="5"/>
        </w:numPr>
        <w:rPr>
          <w:rFonts w:ascii="Arial" w:cs="Arial" w:eastAsia="Arial" w:hAnsi="Arial"/>
          <w:sz w:val="16"/>
          <w:szCs w:val="16"/>
          <w:color w:val="auto"/>
        </w:rPr>
      </w:pPr>
      <w:r>
        <w:rPr>
          <w:rFonts w:ascii="Arial" w:cs="Arial" w:eastAsia="Arial" w:hAnsi="Arial"/>
          <w:sz w:val="16"/>
          <w:szCs w:val="16"/>
          <w:color w:val="auto"/>
        </w:rPr>
        <w:t>] Fee paid previously with preliminary materials.</w:t>
      </w:r>
    </w:p>
    <w:p>
      <w:pPr>
        <w:spacing w:after="0" w:line="224" w:lineRule="exact"/>
        <w:rPr>
          <w:sz w:val="24"/>
          <w:szCs w:val="24"/>
          <w:color w:val="auto"/>
        </w:rPr>
      </w:pPr>
    </w:p>
    <w:p>
      <w:pPr>
        <w:ind w:left="4" w:right="320" w:hanging="4"/>
        <w:spacing w:after="0" w:line="258" w:lineRule="auto"/>
        <w:tabs>
          <w:tab w:leader="none" w:pos="218" w:val="left"/>
        </w:tabs>
        <w:numPr>
          <w:ilvl w:val="0"/>
          <w:numId w:val="6"/>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864" w:hanging="212"/>
        <w:spacing w:after="0"/>
        <w:tabs>
          <w:tab w:leader="none" w:pos="864"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tabs>
          <w:tab w:leader="none" w:pos="86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tabs>
          <w:tab w:leader="none" w:pos="864"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_______________________________________________________________</w:t>
      </w:r>
    </w:p>
    <w:p>
      <w:pPr>
        <w:spacing w:after="0" w:line="8" w:lineRule="exact"/>
        <w:rPr>
          <w:rFonts w:ascii="Arial" w:cs="Arial" w:eastAsia="Arial" w:hAnsi="Arial"/>
          <w:sz w:val="16"/>
          <w:szCs w:val="16"/>
          <w:color w:val="auto"/>
        </w:rPr>
      </w:pPr>
    </w:p>
    <w:p>
      <w:pPr>
        <w:ind w:left="864" w:hanging="212"/>
        <w:spacing w:after="0"/>
        <w:tabs>
          <w:tab w:leader="none" w:pos="864" w:val="left"/>
        </w:tabs>
        <w:numPr>
          <w:ilvl w:val="0"/>
          <w:numId w:val="7"/>
        </w:numPr>
        <w:rPr>
          <w:rFonts w:ascii="Arial" w:cs="Arial" w:eastAsia="Arial" w:hAnsi="Arial"/>
          <w:sz w:val="16"/>
          <w:szCs w:val="16"/>
          <w:color w:val="auto"/>
        </w:rPr>
      </w:pPr>
      <w:r>
        <w:rPr>
          <w:rFonts w:ascii="Arial" w:cs="Arial" w:eastAsia="Arial" w:hAnsi="Arial"/>
          <w:sz w:val="16"/>
          <w:szCs w:val="16"/>
          <w:color w:val="auto"/>
        </w:rPr>
        <w:t>Date Filed:</w:t>
      </w:r>
    </w:p>
    <w:p>
      <w:pPr>
        <w:spacing w:after="0" w:line="8"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64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14605</wp:posOffset>
            </wp:positionV>
            <wp:extent cx="1250950"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0"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1328 Racine Street, Racine, Wisconsin 53403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 – OCTOBER 19, 2012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IS HEREBY GIVEN TO THE SHAREHOLDERS OF TWIN DISC, INCORPORATED</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Annual Meeting of Shareholders of Twin Disc, Incorporated, a Wisconsin corporation, will be held at 2:00 P.M. (Central Time) on Friday, October 19, 2012, at the Corporate Offices, 1328 Racine Street, Racine, Wisconsin for the following purposes:</w:t>
      </w:r>
    </w:p>
    <w:p>
      <w:pPr>
        <w:spacing w:after="0" w:line="176" w:lineRule="exact"/>
        <w:rPr>
          <w:sz w:val="20"/>
          <w:szCs w:val="20"/>
          <w:color w:val="auto"/>
        </w:rPr>
      </w:pPr>
    </w:p>
    <w:p>
      <w:pPr>
        <w:ind w:left="580" w:hanging="151"/>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two Directors to serve until the Annual Meeting in 2015.</w:t>
      </w:r>
    </w:p>
    <w:p>
      <w:pPr>
        <w:spacing w:after="0" w:line="224" w:lineRule="exact"/>
        <w:rPr>
          <w:rFonts w:ascii="Arial" w:cs="Arial" w:eastAsia="Arial" w:hAnsi="Arial"/>
          <w:sz w:val="16"/>
          <w:szCs w:val="16"/>
          <w:color w:val="auto"/>
        </w:rPr>
      </w:pPr>
    </w:p>
    <w:p>
      <w:pPr>
        <w:ind w:left="580" w:hanging="151"/>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consider an advisory vote to approve the compensation of the Corporation’s Named Executive Officers.</w:t>
      </w:r>
    </w:p>
    <w:p>
      <w:pPr>
        <w:spacing w:after="0" w:line="224" w:lineRule="exact"/>
        <w:rPr>
          <w:rFonts w:ascii="Arial" w:cs="Arial" w:eastAsia="Arial" w:hAnsi="Arial"/>
          <w:sz w:val="16"/>
          <w:szCs w:val="16"/>
          <w:color w:val="auto"/>
        </w:rPr>
      </w:pPr>
    </w:p>
    <w:p>
      <w:pPr>
        <w:ind w:left="420" w:firstLine="9"/>
        <w:spacing w:after="0" w:line="277" w:lineRule="auto"/>
        <w:tabs>
          <w:tab w:leader="none" w:pos="582"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an independent registered public accounting firm, as our independent auditors for the fiscal year ending June 30, 2013.</w:t>
      </w:r>
    </w:p>
    <w:p>
      <w:pPr>
        <w:spacing w:after="0" w:line="175" w:lineRule="exact"/>
        <w:rPr>
          <w:rFonts w:ascii="Arial" w:cs="Arial" w:eastAsia="Arial" w:hAnsi="Arial"/>
          <w:sz w:val="16"/>
          <w:szCs w:val="16"/>
          <w:color w:val="auto"/>
        </w:rPr>
      </w:pPr>
    </w:p>
    <w:p>
      <w:pPr>
        <w:ind w:left="580" w:hanging="151"/>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Only holders of record of shares of common stock of the Corporation at the close of business on August 31, 2012, shall be entitled to vote at the meeting.</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 proxy appointment card and our proxy statement are enclosed with this notice. The proxy card shows the form in which your shares are registered and affords you the opportunity to direct the voting of those shares, even if you are unable to attend the meeting in person. Please review these proxy materials and follow the applicable instructions.</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Thomas E. Valentyn</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General Counsel and Secretary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Meeting to be Held on October 19, 2012</w:t>
      </w:r>
    </w:p>
    <w:p>
      <w:pPr>
        <w:spacing w:after="0" w:line="212"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 xml:space="preserve">Pursuant to rules of the Securities and Exchange Commission, we are providing access to our proxy materials both by mailing to you this full set, including the proxy card, on or about September 14, 2012, and by notifying you of the availability of our proxy materials on the Internet. These proxy materials and our 2012 annual report on Form 10-K are available at </w:t>
      </w:r>
      <w:r>
        <w:rPr>
          <w:rFonts w:ascii="Arial" w:cs="Arial" w:eastAsia="Arial" w:hAnsi="Arial"/>
          <w:sz w:val="16"/>
          <w:szCs w:val="16"/>
          <w:b w:val="1"/>
          <w:bCs w:val="1"/>
          <w:u w:val="single" w:color="auto"/>
          <w:color w:val="auto"/>
        </w:rPr>
        <w:t>http://ir.twindisc.com/proxy.cfm</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356235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2012 Proxy Statement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TWIN DISC, INCORPORATED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14, 2012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TIME AND PLACE OF MEETING</w:t>
      </w:r>
    </w:p>
    <w:p>
      <w:pPr>
        <w:spacing w:after="0" w:line="228"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on Friday, October 19, 2012, or any adjournment thereof. Holders of common stock of record at the close of business on August 31, 2012, are entitled to vote at the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meeting. The Corporation intends to mail this proxy statement to shareholders on or about September 14, 2012.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APPOINTMENT AND REVOCATION</w:t>
      </w:r>
    </w:p>
    <w:p>
      <w:pPr>
        <w:spacing w:after="0" w:line="228"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78" w:lineRule="exact"/>
        <w:rPr>
          <w:sz w:val="20"/>
          <w:szCs w:val="20"/>
          <w:color w:val="auto"/>
        </w:rPr>
      </w:pPr>
    </w:p>
    <w:p>
      <w:pPr>
        <w:ind w:right="360"/>
        <w:spacing w:after="0" w:line="295" w:lineRule="auto"/>
        <w:rPr>
          <w:sz w:val="20"/>
          <w:szCs w:val="20"/>
          <w:color w:val="auto"/>
        </w:rPr>
      </w:pPr>
      <w:r>
        <w:rPr>
          <w:rFonts w:ascii="Arial" w:cs="Arial" w:eastAsia="Arial" w:hAnsi="Arial"/>
          <w:sz w:val="14"/>
          <w:szCs w:val="14"/>
          <w:color w:val="auto"/>
        </w:rPr>
        <w:t xml:space="preserve">Shareholders may also vote via the Internet by accessing </w:t>
      </w:r>
      <w:r>
        <w:rPr>
          <w:rFonts w:ascii="Arial" w:cs="Arial" w:eastAsia="Arial" w:hAnsi="Arial"/>
          <w:sz w:val="14"/>
          <w:szCs w:val="14"/>
          <w:u w:val="single" w:color="auto"/>
          <w:color w:val="auto"/>
        </w:rPr>
        <w:t>www.proxyvoting.com/twin</w:t>
      </w:r>
      <w:r>
        <w:rPr>
          <w:rFonts w:ascii="Arial" w:cs="Arial" w:eastAsia="Arial" w:hAnsi="Arial"/>
          <w:sz w:val="14"/>
          <w:szCs w:val="14"/>
          <w:color w:val="auto"/>
        </w:rPr>
        <w:t xml:space="preserve"> or by telephone at 1-866-540-5760. The telephone and Internet voting procedures are designed to authenticate the shareholder’s identity, to allow the shareholder to give voting instructions and to confirm that such instructions have been properly</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recorded. Shareholders may vote via the Internet or by telephone up to 11:59 PM Eastern Time the day before the annual meeting. Shareholders that vote via the Internet should understand that there might be costs associated with electronic access that they must bear, such as usage charges from Internet access providers and telecommunications companies.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person giving the proxy may revoke it before it is exercised, either in person, by mail or by messenger, by submitting a later dated proxy appointment form to the Secretary at least 48 hours prior to the date of the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record date with respect to this solicitation is August 31, 2012. On that date, there were outstanding 11,404,246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PROPOSALS FOR 2013</w:t>
      </w:r>
    </w:p>
    <w:p>
      <w:pPr>
        <w:spacing w:after="0" w:line="228"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If a shareholder wishes to present a proposal for consideration for inclusion in the Notice of the Meeting and Proxy Statement for the 2013 Annual Meeting, the proposal must be received at the Corporation’s principal executive offices no later than May 17, 2013. Shareholder proposals received later than July 16, 2013 will be considered untimely, and will not be considered at the Corporation’s 2013 Annual Meeting. Any such proposal must comply with the requirements of Section (14)(a) of the Corporation’s Bylaws.</w:t>
      </w:r>
    </w:p>
    <w:p>
      <w:pPr>
        <w:spacing w:after="0" w:line="151"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If a shareholder wishes to nominate a person for election to the Board of Directors of the Corporation, such nomination shall be made pursuant to timely notice in writing to the Secretary of the Corporation. To be timely for the 2013 Annual Meeting, such notice must be delivered to or mailed and received at the principal executive offices of the Corporation no later than July 16, 2013. Any such notice must comply with the requirements of Section (14)(b) of the Corporation’s Bylaws.</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PERSONS MAKING THE SOLICITATION</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 FOR PROPOSALS AND HOW VOTES WILL BE COUNTED</w:t>
      </w:r>
    </w:p>
    <w:p>
      <w:pPr>
        <w:spacing w:after="0" w:line="228" w:lineRule="exact"/>
        <w:rPr>
          <w:sz w:val="20"/>
          <w:szCs w:val="20"/>
          <w:color w:val="auto"/>
        </w:rPr>
      </w:pPr>
    </w:p>
    <w:p>
      <w:pPr>
        <w:ind w:right="300"/>
        <w:spacing w:after="0" w:line="278" w:lineRule="auto"/>
        <w:rPr>
          <w:sz w:val="20"/>
          <w:szCs w:val="20"/>
          <w:color w:val="auto"/>
        </w:rPr>
      </w:pPr>
      <w:r>
        <w:rPr>
          <w:rFonts w:ascii="Arial" w:cs="Arial" w:eastAsia="Arial" w:hAnsi="Arial"/>
          <w:sz w:val="15"/>
          <w:szCs w:val="15"/>
          <w:color w:val="auto"/>
        </w:rPr>
        <w:t>With respect to the election of Directors (Proposal No. 1), votes may be cast in favor or withheld. Votes that are withheld will have no legal effect and will not be counted as votes cast in an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Committee will take the results of the vote into consideration in addressing future compensation policies and practices.</w:t>
      </w:r>
    </w:p>
    <w:p>
      <w:pPr>
        <w:spacing w:after="0" w:line="19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6" w:lineRule="exact"/>
        <w:rPr>
          <w:sz w:val="20"/>
          <w:szCs w:val="20"/>
          <w:color w:val="auto"/>
        </w:rPr>
      </w:pPr>
    </w:p>
    <w:p>
      <w:pPr>
        <w:ind w:right="320"/>
        <w:spacing w:after="0" w:line="351" w:lineRule="auto"/>
        <w:rPr>
          <w:sz w:val="20"/>
          <w:szCs w:val="20"/>
          <w:color w:val="auto"/>
        </w:rPr>
      </w:pPr>
      <w:r>
        <w:rPr>
          <w:rFonts w:ascii="Arial" w:cs="Arial" w:eastAsia="Arial" w:hAnsi="Arial"/>
          <w:sz w:val="14"/>
          <w:szCs w:val="14"/>
          <w:color w:val="auto"/>
        </w:rPr>
        <w:t>Abstentions may be specified on all proposals submitted to shareholders, other than for the election of Directors. Abstentions will be counted for purposes of determining the presence or absence of a quorum for the transaction of business at the meeting, but will not be counted as votes cast with respect to any of the proposals.</w:t>
      </w:r>
    </w:p>
    <w:p>
      <w:pPr>
        <w:spacing w:after="0" w:line="130"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Brokers who hold shares in street name for customers may vote their shares with respect to certain matters without specific instructions from the beneficial owners of the shares. However, brokers who hold shares in street name are not permitted to vote on certain other matters without specific instructions from the beneficial owners. A “broker non-vote” occurs on an item submitted for shareholder approval when the broker does not have the authority to vote on the item in the absence of instructions from the beneficial owner. A broker non-vote is treated as “present” for purposes of determining a quorum, has the effect of a vote against a particular proposal when a majority of the issued and</w:t>
      </w:r>
    </w:p>
    <w:p>
      <w:pPr>
        <w:sectPr>
          <w:pgSz w:w="11900" w:h="16838" w:orient="portrait"/>
          <w:cols w:equalWidth="0" w:num="1">
            <w:col w:w="11440"/>
          </w:cols>
          <w:pgMar w:left="240" w:top="471" w:right="219" w:bottom="0" w:gutter="0" w:footer="0" w:header="0"/>
        </w:sectPr>
      </w:pPr>
    </w:p>
    <w:bookmarkStart w:id="3" w:name="page4"/>
    <w:bookmarkEnd w:id="3"/>
    <w:p>
      <w:pPr>
        <w:ind w:left="4" w:right="380"/>
        <w:spacing w:after="0" w:line="277" w:lineRule="auto"/>
        <w:rPr>
          <w:sz w:val="20"/>
          <w:szCs w:val="20"/>
          <w:color w:val="auto"/>
        </w:rPr>
      </w:pPr>
      <w:r>
        <w:rPr>
          <w:rFonts w:ascii="Arial" w:cs="Arial" w:eastAsia="Arial" w:hAnsi="Arial"/>
          <w:sz w:val="16"/>
          <w:szCs w:val="16"/>
          <w:color w:val="auto"/>
        </w:rPr>
        <w:t>outstanding shares is required for approval of the proposal, and has no effect when a majority of the shares present in person or by proxy and entitled to vote or a plurality or majority of the votes cast is required for approval.</w:t>
      </w:r>
    </w:p>
    <w:p>
      <w:pPr>
        <w:spacing w:after="0" w:line="176" w:lineRule="exact"/>
        <w:rPr>
          <w:sz w:val="20"/>
          <w:szCs w:val="20"/>
          <w:color w:val="auto"/>
        </w:rPr>
      </w:pPr>
    </w:p>
    <w:p>
      <w:pPr>
        <w:ind w:left="4" w:right="80"/>
        <w:spacing w:after="0" w:line="257" w:lineRule="auto"/>
        <w:rPr>
          <w:sz w:val="20"/>
          <w:szCs w:val="20"/>
          <w:color w:val="auto"/>
        </w:rPr>
      </w:pPr>
      <w:r>
        <w:rPr>
          <w:rFonts w:ascii="Arial" w:cs="Arial" w:eastAsia="Arial" w:hAnsi="Arial"/>
          <w:sz w:val="16"/>
          <w:szCs w:val="16"/>
          <w:color w:val="auto"/>
        </w:rPr>
        <w:t>Brokers and other nominees may vote on the ratification of the appointment of PricewaterhouseCoopers LLP as our independent auditors for the fiscal year ending June 30, 2013 (Proposal No. 3) without specific instructions from beneficial owners. Therefore, no broker non-votes are expected to exist in connection with this proposal. However, brokers or other nominees may not vote on the election of Directors to serve until the Annual Meeting in 2015 (Proposal No. 1) and the advisory vote on named executive officer compensation (Proposal No. 2) without specific instructions from the beneficial owners of the shares. Therefore, an undetermined number of broker non-votes may occur on Proposals No. 1 and 2.</w:t>
      </w: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PRINCIPAL SHAREHOLDERS, DIRECTORS AND EXECUTIVE OFFICERS</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PRINCIPAL SHAREHOLDERS</w:t>
      </w:r>
    </w:p>
    <w:p>
      <w:pPr>
        <w:spacing w:after="0" w:line="228" w:lineRule="exact"/>
        <w:rPr>
          <w:sz w:val="20"/>
          <w:szCs w:val="20"/>
          <w:color w:val="auto"/>
        </w:rPr>
      </w:pPr>
    </w:p>
    <w:p>
      <w:pPr>
        <w:ind w:left="4" w:right="40"/>
        <w:spacing w:after="0" w:line="264" w:lineRule="auto"/>
        <w:rPr>
          <w:sz w:val="20"/>
          <w:szCs w:val="20"/>
          <w:color w:val="auto"/>
        </w:rPr>
      </w:pPr>
      <w:r>
        <w:rPr>
          <w:rFonts w:ascii="Arial" w:cs="Arial" w:eastAsia="Arial" w:hAnsi="Arial"/>
          <w:sz w:val="16"/>
          <w:szCs w:val="16"/>
          <w:color w:val="auto"/>
        </w:rPr>
        <w:t>Based upon the records of the Corporation, filings with the Securities and Exchange Commission as of August 24, 2012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398"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20" w:type="dxa"/>
            <w:vAlign w:val="bottom"/>
          </w:tcPr>
          <w:p>
            <w:pPr>
              <w:jc w:val="center"/>
              <w:ind w:left="540"/>
              <w:spacing w:after="0"/>
              <w:rPr>
                <w:sz w:val="20"/>
                <w:szCs w:val="20"/>
                <w:color w:val="auto"/>
              </w:rPr>
            </w:pPr>
            <w:r>
              <w:rPr>
                <w:rFonts w:ascii="Arial" w:cs="Arial" w:eastAsia="Arial" w:hAnsi="Arial"/>
                <w:sz w:val="16"/>
                <w:szCs w:val="16"/>
                <w:b w:val="1"/>
                <w:bCs w:val="1"/>
                <w:color w:val="auto"/>
                <w:w w:val="91"/>
              </w:rPr>
              <w:t>Nature of</w:t>
            </w: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26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620" w:type="dxa"/>
            <w:vAlign w:val="bottom"/>
          </w:tcPr>
          <w:p>
            <w:pPr>
              <w:jc w:val="center"/>
              <w:ind w:left="540"/>
              <w:spacing w:after="0"/>
              <w:rPr>
                <w:sz w:val="20"/>
                <w:szCs w:val="20"/>
                <w:color w:val="auto"/>
              </w:rPr>
            </w:pPr>
            <w:r>
              <w:rPr>
                <w:rFonts w:ascii="Arial" w:cs="Arial" w:eastAsia="Arial" w:hAnsi="Arial"/>
                <w:sz w:val="16"/>
                <w:szCs w:val="16"/>
                <w:b w:val="1"/>
                <w:bCs w:val="1"/>
                <w:color w:val="auto"/>
                <w:w w:val="89"/>
              </w:rPr>
              <w:t>Beneficial</w:t>
            </w:r>
          </w:p>
        </w:tc>
        <w:tc>
          <w:tcPr>
            <w:tcW w:w="1580" w:type="dxa"/>
            <w:vAlign w:val="bottom"/>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6"/>
                <w:szCs w:val="16"/>
                <w:color w:val="auto"/>
              </w:rPr>
            </w:pPr>
          </w:p>
        </w:tc>
        <w:tc>
          <w:tcPr>
            <w:tcW w:w="1340" w:type="dxa"/>
            <w:vAlign w:val="bottom"/>
          </w:tcPr>
          <w:p>
            <w:pPr>
              <w:jc w:val="right"/>
              <w:ind w:right="340"/>
              <w:spacing w:after="0"/>
              <w:rPr>
                <w:sz w:val="20"/>
                <w:szCs w:val="20"/>
                <w:color w:val="auto"/>
              </w:rPr>
            </w:pPr>
            <w:r>
              <w:rPr>
                <w:rFonts w:ascii="Arial" w:cs="Arial" w:eastAsia="Arial" w:hAnsi="Arial"/>
                <w:sz w:val="16"/>
                <w:szCs w:val="16"/>
                <w:b w:val="1"/>
                <w:bCs w:val="1"/>
                <w:color w:val="auto"/>
              </w:rPr>
              <w:t>Percent of</w:t>
            </w:r>
          </w:p>
        </w:tc>
      </w:tr>
      <w:tr>
        <w:trPr>
          <w:trHeight w:val="213"/>
        </w:trPr>
        <w:tc>
          <w:tcPr>
            <w:tcW w:w="260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Name</w:t>
            </w:r>
          </w:p>
        </w:tc>
        <w:tc>
          <w:tcPr>
            <w:tcW w:w="294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Address</w:t>
            </w:r>
          </w:p>
        </w:tc>
        <w:tc>
          <w:tcPr>
            <w:tcW w:w="2620" w:type="dxa"/>
            <w:vAlign w:val="bottom"/>
            <w:tcBorders>
              <w:bottom w:val="single" w:sz="8" w:color="auto"/>
            </w:tcBorders>
          </w:tcPr>
          <w:p>
            <w:pPr>
              <w:jc w:val="center"/>
              <w:ind w:left="540"/>
              <w:spacing w:after="0"/>
              <w:rPr>
                <w:sz w:val="20"/>
                <w:szCs w:val="20"/>
                <w:color w:val="auto"/>
              </w:rPr>
            </w:pPr>
            <w:r>
              <w:rPr>
                <w:rFonts w:ascii="Arial" w:cs="Arial" w:eastAsia="Arial" w:hAnsi="Arial"/>
                <w:sz w:val="16"/>
                <w:szCs w:val="16"/>
                <w:b w:val="1"/>
                <w:bCs w:val="1"/>
                <w:color w:val="auto"/>
                <w:w w:val="91"/>
              </w:rPr>
              <w:t>Ownership</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Owned</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Class</w:t>
            </w:r>
          </w:p>
        </w:tc>
      </w:tr>
      <w:tr>
        <w:trPr>
          <w:trHeight w:val="371"/>
        </w:trPr>
        <w:tc>
          <w:tcPr>
            <w:tcW w:w="2600" w:type="dxa"/>
            <w:vAlign w:val="bottom"/>
          </w:tcPr>
          <w:p>
            <w:pPr>
              <w:spacing w:after="0"/>
              <w:rPr>
                <w:sz w:val="20"/>
                <w:szCs w:val="20"/>
                <w:color w:val="auto"/>
              </w:rPr>
            </w:pPr>
            <w:r>
              <w:rPr>
                <w:rFonts w:ascii="Arial" w:cs="Arial" w:eastAsia="Arial" w:hAnsi="Arial"/>
                <w:sz w:val="16"/>
                <w:szCs w:val="16"/>
                <w:color w:val="auto"/>
              </w:rPr>
              <w:t>Michael E. Batten</w:t>
            </w:r>
          </w:p>
        </w:tc>
        <w:tc>
          <w:tcPr>
            <w:tcW w:w="2940" w:type="dxa"/>
            <w:vAlign w:val="bottom"/>
          </w:tcPr>
          <w:p>
            <w:pPr>
              <w:ind w:left="740"/>
              <w:spacing w:after="0"/>
              <w:rPr>
                <w:sz w:val="20"/>
                <w:szCs w:val="20"/>
                <w:color w:val="auto"/>
              </w:rPr>
            </w:pPr>
            <w:r>
              <w:rPr>
                <w:rFonts w:ascii="Arial" w:cs="Arial" w:eastAsia="Arial" w:hAnsi="Arial"/>
                <w:sz w:val="16"/>
                <w:szCs w:val="16"/>
                <w:color w:val="auto"/>
              </w:rPr>
              <w:t>3419 Michigan Blvd.</w:t>
            </w:r>
          </w:p>
        </w:tc>
        <w:tc>
          <w:tcPr>
            <w:tcW w:w="2620" w:type="dxa"/>
            <w:vAlign w:val="bottom"/>
          </w:tcPr>
          <w:p>
            <w:pPr>
              <w:ind w:left="540"/>
              <w:spacing w:after="0"/>
              <w:rPr>
                <w:sz w:val="20"/>
                <w:szCs w:val="20"/>
                <w:color w:val="auto"/>
              </w:rPr>
            </w:pPr>
            <w:r>
              <w:rPr>
                <w:rFonts w:ascii="Arial" w:cs="Arial" w:eastAsia="Arial" w:hAnsi="Arial"/>
                <w:sz w:val="16"/>
                <w:szCs w:val="16"/>
                <w:color w:val="auto"/>
              </w:rPr>
              <w:t>Power to vote</w:t>
            </w:r>
          </w:p>
        </w:tc>
        <w:tc>
          <w:tcPr>
            <w:tcW w:w="1580" w:type="dxa"/>
            <w:vAlign w:val="bottom"/>
          </w:tcPr>
          <w:p>
            <w:pPr>
              <w:jc w:val="right"/>
              <w:spacing w:after="0"/>
              <w:rPr>
                <w:sz w:val="20"/>
                <w:szCs w:val="20"/>
                <w:color w:val="auto"/>
              </w:rPr>
            </w:pPr>
            <w:r>
              <w:rPr>
                <w:rFonts w:ascii="Arial" w:cs="Arial" w:eastAsia="Arial" w:hAnsi="Arial"/>
                <w:sz w:val="16"/>
                <w:szCs w:val="16"/>
                <w:color w:val="auto"/>
              </w:rPr>
              <w:t>2,137,740</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(1)</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18.7%</w:t>
            </w:r>
          </w:p>
        </w:tc>
      </w:tr>
      <w:tr>
        <w:trPr>
          <w:trHeight w:val="206"/>
        </w:trPr>
        <w:tc>
          <w:tcPr>
            <w:tcW w:w="2600" w:type="dxa"/>
            <w:vAlign w:val="bottom"/>
          </w:tcPr>
          <w:p>
            <w:pPr>
              <w:spacing w:after="0"/>
              <w:rPr>
                <w:sz w:val="17"/>
                <w:szCs w:val="17"/>
                <w:color w:val="auto"/>
              </w:rPr>
            </w:pPr>
          </w:p>
        </w:tc>
        <w:tc>
          <w:tcPr>
            <w:tcW w:w="2940" w:type="dxa"/>
            <w:vAlign w:val="bottom"/>
          </w:tcPr>
          <w:p>
            <w:pPr>
              <w:ind w:left="740"/>
              <w:spacing w:after="0"/>
              <w:rPr>
                <w:sz w:val="20"/>
                <w:szCs w:val="20"/>
                <w:color w:val="auto"/>
              </w:rPr>
            </w:pPr>
            <w:r>
              <w:rPr>
                <w:rFonts w:ascii="Arial" w:cs="Arial" w:eastAsia="Arial" w:hAnsi="Arial"/>
                <w:sz w:val="16"/>
                <w:szCs w:val="16"/>
                <w:color w:val="auto"/>
              </w:rPr>
              <w:t>Racine, WI</w:t>
            </w:r>
          </w:p>
        </w:tc>
        <w:tc>
          <w:tcPr>
            <w:tcW w:w="2620" w:type="dxa"/>
            <w:vAlign w:val="bottom"/>
          </w:tcPr>
          <w:p>
            <w:pPr>
              <w:ind w:left="540"/>
              <w:spacing w:after="0"/>
              <w:rPr>
                <w:sz w:val="20"/>
                <w:szCs w:val="20"/>
                <w:color w:val="auto"/>
              </w:rPr>
            </w:pPr>
            <w:r>
              <w:rPr>
                <w:rFonts w:ascii="Arial" w:cs="Arial" w:eastAsia="Arial" w:hAnsi="Arial"/>
                <w:sz w:val="16"/>
                <w:szCs w:val="16"/>
                <w:color w:val="auto"/>
              </w:rPr>
              <w:t>Beneficial</w:t>
            </w:r>
          </w:p>
        </w:tc>
        <w:tc>
          <w:tcPr>
            <w:tcW w:w="1580" w:type="dxa"/>
            <w:vAlign w:val="bottom"/>
          </w:tcPr>
          <w:p>
            <w:pPr>
              <w:jc w:val="right"/>
              <w:spacing w:after="0"/>
              <w:rPr>
                <w:sz w:val="20"/>
                <w:szCs w:val="20"/>
                <w:color w:val="auto"/>
              </w:rPr>
            </w:pPr>
            <w:r>
              <w:rPr>
                <w:rFonts w:ascii="Arial" w:cs="Arial" w:eastAsia="Arial" w:hAnsi="Arial"/>
                <w:sz w:val="16"/>
                <w:szCs w:val="16"/>
                <w:color w:val="auto"/>
              </w:rPr>
              <w:t>459,297</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(2)</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4.0%</w:t>
            </w:r>
          </w:p>
        </w:tc>
      </w:tr>
      <w:tr>
        <w:trPr>
          <w:trHeight w:val="372"/>
        </w:trPr>
        <w:tc>
          <w:tcPr>
            <w:tcW w:w="2600" w:type="dxa"/>
            <w:vAlign w:val="bottom"/>
          </w:tcPr>
          <w:p>
            <w:pPr>
              <w:spacing w:after="0"/>
              <w:rPr>
                <w:sz w:val="20"/>
                <w:szCs w:val="20"/>
                <w:color w:val="auto"/>
              </w:rPr>
            </w:pPr>
            <w:r>
              <w:rPr>
                <w:rFonts w:ascii="Arial" w:cs="Arial" w:eastAsia="Arial" w:hAnsi="Arial"/>
                <w:sz w:val="16"/>
                <w:szCs w:val="16"/>
                <w:color w:val="auto"/>
              </w:rPr>
              <w:t>GAMCO Investors, Inc.</w:t>
            </w:r>
          </w:p>
        </w:tc>
        <w:tc>
          <w:tcPr>
            <w:tcW w:w="2940" w:type="dxa"/>
            <w:vAlign w:val="bottom"/>
          </w:tcPr>
          <w:p>
            <w:pPr>
              <w:ind w:left="740"/>
              <w:spacing w:after="0"/>
              <w:rPr>
                <w:sz w:val="20"/>
                <w:szCs w:val="20"/>
                <w:color w:val="auto"/>
              </w:rPr>
            </w:pPr>
            <w:r>
              <w:rPr>
                <w:rFonts w:ascii="Arial" w:cs="Arial" w:eastAsia="Arial" w:hAnsi="Arial"/>
                <w:sz w:val="16"/>
                <w:szCs w:val="16"/>
                <w:color w:val="auto"/>
              </w:rPr>
              <w:t>One Corporate Center</w:t>
            </w:r>
          </w:p>
        </w:tc>
        <w:tc>
          <w:tcPr>
            <w:tcW w:w="2620" w:type="dxa"/>
            <w:vAlign w:val="bottom"/>
          </w:tcPr>
          <w:p>
            <w:pPr>
              <w:ind w:left="540"/>
              <w:spacing w:after="0"/>
              <w:rPr>
                <w:sz w:val="20"/>
                <w:szCs w:val="20"/>
                <w:color w:val="auto"/>
              </w:rPr>
            </w:pPr>
            <w:r>
              <w:rPr>
                <w:rFonts w:ascii="Arial" w:cs="Arial" w:eastAsia="Arial" w:hAnsi="Arial"/>
                <w:sz w:val="16"/>
                <w:szCs w:val="16"/>
                <w:color w:val="auto"/>
              </w:rPr>
              <w:t>Power to vote &amp;</w:t>
            </w:r>
          </w:p>
        </w:tc>
        <w:tc>
          <w:tcPr>
            <w:tcW w:w="1580" w:type="dxa"/>
            <w:vAlign w:val="bottom"/>
          </w:tcPr>
          <w:p>
            <w:pPr>
              <w:jc w:val="right"/>
              <w:spacing w:after="0"/>
              <w:rPr>
                <w:sz w:val="20"/>
                <w:szCs w:val="20"/>
                <w:color w:val="auto"/>
              </w:rPr>
            </w:pPr>
            <w:r>
              <w:rPr>
                <w:rFonts w:ascii="Arial" w:cs="Arial" w:eastAsia="Arial" w:hAnsi="Arial"/>
                <w:sz w:val="16"/>
                <w:szCs w:val="16"/>
                <w:color w:val="auto"/>
              </w:rPr>
              <w:t>1,081,068</w:t>
            </w:r>
          </w:p>
        </w:tc>
        <w:tc>
          <w:tcPr>
            <w:tcW w:w="360" w:type="dxa"/>
            <w:vAlign w:val="bottom"/>
          </w:tcPr>
          <w:p>
            <w:pPr>
              <w:jc w:val="right"/>
              <w:ind w:right="144"/>
              <w:spacing w:after="0"/>
              <w:rPr>
                <w:sz w:val="20"/>
                <w:szCs w:val="20"/>
                <w:color w:val="auto"/>
              </w:rPr>
            </w:pPr>
            <w:r>
              <w:rPr>
                <w:rFonts w:ascii="Arial" w:cs="Arial" w:eastAsia="Arial" w:hAnsi="Arial"/>
                <w:sz w:val="11"/>
                <w:szCs w:val="11"/>
                <w:color w:val="auto"/>
              </w:rPr>
              <w:t>(3)</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w:t>
            </w:r>
          </w:p>
        </w:tc>
      </w:tr>
      <w:tr>
        <w:trPr>
          <w:trHeight w:val="205"/>
        </w:trPr>
        <w:tc>
          <w:tcPr>
            <w:tcW w:w="2600" w:type="dxa"/>
            <w:vAlign w:val="bottom"/>
          </w:tcPr>
          <w:p>
            <w:pPr>
              <w:spacing w:after="0"/>
              <w:rPr>
                <w:sz w:val="17"/>
                <w:szCs w:val="17"/>
                <w:color w:val="auto"/>
              </w:rPr>
            </w:pPr>
          </w:p>
        </w:tc>
        <w:tc>
          <w:tcPr>
            <w:tcW w:w="2940" w:type="dxa"/>
            <w:vAlign w:val="bottom"/>
          </w:tcPr>
          <w:p>
            <w:pPr>
              <w:ind w:left="740"/>
              <w:spacing w:after="0"/>
              <w:rPr>
                <w:sz w:val="20"/>
                <w:szCs w:val="20"/>
                <w:color w:val="auto"/>
              </w:rPr>
            </w:pPr>
            <w:r>
              <w:rPr>
                <w:rFonts w:ascii="Arial" w:cs="Arial" w:eastAsia="Arial" w:hAnsi="Arial"/>
                <w:sz w:val="16"/>
                <w:szCs w:val="16"/>
                <w:color w:val="auto"/>
              </w:rPr>
              <w:t>Rye, NY</w:t>
            </w:r>
          </w:p>
        </w:tc>
        <w:tc>
          <w:tcPr>
            <w:tcW w:w="2620" w:type="dxa"/>
            <w:vAlign w:val="bottom"/>
          </w:tcPr>
          <w:p>
            <w:pPr>
              <w:ind w:left="540"/>
              <w:spacing w:after="0"/>
              <w:rPr>
                <w:sz w:val="20"/>
                <w:szCs w:val="20"/>
                <w:color w:val="auto"/>
              </w:rPr>
            </w:pPr>
            <w:r>
              <w:rPr>
                <w:rFonts w:ascii="Arial" w:cs="Arial" w:eastAsia="Arial" w:hAnsi="Arial"/>
                <w:sz w:val="16"/>
                <w:szCs w:val="16"/>
                <w:color w:val="auto"/>
              </w:rPr>
              <w:t>dispose of stock</w:t>
            </w: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72"/>
        </w:trPr>
        <w:tc>
          <w:tcPr>
            <w:tcW w:w="2600" w:type="dxa"/>
            <w:vAlign w:val="bottom"/>
          </w:tcPr>
          <w:p>
            <w:pPr>
              <w:spacing w:after="0"/>
              <w:rPr>
                <w:sz w:val="20"/>
                <w:szCs w:val="20"/>
                <w:color w:val="auto"/>
              </w:rPr>
            </w:pPr>
            <w:r>
              <w:rPr>
                <w:rFonts w:ascii="Arial" w:cs="Arial" w:eastAsia="Arial" w:hAnsi="Arial"/>
                <w:sz w:val="16"/>
                <w:szCs w:val="16"/>
                <w:color w:val="auto"/>
              </w:rPr>
              <w:t>NFJ Investment Group LLC</w:t>
            </w:r>
          </w:p>
        </w:tc>
        <w:tc>
          <w:tcPr>
            <w:tcW w:w="2940" w:type="dxa"/>
            <w:vAlign w:val="bottom"/>
          </w:tcPr>
          <w:p>
            <w:pPr>
              <w:ind w:left="740"/>
              <w:spacing w:after="0"/>
              <w:rPr>
                <w:sz w:val="20"/>
                <w:szCs w:val="20"/>
                <w:color w:val="auto"/>
              </w:rPr>
            </w:pPr>
            <w:r>
              <w:rPr>
                <w:rFonts w:ascii="Arial" w:cs="Arial" w:eastAsia="Arial" w:hAnsi="Arial"/>
                <w:sz w:val="16"/>
                <w:szCs w:val="16"/>
                <w:color w:val="auto"/>
              </w:rPr>
              <w:t>2100 Ross Avenue</w:t>
            </w:r>
          </w:p>
        </w:tc>
        <w:tc>
          <w:tcPr>
            <w:tcW w:w="2620" w:type="dxa"/>
            <w:vAlign w:val="bottom"/>
          </w:tcPr>
          <w:p>
            <w:pPr>
              <w:ind w:left="540"/>
              <w:spacing w:after="0"/>
              <w:rPr>
                <w:sz w:val="20"/>
                <w:szCs w:val="20"/>
                <w:color w:val="auto"/>
              </w:rPr>
            </w:pPr>
            <w:r>
              <w:rPr>
                <w:rFonts w:ascii="Arial" w:cs="Arial" w:eastAsia="Arial" w:hAnsi="Arial"/>
                <w:sz w:val="16"/>
                <w:szCs w:val="16"/>
                <w:color w:val="auto"/>
              </w:rPr>
              <w:t>Power to vote &amp;</w:t>
            </w:r>
          </w:p>
        </w:tc>
        <w:tc>
          <w:tcPr>
            <w:tcW w:w="1940" w:type="dxa"/>
            <w:vAlign w:val="bottom"/>
            <w:gridSpan w:val="2"/>
          </w:tcPr>
          <w:p>
            <w:pPr>
              <w:jc w:val="right"/>
              <w:ind w:right="284"/>
              <w:spacing w:after="0"/>
              <w:rPr>
                <w:sz w:val="20"/>
                <w:szCs w:val="20"/>
                <w:color w:val="auto"/>
              </w:rPr>
            </w:pPr>
            <w:r>
              <w:rPr>
                <w:rFonts w:ascii="Arial" w:cs="Arial" w:eastAsia="Arial" w:hAnsi="Arial"/>
                <w:sz w:val="16"/>
                <w:szCs w:val="16"/>
                <w:color w:val="auto"/>
              </w:rPr>
              <w:t>724,122</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6.3%</w:t>
            </w:r>
          </w:p>
        </w:tc>
      </w:tr>
      <w:tr>
        <w:trPr>
          <w:trHeight w:val="205"/>
        </w:trPr>
        <w:tc>
          <w:tcPr>
            <w:tcW w:w="2600" w:type="dxa"/>
            <w:vAlign w:val="bottom"/>
          </w:tcPr>
          <w:p>
            <w:pPr>
              <w:spacing w:after="0"/>
              <w:rPr>
                <w:sz w:val="17"/>
                <w:szCs w:val="17"/>
                <w:color w:val="auto"/>
              </w:rPr>
            </w:pPr>
          </w:p>
        </w:tc>
        <w:tc>
          <w:tcPr>
            <w:tcW w:w="2940" w:type="dxa"/>
            <w:vAlign w:val="bottom"/>
          </w:tcPr>
          <w:p>
            <w:pPr>
              <w:ind w:left="740"/>
              <w:spacing w:after="0"/>
              <w:rPr>
                <w:sz w:val="20"/>
                <w:szCs w:val="20"/>
                <w:color w:val="auto"/>
              </w:rPr>
            </w:pPr>
            <w:r>
              <w:rPr>
                <w:rFonts w:ascii="Arial" w:cs="Arial" w:eastAsia="Arial" w:hAnsi="Arial"/>
                <w:sz w:val="16"/>
                <w:szCs w:val="16"/>
                <w:color w:val="auto"/>
              </w:rPr>
              <w:t>Dallas, TX</w:t>
            </w:r>
          </w:p>
        </w:tc>
        <w:tc>
          <w:tcPr>
            <w:tcW w:w="2620" w:type="dxa"/>
            <w:vAlign w:val="bottom"/>
          </w:tcPr>
          <w:p>
            <w:pPr>
              <w:ind w:left="540"/>
              <w:spacing w:after="0"/>
              <w:rPr>
                <w:sz w:val="20"/>
                <w:szCs w:val="20"/>
                <w:color w:val="auto"/>
              </w:rPr>
            </w:pPr>
            <w:r>
              <w:rPr>
                <w:rFonts w:ascii="Arial" w:cs="Arial" w:eastAsia="Arial" w:hAnsi="Arial"/>
                <w:sz w:val="16"/>
                <w:szCs w:val="16"/>
                <w:color w:val="auto"/>
              </w:rPr>
              <w:t>dispose of stock</w:t>
            </w: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72"/>
        </w:trPr>
        <w:tc>
          <w:tcPr>
            <w:tcW w:w="2600" w:type="dxa"/>
            <w:vAlign w:val="bottom"/>
          </w:tcPr>
          <w:p>
            <w:pPr>
              <w:spacing w:after="0"/>
              <w:rPr>
                <w:sz w:val="20"/>
                <w:szCs w:val="20"/>
                <w:color w:val="auto"/>
              </w:rPr>
            </w:pPr>
            <w:r>
              <w:rPr>
                <w:rFonts w:ascii="Arial" w:cs="Arial" w:eastAsia="Arial" w:hAnsi="Arial"/>
                <w:sz w:val="16"/>
                <w:szCs w:val="16"/>
                <w:color w:val="auto"/>
              </w:rPr>
              <w:t>Thompson, Siegel &amp;</w:t>
            </w:r>
          </w:p>
        </w:tc>
        <w:tc>
          <w:tcPr>
            <w:tcW w:w="2940" w:type="dxa"/>
            <w:vAlign w:val="bottom"/>
          </w:tcPr>
          <w:p>
            <w:pPr>
              <w:ind w:left="740"/>
              <w:spacing w:after="0"/>
              <w:rPr>
                <w:sz w:val="20"/>
                <w:szCs w:val="20"/>
                <w:color w:val="auto"/>
              </w:rPr>
            </w:pPr>
            <w:r>
              <w:rPr>
                <w:rFonts w:ascii="Arial" w:cs="Arial" w:eastAsia="Arial" w:hAnsi="Arial"/>
                <w:sz w:val="16"/>
                <w:szCs w:val="16"/>
                <w:color w:val="auto"/>
              </w:rPr>
              <w:t>6806 Paragon Place</w:t>
            </w:r>
          </w:p>
        </w:tc>
        <w:tc>
          <w:tcPr>
            <w:tcW w:w="2620" w:type="dxa"/>
            <w:vAlign w:val="bottom"/>
          </w:tcPr>
          <w:p>
            <w:pPr>
              <w:ind w:left="540"/>
              <w:spacing w:after="0"/>
              <w:rPr>
                <w:sz w:val="20"/>
                <w:szCs w:val="20"/>
                <w:color w:val="auto"/>
              </w:rPr>
            </w:pPr>
            <w:r>
              <w:rPr>
                <w:rFonts w:ascii="Arial" w:cs="Arial" w:eastAsia="Arial" w:hAnsi="Arial"/>
                <w:sz w:val="16"/>
                <w:szCs w:val="16"/>
                <w:color w:val="auto"/>
              </w:rPr>
              <w:t>Power to vote &amp;</w:t>
            </w:r>
          </w:p>
        </w:tc>
        <w:tc>
          <w:tcPr>
            <w:tcW w:w="1940" w:type="dxa"/>
            <w:vAlign w:val="bottom"/>
            <w:gridSpan w:val="2"/>
          </w:tcPr>
          <w:p>
            <w:pPr>
              <w:jc w:val="right"/>
              <w:ind w:right="284"/>
              <w:spacing w:after="0"/>
              <w:rPr>
                <w:sz w:val="20"/>
                <w:szCs w:val="20"/>
                <w:color w:val="auto"/>
              </w:rPr>
            </w:pPr>
            <w:r>
              <w:rPr>
                <w:rFonts w:ascii="Arial" w:cs="Arial" w:eastAsia="Arial" w:hAnsi="Arial"/>
                <w:sz w:val="16"/>
                <w:szCs w:val="16"/>
                <w:color w:val="auto"/>
              </w:rPr>
              <w:t>654,141</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5.7%</w:t>
            </w:r>
          </w:p>
        </w:tc>
      </w:tr>
      <w:tr>
        <w:trPr>
          <w:trHeight w:val="205"/>
        </w:trPr>
        <w:tc>
          <w:tcPr>
            <w:tcW w:w="2600" w:type="dxa"/>
            <w:vAlign w:val="bottom"/>
          </w:tcPr>
          <w:p>
            <w:pPr>
              <w:ind w:left="160"/>
              <w:spacing w:after="0"/>
              <w:rPr>
                <w:sz w:val="20"/>
                <w:szCs w:val="20"/>
                <w:color w:val="auto"/>
              </w:rPr>
            </w:pPr>
            <w:r>
              <w:rPr>
                <w:rFonts w:ascii="Arial" w:cs="Arial" w:eastAsia="Arial" w:hAnsi="Arial"/>
                <w:sz w:val="16"/>
                <w:szCs w:val="16"/>
                <w:color w:val="auto"/>
              </w:rPr>
              <w:t>Walmsley LLC</w:t>
            </w:r>
          </w:p>
        </w:tc>
        <w:tc>
          <w:tcPr>
            <w:tcW w:w="2940" w:type="dxa"/>
            <w:vAlign w:val="bottom"/>
          </w:tcPr>
          <w:p>
            <w:pPr>
              <w:ind w:left="740"/>
              <w:spacing w:after="0"/>
              <w:rPr>
                <w:sz w:val="20"/>
                <w:szCs w:val="20"/>
                <w:color w:val="auto"/>
              </w:rPr>
            </w:pPr>
            <w:r>
              <w:rPr>
                <w:rFonts w:ascii="Arial" w:cs="Arial" w:eastAsia="Arial" w:hAnsi="Arial"/>
                <w:sz w:val="16"/>
                <w:szCs w:val="16"/>
                <w:color w:val="auto"/>
              </w:rPr>
              <w:t>Richmond, VA</w:t>
            </w:r>
          </w:p>
        </w:tc>
        <w:tc>
          <w:tcPr>
            <w:tcW w:w="2620" w:type="dxa"/>
            <w:vAlign w:val="bottom"/>
          </w:tcPr>
          <w:p>
            <w:pPr>
              <w:ind w:left="540"/>
              <w:spacing w:after="0"/>
              <w:rPr>
                <w:sz w:val="20"/>
                <w:szCs w:val="20"/>
                <w:color w:val="auto"/>
              </w:rPr>
            </w:pPr>
            <w:r>
              <w:rPr>
                <w:rFonts w:ascii="Arial" w:cs="Arial" w:eastAsia="Arial" w:hAnsi="Arial"/>
                <w:sz w:val="16"/>
                <w:szCs w:val="16"/>
                <w:color w:val="auto"/>
              </w:rPr>
              <w:t>dispose of stock</w:t>
            </w: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396"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6"/>
          <w:szCs w:val="16"/>
          <w:color w:val="auto"/>
        </w:rPr>
      </w:pPr>
      <w:r>
        <w:rPr>
          <w:rFonts w:ascii="Arial" w:cs="Arial" w:eastAsia="Arial" w:hAnsi="Arial"/>
          <w:sz w:val="16"/>
          <w:szCs w:val="16"/>
          <w:color w:val="auto"/>
        </w:rPr>
        <w:t>Held as trustee under various trusts.</w:t>
      </w:r>
    </w:p>
    <w:p>
      <w:pPr>
        <w:spacing w:after="0" w:line="20" w:lineRule="exact"/>
        <w:rPr>
          <w:rFonts w:ascii="Arial" w:cs="Arial" w:eastAsia="Arial" w:hAnsi="Arial"/>
          <w:sz w:val="16"/>
          <w:szCs w:val="16"/>
          <w:color w:val="auto"/>
        </w:rPr>
      </w:pPr>
    </w:p>
    <w:p>
      <w:pPr>
        <w:ind w:left="4" w:right="20" w:hanging="4"/>
        <w:spacing w:after="0" w:line="250" w:lineRule="auto"/>
        <w:tabs>
          <w:tab w:leader="none" w:pos="24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10,400 shares owned by the wife of Michael E. Batten, 22,316 shares of restricted stock that vest in fiscal 2014, 8,878 shares of restricted stock that vest in fiscal 2015, and 16,455 shares of restricted stock that vest in fiscal 2016.</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shares held by various entities which are directly or indirectly controlled by Mario J. Gabelli and for which he acts as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127"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28" w:lineRule="exact"/>
        <w:rPr>
          <w:sz w:val="20"/>
          <w:szCs w:val="20"/>
          <w:color w:val="auto"/>
        </w:rPr>
      </w:pPr>
    </w:p>
    <w:p>
      <w:pPr>
        <w:ind w:right="140"/>
        <w:spacing w:after="0" w:line="319" w:lineRule="auto"/>
        <w:rPr>
          <w:sz w:val="20"/>
          <w:szCs w:val="20"/>
          <w:color w:val="auto"/>
        </w:rPr>
      </w:pPr>
      <w:r>
        <w:rPr>
          <w:rFonts w:ascii="Arial" w:cs="Arial" w:eastAsia="Arial" w:hAnsi="Arial"/>
          <w:sz w:val="14"/>
          <w:szCs w:val="14"/>
          <w:color w:val="auto"/>
        </w:rPr>
        <w:t>Based upon the records of the Corporation, filings with the Securities and Exchange Commission as of August 24, 2012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20"/>
                <w:szCs w:val="20"/>
                <w:color w:val="auto"/>
              </w:rPr>
            </w:pPr>
            <w:r>
              <w:rPr>
                <w:rFonts w:ascii="Arial" w:cs="Arial" w:eastAsia="Arial" w:hAnsi="Arial"/>
                <w:sz w:val="16"/>
                <w:szCs w:val="16"/>
                <w:b w:val="1"/>
                <w:bCs w:val="1"/>
                <w:color w:val="auto"/>
              </w:rPr>
              <w:t>Name of</w:t>
            </w:r>
          </w:p>
        </w:tc>
        <w:tc>
          <w:tcPr>
            <w:tcW w:w="5180" w:type="dxa"/>
            <w:vAlign w:val="bottom"/>
          </w:tcPr>
          <w:p>
            <w:pPr>
              <w:ind w:left="1120"/>
              <w:spacing w:after="0"/>
              <w:rPr>
                <w:sz w:val="20"/>
                <w:szCs w:val="20"/>
                <w:color w:val="auto"/>
              </w:rPr>
            </w:pPr>
            <w:r>
              <w:rPr>
                <w:rFonts w:ascii="Arial" w:cs="Arial" w:eastAsia="Arial" w:hAnsi="Arial"/>
                <w:sz w:val="16"/>
                <w:szCs w:val="16"/>
                <w:b w:val="1"/>
                <w:bCs w:val="1"/>
                <w:color w:val="auto"/>
              </w:rPr>
              <w:t>Amount and Nature</w:t>
            </w:r>
          </w:p>
        </w:tc>
        <w:tc>
          <w:tcPr>
            <w:tcW w:w="4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Beneficial Owner</w:t>
            </w:r>
          </w:p>
        </w:tc>
        <w:tc>
          <w:tcPr>
            <w:tcW w:w="5180" w:type="dxa"/>
            <w:vAlign w:val="bottom"/>
            <w:tcBorders>
              <w:bottom w:val="single" w:sz="8" w:color="auto"/>
            </w:tcBorders>
          </w:tcPr>
          <w:p>
            <w:pPr>
              <w:ind w:left="1120"/>
              <w:spacing w:after="0" w:line="209" w:lineRule="exact"/>
              <w:rPr>
                <w:sz w:val="20"/>
                <w:szCs w:val="20"/>
                <w:color w:val="auto"/>
              </w:rPr>
            </w:pPr>
            <w:r>
              <w:rPr>
                <w:rFonts w:ascii="Arial" w:cs="Arial" w:eastAsia="Arial" w:hAnsi="Arial"/>
                <w:sz w:val="16"/>
                <w:szCs w:val="16"/>
                <w:b w:val="1"/>
                <w:bCs w:val="1"/>
                <w:color w:val="auto"/>
              </w:rPr>
              <w:t xml:space="preserve">of Beneficial Ownership </w:t>
            </w:r>
            <w:r>
              <w:rPr>
                <w:rFonts w:ascii="Arial" w:cs="Arial" w:eastAsia="Arial" w:hAnsi="Arial"/>
                <w:sz w:val="22"/>
                <w:szCs w:val="22"/>
                <w:b w:val="1"/>
                <w:bCs w:val="1"/>
                <w:color w:val="auto"/>
                <w:vertAlign w:val="superscript"/>
              </w:rPr>
              <w:t>(1)</w:t>
            </w: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1800"/>
              <w:spacing w:after="0"/>
              <w:rPr>
                <w:sz w:val="20"/>
                <w:szCs w:val="20"/>
                <w:color w:val="auto"/>
              </w:rPr>
            </w:pPr>
            <w:r>
              <w:rPr>
                <w:rFonts w:ascii="Arial" w:cs="Arial" w:eastAsia="Arial" w:hAnsi="Arial"/>
                <w:sz w:val="16"/>
                <w:szCs w:val="16"/>
                <w:b w:val="1"/>
                <w:bCs w:val="1"/>
                <w:color w:val="auto"/>
              </w:rPr>
              <w:t>Percent of Class</w:t>
            </w:r>
          </w:p>
        </w:tc>
        <w:tc>
          <w:tcPr>
            <w:tcW w:w="0" w:type="dxa"/>
            <w:vAlign w:val="bottom"/>
          </w:tcPr>
          <w:p>
            <w:pPr>
              <w:spacing w:after="0"/>
              <w:rPr>
                <w:sz w:val="1"/>
                <w:szCs w:val="1"/>
                <w:color w:val="auto"/>
              </w:rPr>
            </w:pPr>
          </w:p>
        </w:tc>
      </w:tr>
      <w:tr>
        <w:trPr>
          <w:trHeight w:val="178"/>
        </w:trPr>
        <w:tc>
          <w:tcPr>
            <w:tcW w:w="2620" w:type="dxa"/>
            <w:vAlign w:val="bottom"/>
          </w:tcPr>
          <w:p>
            <w:pPr>
              <w:spacing w:after="0" w:line="178" w:lineRule="exact"/>
              <w:rPr>
                <w:sz w:val="20"/>
                <w:szCs w:val="20"/>
                <w:color w:val="auto"/>
              </w:rPr>
            </w:pPr>
            <w:r>
              <w:rPr>
                <w:rFonts w:ascii="Arial" w:cs="Arial" w:eastAsia="Arial" w:hAnsi="Arial"/>
                <w:sz w:val="16"/>
                <w:szCs w:val="16"/>
                <w:color w:val="auto"/>
              </w:rPr>
              <w:t>Michael E. Batten</w:t>
            </w:r>
          </w:p>
        </w:tc>
        <w:tc>
          <w:tcPr>
            <w:tcW w:w="5180" w:type="dxa"/>
            <w:vAlign w:val="bottom"/>
          </w:tcPr>
          <w:p>
            <w:pPr>
              <w:jc w:val="right"/>
              <w:spacing w:after="0" w:line="178" w:lineRule="exact"/>
              <w:rPr>
                <w:sz w:val="20"/>
                <w:szCs w:val="20"/>
                <w:color w:val="auto"/>
              </w:rPr>
            </w:pPr>
            <w:r>
              <w:rPr>
                <w:rFonts w:ascii="Arial" w:cs="Arial" w:eastAsia="Arial" w:hAnsi="Arial"/>
                <w:sz w:val="16"/>
                <w:szCs w:val="16"/>
                <w:color w:val="auto"/>
              </w:rPr>
              <w:t>2,597,037</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(2)</w:t>
            </w:r>
          </w:p>
        </w:tc>
        <w:tc>
          <w:tcPr>
            <w:tcW w:w="3220" w:type="dxa"/>
            <w:vAlign w:val="bottom"/>
          </w:tcPr>
          <w:p>
            <w:pPr>
              <w:jc w:val="right"/>
              <w:ind w:right="360"/>
              <w:spacing w:after="0" w:line="178"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John H. Batten</w:t>
            </w:r>
          </w:p>
        </w:tc>
        <w:tc>
          <w:tcPr>
            <w:tcW w:w="5180" w:type="dxa"/>
            <w:vAlign w:val="bottom"/>
          </w:tcPr>
          <w:p>
            <w:pPr>
              <w:jc w:val="right"/>
              <w:spacing w:after="0"/>
              <w:rPr>
                <w:sz w:val="20"/>
                <w:szCs w:val="20"/>
                <w:color w:val="auto"/>
              </w:rPr>
            </w:pPr>
            <w:r>
              <w:rPr>
                <w:rFonts w:ascii="Arial" w:cs="Arial" w:eastAsia="Arial" w:hAnsi="Arial"/>
                <w:sz w:val="16"/>
                <w:szCs w:val="16"/>
                <w:color w:val="auto"/>
              </w:rPr>
              <w:t>76,039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(3)</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Christopher J. Eperjesy</w:t>
            </w:r>
          </w:p>
        </w:tc>
        <w:tc>
          <w:tcPr>
            <w:tcW w:w="5180" w:type="dxa"/>
            <w:vAlign w:val="bottom"/>
          </w:tcPr>
          <w:p>
            <w:pPr>
              <w:jc w:val="right"/>
              <w:spacing w:after="0"/>
              <w:rPr>
                <w:sz w:val="20"/>
                <w:szCs w:val="20"/>
                <w:color w:val="auto"/>
              </w:rPr>
            </w:pPr>
            <w:r>
              <w:rPr>
                <w:rFonts w:ascii="Arial" w:cs="Arial" w:eastAsia="Arial" w:hAnsi="Arial"/>
                <w:sz w:val="16"/>
                <w:szCs w:val="16"/>
                <w:color w:val="auto"/>
              </w:rPr>
              <w:t>52,237</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(4)</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James E. Feiertag</w:t>
            </w:r>
          </w:p>
        </w:tc>
        <w:tc>
          <w:tcPr>
            <w:tcW w:w="5180" w:type="dxa"/>
            <w:vAlign w:val="bottom"/>
          </w:tcPr>
          <w:p>
            <w:pPr>
              <w:jc w:val="right"/>
              <w:spacing w:after="0"/>
              <w:rPr>
                <w:sz w:val="20"/>
                <w:szCs w:val="20"/>
                <w:color w:val="auto"/>
              </w:rPr>
            </w:pPr>
            <w:r>
              <w:rPr>
                <w:rFonts w:ascii="Arial" w:cs="Arial" w:eastAsia="Arial" w:hAnsi="Arial"/>
                <w:sz w:val="16"/>
                <w:szCs w:val="16"/>
                <w:color w:val="auto"/>
              </w:rPr>
              <w:t>55,438</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(5)</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Dean J. Bratel</w:t>
            </w:r>
          </w:p>
        </w:tc>
        <w:tc>
          <w:tcPr>
            <w:tcW w:w="5180" w:type="dxa"/>
            <w:vAlign w:val="bottom"/>
          </w:tcPr>
          <w:p>
            <w:pPr>
              <w:jc w:val="right"/>
              <w:spacing w:after="0"/>
              <w:rPr>
                <w:sz w:val="20"/>
                <w:szCs w:val="20"/>
                <w:color w:val="auto"/>
              </w:rPr>
            </w:pPr>
            <w:r>
              <w:rPr>
                <w:rFonts w:ascii="Arial" w:cs="Arial" w:eastAsia="Arial" w:hAnsi="Arial"/>
                <w:sz w:val="16"/>
                <w:szCs w:val="16"/>
                <w:color w:val="auto"/>
              </w:rPr>
              <w:t>29,174</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(6)</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Michael Doar</w:t>
            </w:r>
          </w:p>
        </w:tc>
        <w:tc>
          <w:tcPr>
            <w:tcW w:w="5180" w:type="dxa"/>
            <w:vAlign w:val="bottom"/>
          </w:tcPr>
          <w:p>
            <w:pPr>
              <w:jc w:val="right"/>
              <w:spacing w:after="0"/>
              <w:rPr>
                <w:sz w:val="20"/>
                <w:szCs w:val="20"/>
                <w:color w:val="auto"/>
              </w:rPr>
            </w:pPr>
            <w:r>
              <w:rPr>
                <w:rFonts w:ascii="Arial" w:cs="Arial" w:eastAsia="Arial" w:hAnsi="Arial"/>
                <w:sz w:val="16"/>
                <w:szCs w:val="16"/>
                <w:color w:val="auto"/>
              </w:rPr>
              <w:t>14,179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Malcolm F. Moore</w:t>
            </w:r>
          </w:p>
        </w:tc>
        <w:tc>
          <w:tcPr>
            <w:tcW w:w="5180" w:type="dxa"/>
            <w:vAlign w:val="bottom"/>
          </w:tcPr>
          <w:p>
            <w:pPr>
              <w:jc w:val="right"/>
              <w:spacing w:after="0"/>
              <w:rPr>
                <w:sz w:val="20"/>
                <w:szCs w:val="20"/>
                <w:color w:val="auto"/>
              </w:rPr>
            </w:pPr>
            <w:r>
              <w:rPr>
                <w:rFonts w:ascii="Arial" w:cs="Arial" w:eastAsia="Arial" w:hAnsi="Arial"/>
                <w:sz w:val="16"/>
                <w:szCs w:val="16"/>
                <w:color w:val="auto"/>
              </w:rPr>
              <w:t>12,033</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David B. Rayburn</w:t>
            </w:r>
          </w:p>
        </w:tc>
        <w:tc>
          <w:tcPr>
            <w:tcW w:w="5180" w:type="dxa"/>
            <w:vAlign w:val="bottom"/>
          </w:tcPr>
          <w:p>
            <w:pPr>
              <w:jc w:val="right"/>
              <w:spacing w:after="0"/>
              <w:rPr>
                <w:sz w:val="20"/>
                <w:szCs w:val="20"/>
                <w:color w:val="auto"/>
              </w:rPr>
            </w:pPr>
            <w:r>
              <w:rPr>
                <w:rFonts w:ascii="Arial" w:cs="Arial" w:eastAsia="Arial" w:hAnsi="Arial"/>
                <w:sz w:val="16"/>
                <w:szCs w:val="16"/>
                <w:color w:val="auto"/>
              </w:rPr>
              <w:t>29,179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Michael C. Smiley</w:t>
            </w:r>
          </w:p>
        </w:tc>
        <w:tc>
          <w:tcPr>
            <w:tcW w:w="5180" w:type="dxa"/>
            <w:vAlign w:val="bottom"/>
          </w:tcPr>
          <w:p>
            <w:pPr>
              <w:jc w:val="right"/>
              <w:spacing w:after="0"/>
              <w:rPr>
                <w:sz w:val="20"/>
                <w:szCs w:val="20"/>
                <w:color w:val="auto"/>
              </w:rPr>
            </w:pPr>
            <w:r>
              <w:rPr>
                <w:rFonts w:ascii="Arial" w:cs="Arial" w:eastAsia="Arial" w:hAnsi="Arial"/>
                <w:sz w:val="16"/>
                <w:szCs w:val="16"/>
                <w:color w:val="auto"/>
              </w:rPr>
              <w:t>4,379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Harold M. Stratton II</w:t>
            </w:r>
          </w:p>
        </w:tc>
        <w:tc>
          <w:tcPr>
            <w:tcW w:w="5180" w:type="dxa"/>
            <w:vAlign w:val="bottom"/>
          </w:tcPr>
          <w:p>
            <w:pPr>
              <w:jc w:val="right"/>
              <w:spacing w:after="0"/>
              <w:rPr>
                <w:sz w:val="20"/>
                <w:szCs w:val="20"/>
                <w:color w:val="auto"/>
              </w:rPr>
            </w:pPr>
            <w:r>
              <w:rPr>
                <w:rFonts w:ascii="Arial" w:cs="Arial" w:eastAsia="Arial" w:hAnsi="Arial"/>
                <w:sz w:val="16"/>
                <w:szCs w:val="16"/>
                <w:color w:val="auto"/>
              </w:rPr>
              <w:t>18,779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20"/>
                <w:szCs w:val="20"/>
                <w:color w:val="auto"/>
              </w:rPr>
            </w:pPr>
            <w:r>
              <w:rPr>
                <w:rFonts w:ascii="Arial" w:cs="Arial" w:eastAsia="Arial" w:hAnsi="Arial"/>
                <w:sz w:val="16"/>
                <w:szCs w:val="16"/>
                <w:color w:val="auto"/>
              </w:rPr>
              <w:t>David R. Zimmer</w:t>
            </w:r>
          </w:p>
        </w:tc>
        <w:tc>
          <w:tcPr>
            <w:tcW w:w="5180" w:type="dxa"/>
            <w:vAlign w:val="bottom"/>
          </w:tcPr>
          <w:p>
            <w:pPr>
              <w:jc w:val="right"/>
              <w:spacing w:after="0"/>
              <w:rPr>
                <w:sz w:val="20"/>
                <w:szCs w:val="20"/>
                <w:color w:val="auto"/>
              </w:rPr>
            </w:pPr>
            <w:r>
              <w:rPr>
                <w:rFonts w:ascii="Arial" w:cs="Arial" w:eastAsia="Arial" w:hAnsi="Arial"/>
                <w:sz w:val="16"/>
                <w:szCs w:val="16"/>
                <w:color w:val="auto"/>
              </w:rPr>
              <w:t>13,529</w:t>
            </w:r>
          </w:p>
        </w:tc>
        <w:tc>
          <w:tcPr>
            <w:tcW w:w="420" w:type="dxa"/>
            <w:vAlign w:val="bottom"/>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2"/>
        </w:trPr>
        <w:tc>
          <w:tcPr>
            <w:tcW w:w="2620" w:type="dxa"/>
            <w:vAlign w:val="bottom"/>
          </w:tcPr>
          <w:p>
            <w:pPr>
              <w:spacing w:after="0"/>
              <w:rPr>
                <w:sz w:val="20"/>
                <w:szCs w:val="20"/>
                <w:color w:val="auto"/>
              </w:rPr>
            </w:pPr>
            <w:r>
              <w:rPr>
                <w:rFonts w:ascii="Arial" w:cs="Arial" w:eastAsia="Arial" w:hAnsi="Arial"/>
                <w:sz w:val="16"/>
                <w:szCs w:val="16"/>
                <w:color w:val="auto"/>
              </w:rPr>
              <w:t>All Directors and</w:t>
            </w:r>
          </w:p>
        </w:tc>
        <w:tc>
          <w:tcPr>
            <w:tcW w:w="5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Executive Officers</w:t>
            </w:r>
          </w:p>
        </w:tc>
        <w:tc>
          <w:tcPr>
            <w:tcW w:w="5180" w:type="dxa"/>
            <w:vAlign w:val="bottom"/>
          </w:tcPr>
          <w:p>
            <w:pPr>
              <w:spacing w:after="0"/>
              <w:rPr>
                <w:sz w:val="16"/>
                <w:szCs w:val="16"/>
                <w:color w:val="auto"/>
              </w:rPr>
            </w:pPr>
          </w:p>
        </w:tc>
        <w:tc>
          <w:tcPr>
            <w:tcW w:w="420" w:type="dxa"/>
            <w:vAlign w:val="bottom"/>
            <w:vMerge w:val="restart"/>
          </w:tcPr>
          <w:p>
            <w:pPr>
              <w:jc w:val="right"/>
              <w:ind w:right="204"/>
              <w:spacing w:after="0"/>
              <w:rPr>
                <w:sz w:val="20"/>
                <w:szCs w:val="20"/>
                <w:color w:val="auto"/>
              </w:rPr>
            </w:pPr>
            <w:r>
              <w:rPr>
                <w:rFonts w:ascii="Arial" w:cs="Arial" w:eastAsia="Arial" w:hAnsi="Arial"/>
                <w:sz w:val="11"/>
                <w:szCs w:val="11"/>
                <w:color w:val="auto"/>
              </w:rPr>
              <w:t>(7)</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tcPr>
          <w:p>
            <w:pPr>
              <w:spacing w:after="0"/>
              <w:rPr>
                <w:sz w:val="20"/>
                <w:szCs w:val="20"/>
                <w:color w:val="auto"/>
              </w:rPr>
            </w:pPr>
            <w:r>
              <w:rPr>
                <w:rFonts w:ascii="Arial" w:cs="Arial" w:eastAsia="Arial" w:hAnsi="Arial"/>
                <w:sz w:val="16"/>
                <w:szCs w:val="16"/>
                <w:color w:val="auto"/>
              </w:rPr>
              <w:t>as a group (15 persons)</w:t>
            </w:r>
          </w:p>
        </w:tc>
        <w:tc>
          <w:tcPr>
            <w:tcW w:w="5180" w:type="dxa"/>
            <w:vAlign w:val="bottom"/>
          </w:tcPr>
          <w:p>
            <w:pPr>
              <w:jc w:val="right"/>
              <w:spacing w:after="0"/>
              <w:rPr>
                <w:sz w:val="20"/>
                <w:szCs w:val="20"/>
                <w:color w:val="auto"/>
              </w:rPr>
            </w:pPr>
            <w:r>
              <w:rPr>
                <w:rFonts w:ascii="Arial" w:cs="Arial" w:eastAsia="Arial" w:hAnsi="Arial"/>
                <w:sz w:val="16"/>
                <w:szCs w:val="16"/>
                <w:color w:val="auto"/>
              </w:rPr>
              <w:t>2,991,026</w:t>
            </w:r>
          </w:p>
        </w:tc>
        <w:tc>
          <w:tcPr>
            <w:tcW w:w="420" w:type="dxa"/>
            <w:vAlign w:val="bottom"/>
            <w:vMerge w:val="continue"/>
          </w:tcPr>
          <w:p>
            <w:pPr>
              <w:spacing w:after="0"/>
              <w:rPr>
                <w:sz w:val="17"/>
                <w:szCs w:val="17"/>
                <w:color w:val="auto"/>
              </w:rPr>
            </w:pPr>
          </w:p>
        </w:tc>
        <w:tc>
          <w:tcPr>
            <w:tcW w:w="3220" w:type="dxa"/>
            <w:vAlign w:val="bottom"/>
          </w:tcPr>
          <w:p>
            <w:pPr>
              <w:jc w:val="right"/>
              <w:ind w:right="3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Denotes ownership of less than one percent of shares outstanding.</w:t>
      </w:r>
    </w:p>
    <w:p>
      <w:pPr>
        <w:spacing w:after="0" w:line="224" w:lineRule="exact"/>
        <w:rPr>
          <w:sz w:val="20"/>
          <w:szCs w:val="20"/>
          <w:color w:val="auto"/>
        </w:rPr>
      </w:pPr>
    </w:p>
    <w:p>
      <w:pPr>
        <w:ind w:left="420" w:right="1380" w:firstLine="9"/>
        <w:spacing w:after="0" w:line="258" w:lineRule="auto"/>
        <w:tabs>
          <w:tab w:leader="none" w:pos="6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listed include any shares owned by a spouse, minor children and immediate relatives who share the same household as a Director or officer. Inclusion of any such shares is not to be considered an admission of beneficial ownership.</w:t>
      </w:r>
    </w:p>
    <w:p>
      <w:pPr>
        <w:spacing w:after="0" w:line="1" w:lineRule="exact"/>
        <w:rPr>
          <w:rFonts w:ascii="Arial" w:cs="Arial" w:eastAsia="Arial" w:hAnsi="Arial"/>
          <w:sz w:val="16"/>
          <w:szCs w:val="16"/>
          <w:color w:val="auto"/>
        </w:rPr>
      </w:pPr>
    </w:p>
    <w:p>
      <w:pPr>
        <w:ind w:left="420" w:right="1140" w:firstLine="9"/>
        <w:spacing w:after="0" w:line="267" w:lineRule="auto"/>
        <w:tabs>
          <w:tab w:leader="none" w:pos="6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10,400 shares held by Mr. Batten’s wife, 2,137,740 shares held by him as trustee under various family trusts, 22,316 shares of restricted stock that vest in fiscal 2014, 8,878 shares of restricted stock that vest in fiscal 2015, and 16,455 shares of restricted stock that vest in fiscal 2016.</w:t>
      </w:r>
    </w:p>
    <w:p>
      <w:pPr>
        <w:ind w:left="660" w:hanging="231"/>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restricted stock grants of 16,090 shares that vest in fiscal 2014, 5,446 shares that vest in fiscal 2015, and 12,594 shares that vest in fiscal 2016.</w:t>
      </w:r>
    </w:p>
    <w:p>
      <w:pPr>
        <w:spacing w:after="0" w:line="19" w:lineRule="exact"/>
        <w:rPr>
          <w:rFonts w:ascii="Arial" w:cs="Arial" w:eastAsia="Arial" w:hAnsi="Arial"/>
          <w:sz w:val="15"/>
          <w:szCs w:val="15"/>
          <w:color w:val="auto"/>
        </w:rPr>
      </w:pPr>
    </w:p>
    <w:p>
      <w:pPr>
        <w:ind w:left="660" w:hanging="231"/>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restricted stock grants of 12,339 shares that vest in fiscal 2014, 3,954 shares that vest in fiscal 2015, and 10,425 shares that vest in fiscal 2016.</w:t>
      </w:r>
    </w:p>
    <w:p>
      <w:pPr>
        <w:spacing w:after="0" w:line="19" w:lineRule="exact"/>
        <w:rPr>
          <w:rFonts w:ascii="Arial" w:cs="Arial" w:eastAsia="Arial" w:hAnsi="Arial"/>
          <w:sz w:val="15"/>
          <w:szCs w:val="15"/>
          <w:color w:val="auto"/>
        </w:rPr>
      </w:pPr>
    </w:p>
    <w:p>
      <w:pPr>
        <w:ind w:left="660" w:hanging="231"/>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restricted stock grants of 11,339 shares that vest in fiscal 2014, 3,795 shares that vest in fiscal 2015, and 8,302 shares that vest in fiscal 2016.</w:t>
      </w:r>
    </w:p>
    <w:p>
      <w:pPr>
        <w:spacing w:after="0" w:line="8" w:lineRule="exact"/>
        <w:rPr>
          <w:rFonts w:ascii="Arial" w:cs="Arial" w:eastAsia="Arial" w:hAnsi="Arial"/>
          <w:sz w:val="16"/>
          <w:szCs w:val="16"/>
          <w:color w:val="auto"/>
        </w:rPr>
      </w:pPr>
    </w:p>
    <w:p>
      <w:pPr>
        <w:ind w:left="660" w:hanging="231"/>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restricted stock grants of 8,004 shares that vest in fiscal 2014, 2,229 shares that vest in fiscal 2015, and 4,638 shares that vest in fiscal 2016.</w:t>
      </w:r>
    </w:p>
    <w:p>
      <w:pPr>
        <w:spacing w:after="0" w:line="8" w:lineRule="exact"/>
        <w:rPr>
          <w:rFonts w:ascii="Arial" w:cs="Arial" w:eastAsia="Arial" w:hAnsi="Arial"/>
          <w:sz w:val="16"/>
          <w:szCs w:val="16"/>
          <w:color w:val="auto"/>
        </w:rPr>
      </w:pPr>
    </w:p>
    <w:p>
      <w:pPr>
        <w:jc w:val="both"/>
        <w:ind w:left="420" w:right="1120" w:firstLine="9"/>
        <w:spacing w:after="0" w:line="256" w:lineRule="auto"/>
        <w:tabs>
          <w:tab w:leader="none" w:pos="6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subject to currently exercisable stock options included in the above are as follows: Mr. Doar 2,400, Mr. Moore 4,800, Mr. Rayburn 11,200, Mr. Stratton 7,200 and all Directors and executive officers as a group 25,600. Also included above are unvested restricted shares as follows: Mr. Doar 2,031, Mr. Moore 2,031, Mr. Rayburn 2,031, Mr. Smiley 2,031, Mr. Stratton 2,031 and Mr. Zimmer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493395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PROPOSAL 1: ELECTION OF DIRECTORS</w:t>
      </w:r>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Board of Directors has nominated the following persons to serve as Directors for the Corporation, each for a term to expire at the annual meeting following the fiscal year ended June 30, 2015. Shares of common stock represented by properly executed proxy appointments in the accompanying form or electronic proxy vote will be voted for the two nominees listed unless authority to do so is withheld.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Principal Occupation and Other</w:t>
            </w:r>
          </w:p>
        </w:tc>
        <w:tc>
          <w:tcPr>
            <w:tcW w:w="34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Name and</w:t>
            </w:r>
          </w:p>
        </w:tc>
        <w:tc>
          <w:tcPr>
            <w:tcW w:w="3180" w:type="dxa"/>
            <w:vAlign w:val="bottom"/>
          </w:tcPr>
          <w:p>
            <w:pPr>
              <w:ind w:left="500"/>
              <w:spacing w:after="0"/>
              <w:rPr>
                <w:sz w:val="20"/>
                <w:szCs w:val="20"/>
                <w:color w:val="auto"/>
              </w:rPr>
            </w:pPr>
            <w:r>
              <w:rPr>
                <w:rFonts w:ascii="Arial" w:cs="Arial" w:eastAsia="Arial" w:hAnsi="Arial"/>
                <w:sz w:val="16"/>
                <w:szCs w:val="16"/>
                <w:color w:val="auto"/>
              </w:rPr>
              <w:t>Public Company Directorships</w:t>
            </w:r>
          </w:p>
        </w:tc>
        <w:tc>
          <w:tcPr>
            <w:tcW w:w="3460" w:type="dxa"/>
            <w:vAlign w:val="bottom"/>
          </w:tcPr>
          <w:p>
            <w:pPr>
              <w:spacing w:after="0"/>
              <w:rPr>
                <w:sz w:val="16"/>
                <w:szCs w:val="16"/>
                <w:color w:val="auto"/>
              </w:rPr>
            </w:pPr>
          </w:p>
        </w:tc>
        <w:tc>
          <w:tcPr>
            <w:tcW w:w="2800" w:type="dxa"/>
            <w:vAlign w:val="bottom"/>
          </w:tcPr>
          <w:p>
            <w:pPr>
              <w:ind w:left="660"/>
              <w:spacing w:after="0"/>
              <w:rPr>
                <w:sz w:val="20"/>
                <w:szCs w:val="20"/>
                <w:color w:val="auto"/>
              </w:rPr>
            </w:pPr>
            <w:r>
              <w:rPr>
                <w:rFonts w:ascii="Arial" w:cs="Arial" w:eastAsia="Arial" w:hAnsi="Arial"/>
                <w:sz w:val="16"/>
                <w:szCs w:val="16"/>
                <w:color w:val="auto"/>
              </w:rPr>
              <w:t>Served as Director</w:t>
            </w:r>
          </w:p>
        </w:tc>
      </w:tr>
      <w:tr>
        <w:trPr>
          <w:trHeight w:val="209"/>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Age</w:t>
            </w:r>
          </w:p>
        </w:tc>
        <w:tc>
          <w:tcPr>
            <w:tcW w:w="31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Held Within Past Five Years</w:t>
            </w:r>
          </w:p>
        </w:tc>
        <w:tc>
          <w:tcPr>
            <w:tcW w:w="34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Skills and Qualifications</w:t>
            </w:r>
          </w:p>
        </w:tc>
        <w:tc>
          <w:tcPr>
            <w:tcW w:w="28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Continuously Since</w:t>
            </w:r>
          </w:p>
        </w:tc>
      </w:tr>
      <w:tr>
        <w:trPr>
          <w:trHeight w:val="372"/>
        </w:trPr>
        <w:tc>
          <w:tcPr>
            <w:tcW w:w="2000" w:type="dxa"/>
            <w:vAlign w:val="bottom"/>
          </w:tcPr>
          <w:p>
            <w:pPr>
              <w:spacing w:after="0"/>
              <w:rPr>
                <w:sz w:val="20"/>
                <w:szCs w:val="20"/>
                <w:color w:val="auto"/>
              </w:rPr>
            </w:pPr>
            <w:r>
              <w:rPr>
                <w:rFonts w:ascii="Arial" w:cs="Arial" w:eastAsia="Arial" w:hAnsi="Arial"/>
                <w:sz w:val="16"/>
                <w:szCs w:val="16"/>
                <w:color w:val="auto"/>
              </w:rPr>
              <w:t>David. B. Rayburn. . . .</w:t>
            </w:r>
          </w:p>
        </w:tc>
        <w:tc>
          <w:tcPr>
            <w:tcW w:w="3180" w:type="dxa"/>
            <w:vAlign w:val="bottom"/>
          </w:tcPr>
          <w:p>
            <w:pPr>
              <w:ind w:left="500"/>
              <w:spacing w:after="0"/>
              <w:rPr>
                <w:sz w:val="20"/>
                <w:szCs w:val="20"/>
                <w:color w:val="auto"/>
              </w:rPr>
            </w:pPr>
            <w:r>
              <w:rPr>
                <w:rFonts w:ascii="Arial" w:cs="Arial" w:eastAsia="Arial" w:hAnsi="Arial"/>
                <w:sz w:val="16"/>
                <w:szCs w:val="16"/>
                <w:color w:val="auto"/>
              </w:rPr>
              <w:t>Retired President and</w:t>
            </w:r>
          </w:p>
        </w:tc>
        <w:tc>
          <w:tcPr>
            <w:tcW w:w="3460" w:type="dxa"/>
            <w:vAlign w:val="bottom"/>
          </w:tcPr>
          <w:p>
            <w:pPr>
              <w:ind w:left="660"/>
              <w:spacing w:after="0"/>
              <w:rPr>
                <w:sz w:val="20"/>
                <w:szCs w:val="20"/>
                <w:color w:val="auto"/>
              </w:rPr>
            </w:pPr>
            <w:r>
              <w:rPr>
                <w:rFonts w:ascii="Arial" w:cs="Arial" w:eastAsia="Arial" w:hAnsi="Arial"/>
                <w:sz w:val="16"/>
                <w:szCs w:val="16"/>
                <w:color w:val="auto"/>
              </w:rPr>
              <w:t>As a former CEO of a public</w:t>
            </w:r>
          </w:p>
        </w:tc>
        <w:tc>
          <w:tcPr>
            <w:tcW w:w="2800" w:type="dxa"/>
            <w:vAlign w:val="bottom"/>
          </w:tcPr>
          <w:p>
            <w:pPr>
              <w:ind w:left="2160"/>
              <w:spacing w:after="0"/>
              <w:rPr>
                <w:sz w:val="20"/>
                <w:szCs w:val="20"/>
                <w:color w:val="auto"/>
              </w:rPr>
            </w:pPr>
            <w:r>
              <w:rPr>
                <w:rFonts w:ascii="Arial" w:cs="Arial" w:eastAsia="Arial" w:hAnsi="Arial"/>
                <w:sz w:val="16"/>
                <w:szCs w:val="16"/>
                <w:color w:val="auto"/>
                <w:w w:val="90"/>
              </w:rPr>
              <w:t>July 2000</w:t>
            </w:r>
          </w:p>
        </w:tc>
      </w:tr>
      <w:tr>
        <w:trPr>
          <w:trHeight w:val="192"/>
        </w:trPr>
        <w:tc>
          <w:tcPr>
            <w:tcW w:w="2000" w:type="dxa"/>
            <w:vAlign w:val="bottom"/>
          </w:tcPr>
          <w:p>
            <w:pPr>
              <w:ind w:left="140"/>
              <w:spacing w:after="0"/>
              <w:rPr>
                <w:sz w:val="20"/>
                <w:szCs w:val="20"/>
                <w:color w:val="auto"/>
              </w:rPr>
            </w:pPr>
            <w:r>
              <w:rPr>
                <w:rFonts w:ascii="Arial" w:cs="Arial" w:eastAsia="Arial" w:hAnsi="Arial"/>
                <w:sz w:val="16"/>
                <w:szCs w:val="16"/>
                <w:color w:val="auto"/>
              </w:rPr>
              <w:t>Age 64</w:t>
            </w:r>
          </w:p>
        </w:tc>
        <w:tc>
          <w:tcPr>
            <w:tcW w:w="3180" w:type="dxa"/>
            <w:vAlign w:val="bottom"/>
          </w:tcPr>
          <w:p>
            <w:pPr>
              <w:ind w:left="500"/>
              <w:spacing w:after="0"/>
              <w:rPr>
                <w:sz w:val="20"/>
                <w:szCs w:val="20"/>
                <w:color w:val="auto"/>
              </w:rPr>
            </w:pPr>
            <w:r>
              <w:rPr>
                <w:rFonts w:ascii="Arial" w:cs="Arial" w:eastAsia="Arial" w:hAnsi="Arial"/>
                <w:sz w:val="16"/>
                <w:szCs w:val="16"/>
                <w:color w:val="auto"/>
              </w:rPr>
              <w:t>Chief Executive Officer,</w:t>
            </w:r>
          </w:p>
        </w:tc>
        <w:tc>
          <w:tcPr>
            <w:tcW w:w="3460" w:type="dxa"/>
            <w:vAlign w:val="bottom"/>
          </w:tcPr>
          <w:p>
            <w:pPr>
              <w:ind w:left="660"/>
              <w:spacing w:after="0"/>
              <w:rPr>
                <w:sz w:val="20"/>
                <w:szCs w:val="20"/>
                <w:color w:val="auto"/>
              </w:rPr>
            </w:pPr>
            <w:r>
              <w:rPr>
                <w:rFonts w:ascii="Arial" w:cs="Arial" w:eastAsia="Arial" w:hAnsi="Arial"/>
                <w:sz w:val="16"/>
                <w:szCs w:val="16"/>
                <w:color w:val="auto"/>
              </w:rPr>
              <w:t>company, Mr. Rayburn has</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Modine Manufacturing</w:t>
            </w:r>
          </w:p>
        </w:tc>
        <w:tc>
          <w:tcPr>
            <w:tcW w:w="3460" w:type="dxa"/>
            <w:vAlign w:val="bottom"/>
          </w:tcPr>
          <w:p>
            <w:pPr>
              <w:ind w:left="660"/>
              <w:spacing w:after="0"/>
              <w:rPr>
                <w:sz w:val="20"/>
                <w:szCs w:val="20"/>
                <w:color w:val="auto"/>
              </w:rPr>
            </w:pPr>
            <w:r>
              <w:rPr>
                <w:rFonts w:ascii="Arial" w:cs="Arial" w:eastAsia="Arial" w:hAnsi="Arial"/>
                <w:sz w:val="16"/>
                <w:szCs w:val="16"/>
                <w:color w:val="auto"/>
              </w:rPr>
              <w:t>experience and skill sets in</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Company,</w:t>
            </w:r>
          </w:p>
        </w:tc>
        <w:tc>
          <w:tcPr>
            <w:tcW w:w="3460" w:type="dxa"/>
            <w:vAlign w:val="bottom"/>
          </w:tcPr>
          <w:p>
            <w:pPr>
              <w:ind w:left="660"/>
              <w:spacing w:after="0"/>
              <w:rPr>
                <w:sz w:val="20"/>
                <w:szCs w:val="20"/>
                <w:color w:val="auto"/>
              </w:rPr>
            </w:pPr>
            <w:r>
              <w:rPr>
                <w:rFonts w:ascii="Arial" w:cs="Arial" w:eastAsia="Arial" w:hAnsi="Arial"/>
                <w:sz w:val="16"/>
                <w:szCs w:val="16"/>
                <w:color w:val="auto"/>
              </w:rPr>
              <w:t>strategic planning, financial</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Racine, Wisconsin</w:t>
            </w:r>
          </w:p>
        </w:tc>
        <w:tc>
          <w:tcPr>
            <w:tcW w:w="3460" w:type="dxa"/>
            <w:vAlign w:val="bottom"/>
          </w:tcPr>
          <w:p>
            <w:pPr>
              <w:ind w:left="660"/>
              <w:spacing w:after="0"/>
              <w:rPr>
                <w:sz w:val="20"/>
                <w:szCs w:val="20"/>
                <w:color w:val="auto"/>
              </w:rPr>
            </w:pPr>
            <w:r>
              <w:rPr>
                <w:rFonts w:ascii="Arial" w:cs="Arial" w:eastAsia="Arial" w:hAnsi="Arial"/>
                <w:sz w:val="16"/>
                <w:szCs w:val="16"/>
                <w:color w:val="auto"/>
              </w:rPr>
              <w:t>oversight, compensation policy</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(A manufacturer of heat</w:t>
            </w:r>
          </w:p>
        </w:tc>
        <w:tc>
          <w:tcPr>
            <w:tcW w:w="3460" w:type="dxa"/>
            <w:vAlign w:val="bottom"/>
          </w:tcPr>
          <w:p>
            <w:pPr>
              <w:ind w:left="660"/>
              <w:spacing w:after="0"/>
              <w:rPr>
                <w:sz w:val="20"/>
                <w:szCs w:val="20"/>
                <w:color w:val="auto"/>
              </w:rPr>
            </w:pPr>
            <w:r>
              <w:rPr>
                <w:rFonts w:ascii="Arial" w:cs="Arial" w:eastAsia="Arial" w:hAnsi="Arial"/>
                <w:sz w:val="16"/>
                <w:szCs w:val="16"/>
                <w:color w:val="auto"/>
              </w:rPr>
              <w:t>and practices as well as</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ind w:left="500"/>
              <w:spacing w:after="0"/>
              <w:rPr>
                <w:sz w:val="20"/>
                <w:szCs w:val="20"/>
                <w:color w:val="auto"/>
              </w:rPr>
            </w:pPr>
            <w:r>
              <w:rPr>
                <w:rFonts w:ascii="Arial" w:cs="Arial" w:eastAsia="Arial" w:hAnsi="Arial"/>
                <w:sz w:val="16"/>
                <w:szCs w:val="16"/>
                <w:color w:val="auto"/>
              </w:rPr>
              <w:t>exchange equipment)</w:t>
            </w:r>
          </w:p>
        </w:tc>
        <w:tc>
          <w:tcPr>
            <w:tcW w:w="3460" w:type="dxa"/>
            <w:vAlign w:val="bottom"/>
          </w:tcPr>
          <w:p>
            <w:pPr>
              <w:ind w:left="660"/>
              <w:spacing w:after="0"/>
              <w:rPr>
                <w:sz w:val="20"/>
                <w:szCs w:val="20"/>
                <w:color w:val="auto"/>
              </w:rPr>
            </w:pPr>
            <w:r>
              <w:rPr>
                <w:rFonts w:ascii="Arial" w:cs="Arial" w:eastAsia="Arial" w:hAnsi="Arial"/>
                <w:sz w:val="16"/>
                <w:szCs w:val="16"/>
                <w:color w:val="auto"/>
              </w:rPr>
              <w:t>organizational structure. In</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addition, Mr. Rayburn’s</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background includes</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international business, mergers</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and acquisitions, engineering and</w:t>
            </w:r>
          </w:p>
        </w:tc>
        <w:tc>
          <w:tcPr>
            <w:tcW w:w="2800" w:type="dxa"/>
            <w:vAlign w:val="bottom"/>
          </w:tcPr>
          <w:p>
            <w:pPr>
              <w:spacing w:after="0"/>
              <w:rPr>
                <w:sz w:val="16"/>
                <w:szCs w:val="16"/>
                <w:color w:val="auto"/>
              </w:rPr>
            </w:pPr>
          </w:p>
        </w:tc>
      </w:tr>
      <w:tr>
        <w:trPr>
          <w:trHeight w:val="192"/>
        </w:trPr>
        <w:tc>
          <w:tcPr>
            <w:tcW w:w="2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manufacturing in an industry</w:t>
            </w:r>
          </w:p>
        </w:tc>
        <w:tc>
          <w:tcPr>
            <w:tcW w:w="2800" w:type="dxa"/>
            <w:vAlign w:val="bottom"/>
          </w:tcPr>
          <w:p>
            <w:pPr>
              <w:spacing w:after="0"/>
              <w:rPr>
                <w:sz w:val="16"/>
                <w:szCs w:val="16"/>
                <w:color w:val="auto"/>
              </w:rPr>
            </w:pPr>
          </w:p>
        </w:tc>
      </w:tr>
      <w:tr>
        <w:trPr>
          <w:trHeight w:val="205"/>
        </w:trPr>
        <w:tc>
          <w:tcPr>
            <w:tcW w:w="2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460" w:type="dxa"/>
            <w:vAlign w:val="bottom"/>
          </w:tcPr>
          <w:p>
            <w:pPr>
              <w:ind w:left="660"/>
              <w:spacing w:after="0"/>
              <w:rPr>
                <w:sz w:val="20"/>
                <w:szCs w:val="20"/>
                <w:color w:val="auto"/>
              </w:rPr>
            </w:pPr>
            <w:r>
              <w:rPr>
                <w:rFonts w:ascii="Arial" w:cs="Arial" w:eastAsia="Arial" w:hAnsi="Arial"/>
                <w:sz w:val="16"/>
                <w:szCs w:val="16"/>
                <w:color w:val="auto"/>
              </w:rPr>
              <w:t>related to the Corporation.</w:t>
            </w:r>
          </w:p>
        </w:tc>
        <w:tc>
          <w:tcPr>
            <w:tcW w:w="2800" w:type="dxa"/>
            <w:vAlign w:val="bottom"/>
          </w:tcPr>
          <w:p>
            <w:pPr>
              <w:spacing w:after="0"/>
              <w:rPr>
                <w:sz w:val="17"/>
                <w:szCs w:val="17"/>
                <w:color w:val="auto"/>
              </w:rPr>
            </w:pPr>
          </w:p>
        </w:tc>
      </w:tr>
    </w:tbl>
    <w:p>
      <w:pPr>
        <w:spacing w:after="0" w:line="180" w:lineRule="exact"/>
        <w:rPr>
          <w:sz w:val="20"/>
          <w:szCs w:val="20"/>
          <w:color w:val="auto"/>
        </w:rPr>
      </w:pPr>
    </w:p>
    <w:p>
      <w:pPr>
        <w:sectPr>
          <w:pgSz w:w="11900" w:h="16838" w:orient="portrait"/>
          <w:cols w:equalWidth="0" w:num="1">
            <w:col w:w="11440"/>
          </w:cols>
          <w:pgMar w:left="240" w:top="471" w:right="219" w:bottom="1440" w:gutter="0" w:footer="0" w:header="0"/>
        </w:sectPr>
      </w:pPr>
    </w:p>
    <w:p>
      <w:pPr>
        <w:spacing w:after="0"/>
        <w:tabs>
          <w:tab w:leader="none" w:pos="2480" w:val="left"/>
        </w:tabs>
        <w:rPr>
          <w:sz w:val="20"/>
          <w:szCs w:val="20"/>
          <w:color w:val="auto"/>
        </w:rPr>
      </w:pPr>
      <w:r>
        <w:rPr>
          <w:rFonts w:ascii="Arial" w:cs="Arial" w:eastAsia="Arial" w:hAnsi="Arial"/>
          <w:sz w:val="16"/>
          <w:szCs w:val="16"/>
          <w:color w:val="auto"/>
        </w:rPr>
        <w:t>Malcolm F. Moore. . . .</w:t>
      </w:r>
      <w:r>
        <w:rPr>
          <w:sz w:val="20"/>
          <w:szCs w:val="20"/>
          <w:color w:val="auto"/>
        </w:rPr>
        <w:tab/>
      </w:r>
      <w:r>
        <w:rPr>
          <w:rFonts w:ascii="Arial" w:cs="Arial" w:eastAsia="Arial" w:hAnsi="Arial"/>
          <w:sz w:val="14"/>
          <w:szCs w:val="14"/>
          <w:color w:val="auto"/>
        </w:rPr>
        <w:t>Chairman of the Board, Digi-Star</w:t>
      </w:r>
    </w:p>
    <w:p>
      <w:pPr>
        <w:spacing w:after="0" w:line="21" w:lineRule="exact"/>
        <w:rPr>
          <w:sz w:val="20"/>
          <w:szCs w:val="20"/>
          <w:color w:val="auto"/>
        </w:rPr>
      </w:pPr>
    </w:p>
    <w:p>
      <w:pPr>
        <w:ind w:left="140"/>
        <w:spacing w:after="0"/>
        <w:tabs>
          <w:tab w:leader="none" w:pos="2480" w:val="left"/>
        </w:tabs>
        <w:rPr>
          <w:sz w:val="20"/>
          <w:szCs w:val="20"/>
          <w:color w:val="auto"/>
        </w:rPr>
      </w:pPr>
      <w:r>
        <w:rPr>
          <w:rFonts w:ascii="Arial" w:cs="Arial" w:eastAsia="Arial" w:hAnsi="Arial"/>
          <w:sz w:val="16"/>
          <w:szCs w:val="16"/>
          <w:color w:val="auto"/>
        </w:rPr>
        <w:t>Age 62</w:t>
      </w:r>
      <w:r>
        <w:rPr>
          <w:sz w:val="20"/>
          <w:szCs w:val="20"/>
          <w:color w:val="auto"/>
        </w:rPr>
        <w:tab/>
      </w:r>
      <w:r>
        <w:rPr>
          <w:rFonts w:ascii="Arial" w:cs="Arial" w:eastAsia="Arial" w:hAnsi="Arial"/>
          <w:sz w:val="15"/>
          <w:szCs w:val="15"/>
          <w:color w:val="auto"/>
        </w:rPr>
        <w:t>LLC, Fort Atkinson, Wisconsin</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(A provider of weighing systems</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for Precision Agriculture);</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Chief Executive Officer, Port</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Royal Partners, LLC, Naples,</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Florida (An enterprise focusing</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on investments in the marine</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industry); Retired President and</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Chief Executive Officer, Gehl</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Company, West Bend,</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Wisconsin (A manufacturer and</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distributor of compact equipment</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for construction and agricultural markets)</w:t>
      </w:r>
    </w:p>
    <w:p>
      <w:pPr>
        <w:spacing w:after="0" w:line="20" w:lineRule="exact"/>
        <w:rPr>
          <w:sz w:val="20"/>
          <w:szCs w:val="20"/>
          <w:color w:val="auto"/>
        </w:rPr>
      </w:pPr>
      <w:r>
        <w:rPr>
          <w:sz w:val="20"/>
          <w:szCs w:val="20"/>
          <w:color w:val="auto"/>
        </w:rPr>
        <w:br w:type="column"/>
      </w:r>
    </w:p>
    <w:p>
      <w:pPr>
        <w:spacing w:after="0"/>
        <w:tabs>
          <w:tab w:leader="none" w:pos="4700" w:val="left"/>
        </w:tabs>
        <w:rPr>
          <w:sz w:val="20"/>
          <w:szCs w:val="20"/>
          <w:color w:val="auto"/>
        </w:rPr>
      </w:pPr>
      <w:r>
        <w:rPr>
          <w:rFonts w:ascii="Arial" w:cs="Arial" w:eastAsia="Arial" w:hAnsi="Arial"/>
          <w:sz w:val="16"/>
          <w:szCs w:val="16"/>
          <w:color w:val="auto"/>
        </w:rPr>
        <w:t>Mr. Moore is the recently</w:t>
      </w:r>
      <w:r>
        <w:rPr>
          <w:sz w:val="20"/>
          <w:szCs w:val="20"/>
          <w:color w:val="auto"/>
        </w:rPr>
        <w:tab/>
      </w:r>
      <w:r>
        <w:rPr>
          <w:rFonts w:ascii="Arial" w:cs="Arial" w:eastAsia="Arial" w:hAnsi="Arial"/>
          <w:sz w:val="14"/>
          <w:szCs w:val="14"/>
          <w:color w:val="auto"/>
        </w:rPr>
        <w:t>October 2006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retired CEO of a public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His experience includes strategic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planning, financial oversight,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including holding the position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CFO, compensation policy 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practices, and organizational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development. Mr. Moore has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extensive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experience in manufacturing 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engineering related industries.</w:t>
      </w:r>
    </w:p>
    <w:p>
      <w:pPr>
        <w:spacing w:after="0" w:line="753" w:lineRule="exact"/>
        <w:rPr>
          <w:sz w:val="20"/>
          <w:szCs w:val="20"/>
          <w:color w:val="auto"/>
        </w:rPr>
      </w:pPr>
    </w:p>
    <w:p>
      <w:pPr>
        <w:sectPr>
          <w:pgSz w:w="11900" w:h="16838" w:orient="portrait"/>
          <w:cols w:equalWidth="0" w:num="2">
            <w:col w:w="5180" w:space="660"/>
            <w:col w:w="5600"/>
          </w:cols>
          <w:pgMar w:left="240" w:top="471" w:right="21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type w:val="continuous"/>
        </w:sectPr>
      </w:pPr>
    </w:p>
    <w:bookmarkStart w:id="6" w:name="page7"/>
    <w:bookmarkEnd w:id="6"/>
    <w:p>
      <w:pPr>
        <w:ind w:right="20"/>
        <w:spacing w:after="0" w:line="277" w:lineRule="auto"/>
        <w:rPr>
          <w:sz w:val="20"/>
          <w:szCs w:val="20"/>
          <w:color w:val="auto"/>
        </w:rPr>
      </w:pPr>
      <w:r>
        <w:rPr>
          <w:rFonts w:ascii="Arial" w:cs="Arial" w:eastAsia="Arial" w:hAnsi="Arial"/>
          <w:sz w:val="16"/>
          <w:szCs w:val="16"/>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3160" w:type="dxa"/>
            <w:vAlign w:val="bottom"/>
          </w:tcPr>
          <w:p>
            <w:pPr>
              <w:ind w:left="440"/>
              <w:spacing w:after="0"/>
              <w:rPr>
                <w:sz w:val="20"/>
                <w:szCs w:val="20"/>
                <w:color w:val="auto"/>
              </w:rPr>
            </w:pPr>
            <w:r>
              <w:rPr>
                <w:rFonts w:ascii="Arial" w:cs="Arial" w:eastAsia="Arial" w:hAnsi="Arial"/>
                <w:sz w:val="16"/>
                <w:szCs w:val="16"/>
                <w:color w:val="auto"/>
              </w:rPr>
              <w:t>Principal Occupation and Other</w:t>
            </w:r>
          </w:p>
        </w:tc>
        <w:tc>
          <w:tcPr>
            <w:tcW w:w="3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20"/>
                <w:szCs w:val="20"/>
                <w:color w:val="auto"/>
              </w:rPr>
            </w:pPr>
            <w:r>
              <w:rPr>
                <w:rFonts w:ascii="Arial" w:cs="Arial" w:eastAsia="Arial" w:hAnsi="Arial"/>
                <w:sz w:val="16"/>
                <w:szCs w:val="16"/>
                <w:color w:val="auto"/>
              </w:rPr>
              <w:t>Name and</w:t>
            </w:r>
          </w:p>
        </w:tc>
        <w:tc>
          <w:tcPr>
            <w:tcW w:w="3160" w:type="dxa"/>
            <w:vAlign w:val="bottom"/>
          </w:tcPr>
          <w:p>
            <w:pPr>
              <w:ind w:left="440"/>
              <w:spacing w:after="0"/>
              <w:rPr>
                <w:sz w:val="20"/>
                <w:szCs w:val="20"/>
                <w:color w:val="auto"/>
              </w:rPr>
            </w:pPr>
            <w:r>
              <w:rPr>
                <w:rFonts w:ascii="Arial" w:cs="Arial" w:eastAsia="Arial" w:hAnsi="Arial"/>
                <w:sz w:val="16"/>
                <w:szCs w:val="16"/>
                <w:color w:val="auto"/>
              </w:rPr>
              <w:t>Public Company Directorships</w:t>
            </w:r>
          </w:p>
        </w:tc>
        <w:tc>
          <w:tcPr>
            <w:tcW w:w="3400" w:type="dxa"/>
            <w:vAlign w:val="bottom"/>
          </w:tcPr>
          <w:p>
            <w:pPr>
              <w:spacing w:after="0"/>
              <w:rPr>
                <w:sz w:val="16"/>
                <w:szCs w:val="16"/>
                <w:color w:val="auto"/>
              </w:rPr>
            </w:pPr>
          </w:p>
        </w:tc>
        <w:tc>
          <w:tcPr>
            <w:tcW w:w="2940" w:type="dxa"/>
            <w:vAlign w:val="bottom"/>
            <w:gridSpan w:val="2"/>
          </w:tcPr>
          <w:p>
            <w:pPr>
              <w:ind w:left="520"/>
              <w:spacing w:after="0"/>
              <w:rPr>
                <w:sz w:val="20"/>
                <w:szCs w:val="20"/>
                <w:color w:val="auto"/>
              </w:rPr>
            </w:pPr>
            <w:r>
              <w:rPr>
                <w:rFonts w:ascii="Arial" w:cs="Arial" w:eastAsia="Arial" w:hAnsi="Arial"/>
                <w:sz w:val="16"/>
                <w:szCs w:val="16"/>
                <w:color w:val="auto"/>
              </w:rPr>
              <w:t>Served as Director</w:t>
            </w: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Current Age</w:t>
            </w:r>
          </w:p>
        </w:tc>
        <w:tc>
          <w:tcPr>
            <w:tcW w:w="3160" w:type="dxa"/>
            <w:vAlign w:val="bottom"/>
          </w:tcPr>
          <w:p>
            <w:pPr>
              <w:ind w:left="440"/>
              <w:spacing w:after="0"/>
              <w:rPr>
                <w:sz w:val="20"/>
                <w:szCs w:val="20"/>
                <w:color w:val="auto"/>
              </w:rPr>
            </w:pPr>
            <w:r>
              <w:rPr>
                <w:rFonts w:ascii="Arial" w:cs="Arial" w:eastAsia="Arial" w:hAnsi="Arial"/>
                <w:sz w:val="16"/>
                <w:szCs w:val="16"/>
                <w:color w:val="auto"/>
              </w:rPr>
              <w:t>Held Within Past Five Years</w:t>
            </w:r>
          </w:p>
        </w:tc>
        <w:tc>
          <w:tcPr>
            <w:tcW w:w="3400" w:type="dxa"/>
            <w:vAlign w:val="bottom"/>
          </w:tcPr>
          <w:p>
            <w:pPr>
              <w:ind w:left="600"/>
              <w:spacing w:after="0"/>
              <w:rPr>
                <w:sz w:val="20"/>
                <w:szCs w:val="20"/>
                <w:color w:val="auto"/>
              </w:rPr>
            </w:pPr>
            <w:r>
              <w:rPr>
                <w:rFonts w:ascii="Arial" w:cs="Arial" w:eastAsia="Arial" w:hAnsi="Arial"/>
                <w:sz w:val="16"/>
                <w:szCs w:val="16"/>
                <w:color w:val="auto"/>
              </w:rPr>
              <w:t>Skills and Qualifications</w:t>
            </w:r>
          </w:p>
        </w:tc>
        <w:tc>
          <w:tcPr>
            <w:tcW w:w="2940" w:type="dxa"/>
            <w:vAlign w:val="bottom"/>
            <w:gridSpan w:val="2"/>
          </w:tcPr>
          <w:p>
            <w:pPr>
              <w:ind w:left="520"/>
              <w:spacing w:after="0"/>
              <w:rPr>
                <w:sz w:val="20"/>
                <w:szCs w:val="20"/>
                <w:color w:val="auto"/>
              </w:rPr>
            </w:pPr>
            <w:r>
              <w:rPr>
                <w:rFonts w:ascii="Arial" w:cs="Arial" w:eastAsia="Arial" w:hAnsi="Arial"/>
                <w:sz w:val="16"/>
                <w:szCs w:val="16"/>
                <w:color w:val="auto"/>
              </w:rPr>
              <w:t>Continuously Since</w:t>
            </w:r>
          </w:p>
        </w:tc>
      </w:tr>
      <w:tr>
        <w:trPr>
          <w:trHeight w:val="384"/>
        </w:trPr>
        <w:tc>
          <w:tcPr>
            <w:tcW w:w="51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CONTINUING DIRECTORS WHOSE TERMS EXPIRE IN 2013:</w:t>
            </w:r>
          </w:p>
        </w:tc>
        <w:tc>
          <w:tcPr>
            <w:tcW w:w="340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396"/>
        </w:trPr>
        <w:tc>
          <w:tcPr>
            <w:tcW w:w="1940" w:type="dxa"/>
            <w:vAlign w:val="bottom"/>
          </w:tcPr>
          <w:p>
            <w:pPr>
              <w:spacing w:after="0"/>
              <w:rPr>
                <w:sz w:val="20"/>
                <w:szCs w:val="20"/>
                <w:color w:val="auto"/>
              </w:rPr>
            </w:pPr>
            <w:r>
              <w:rPr>
                <w:rFonts w:ascii="Arial" w:cs="Arial" w:eastAsia="Arial" w:hAnsi="Arial"/>
                <w:sz w:val="16"/>
                <w:szCs w:val="16"/>
                <w:color w:val="auto"/>
              </w:rPr>
              <w:t>John H. Batten . . . . . .</w:t>
            </w:r>
          </w:p>
        </w:tc>
        <w:tc>
          <w:tcPr>
            <w:tcW w:w="3160" w:type="dxa"/>
            <w:vAlign w:val="bottom"/>
          </w:tcPr>
          <w:p>
            <w:pPr>
              <w:ind w:left="500"/>
              <w:spacing w:after="0"/>
              <w:rPr>
                <w:sz w:val="20"/>
                <w:szCs w:val="20"/>
                <w:color w:val="auto"/>
              </w:rPr>
            </w:pPr>
            <w:r>
              <w:rPr>
                <w:rFonts w:ascii="Arial" w:cs="Arial" w:eastAsia="Arial" w:hAnsi="Arial"/>
                <w:sz w:val="16"/>
                <w:szCs w:val="16"/>
                <w:color w:val="auto"/>
              </w:rPr>
              <w:t>President and</w:t>
            </w:r>
          </w:p>
        </w:tc>
        <w:tc>
          <w:tcPr>
            <w:tcW w:w="3400" w:type="dxa"/>
            <w:vAlign w:val="bottom"/>
          </w:tcPr>
          <w:p>
            <w:pPr>
              <w:ind w:left="740"/>
              <w:spacing w:after="0"/>
              <w:rPr>
                <w:sz w:val="20"/>
                <w:szCs w:val="20"/>
                <w:color w:val="auto"/>
              </w:rPr>
            </w:pPr>
            <w:r>
              <w:rPr>
                <w:rFonts w:ascii="Arial" w:cs="Arial" w:eastAsia="Arial" w:hAnsi="Arial"/>
                <w:sz w:val="16"/>
                <w:szCs w:val="16"/>
                <w:color w:val="auto"/>
              </w:rPr>
              <w:t>Mr. Batten is a sitting COO of a</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December 2002</w:t>
            </w:r>
          </w:p>
        </w:tc>
      </w:tr>
      <w:tr>
        <w:trPr>
          <w:trHeight w:val="192"/>
        </w:trPr>
        <w:tc>
          <w:tcPr>
            <w:tcW w:w="1940" w:type="dxa"/>
            <w:vAlign w:val="bottom"/>
          </w:tcPr>
          <w:p>
            <w:pPr>
              <w:ind w:left="140"/>
              <w:spacing w:after="0"/>
              <w:rPr>
                <w:sz w:val="20"/>
                <w:szCs w:val="20"/>
                <w:color w:val="auto"/>
              </w:rPr>
            </w:pPr>
            <w:r>
              <w:rPr>
                <w:rFonts w:ascii="Arial" w:cs="Arial" w:eastAsia="Arial" w:hAnsi="Arial"/>
                <w:sz w:val="16"/>
                <w:szCs w:val="16"/>
                <w:color w:val="auto"/>
              </w:rPr>
              <w:t>Age 47</w:t>
            </w:r>
          </w:p>
        </w:tc>
        <w:tc>
          <w:tcPr>
            <w:tcW w:w="3160" w:type="dxa"/>
            <w:vAlign w:val="bottom"/>
          </w:tcPr>
          <w:p>
            <w:pPr>
              <w:ind w:left="500"/>
              <w:spacing w:after="0"/>
              <w:rPr>
                <w:sz w:val="20"/>
                <w:szCs w:val="20"/>
                <w:color w:val="auto"/>
              </w:rPr>
            </w:pPr>
            <w:r>
              <w:rPr>
                <w:rFonts w:ascii="Arial" w:cs="Arial" w:eastAsia="Arial" w:hAnsi="Arial"/>
                <w:sz w:val="16"/>
                <w:szCs w:val="16"/>
                <w:color w:val="auto"/>
              </w:rPr>
              <w:t>Chief Operating Officer,</w:t>
            </w:r>
          </w:p>
        </w:tc>
        <w:tc>
          <w:tcPr>
            <w:tcW w:w="3400" w:type="dxa"/>
            <w:vAlign w:val="bottom"/>
          </w:tcPr>
          <w:p>
            <w:pPr>
              <w:ind w:left="740"/>
              <w:spacing w:after="0"/>
              <w:rPr>
                <w:sz w:val="20"/>
                <w:szCs w:val="20"/>
                <w:color w:val="auto"/>
              </w:rPr>
            </w:pPr>
            <w:r>
              <w:rPr>
                <w:rFonts w:ascii="Arial" w:cs="Arial" w:eastAsia="Arial" w:hAnsi="Arial"/>
                <w:sz w:val="16"/>
                <w:szCs w:val="16"/>
                <w:color w:val="auto"/>
              </w:rPr>
              <w:t>public company. His skill sets</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Twin Disc, Incorporated</w:t>
            </w:r>
          </w:p>
        </w:tc>
        <w:tc>
          <w:tcPr>
            <w:tcW w:w="3400" w:type="dxa"/>
            <w:vAlign w:val="bottom"/>
          </w:tcPr>
          <w:p>
            <w:pPr>
              <w:ind w:left="740"/>
              <w:spacing w:after="0"/>
              <w:rPr>
                <w:sz w:val="20"/>
                <w:szCs w:val="20"/>
                <w:color w:val="auto"/>
              </w:rPr>
            </w:pPr>
            <w:r>
              <w:rPr>
                <w:rFonts w:ascii="Arial" w:cs="Arial" w:eastAsia="Arial" w:hAnsi="Arial"/>
                <w:sz w:val="16"/>
                <w:szCs w:val="16"/>
                <w:color w:val="auto"/>
              </w:rPr>
              <w:t>include strategic and operational</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since July 2008;</w:t>
            </w:r>
          </w:p>
        </w:tc>
        <w:tc>
          <w:tcPr>
            <w:tcW w:w="3400" w:type="dxa"/>
            <w:vAlign w:val="bottom"/>
          </w:tcPr>
          <w:p>
            <w:pPr>
              <w:ind w:left="740"/>
              <w:spacing w:after="0"/>
              <w:rPr>
                <w:sz w:val="20"/>
                <w:szCs w:val="20"/>
                <w:color w:val="auto"/>
              </w:rPr>
            </w:pPr>
            <w:r>
              <w:rPr>
                <w:rFonts w:ascii="Arial" w:cs="Arial" w:eastAsia="Arial" w:hAnsi="Arial"/>
                <w:sz w:val="16"/>
                <w:szCs w:val="16"/>
                <w:color w:val="auto"/>
              </w:rPr>
              <w:t>planning, financial oversight, and</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formerly Executive Vice</w:t>
            </w:r>
          </w:p>
        </w:tc>
        <w:tc>
          <w:tcPr>
            <w:tcW w:w="3400" w:type="dxa"/>
            <w:vAlign w:val="bottom"/>
          </w:tcPr>
          <w:p>
            <w:pPr>
              <w:ind w:left="740"/>
              <w:spacing w:after="0"/>
              <w:rPr>
                <w:sz w:val="20"/>
                <w:szCs w:val="20"/>
                <w:color w:val="auto"/>
              </w:rPr>
            </w:pPr>
            <w:r>
              <w:rPr>
                <w:rFonts w:ascii="Arial" w:cs="Arial" w:eastAsia="Arial" w:hAnsi="Arial"/>
                <w:sz w:val="16"/>
                <w:szCs w:val="16"/>
                <w:color w:val="auto"/>
              </w:rPr>
              <w:t>organizational development as</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President since October 2004,</w:t>
            </w:r>
          </w:p>
        </w:tc>
        <w:tc>
          <w:tcPr>
            <w:tcW w:w="3400" w:type="dxa"/>
            <w:vAlign w:val="bottom"/>
          </w:tcPr>
          <w:p>
            <w:pPr>
              <w:ind w:left="740"/>
              <w:spacing w:after="0"/>
              <w:rPr>
                <w:sz w:val="20"/>
                <w:szCs w:val="20"/>
                <w:color w:val="auto"/>
              </w:rPr>
            </w:pPr>
            <w:r>
              <w:rPr>
                <w:rFonts w:ascii="Arial" w:cs="Arial" w:eastAsia="Arial" w:hAnsi="Arial"/>
                <w:sz w:val="16"/>
                <w:szCs w:val="16"/>
                <w:color w:val="auto"/>
              </w:rPr>
              <w:t>well as extensive domestic and</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and Vice President and General</w:t>
            </w:r>
          </w:p>
        </w:tc>
        <w:tc>
          <w:tcPr>
            <w:tcW w:w="3400" w:type="dxa"/>
            <w:vAlign w:val="bottom"/>
          </w:tcPr>
          <w:p>
            <w:pPr>
              <w:ind w:left="740"/>
              <w:spacing w:after="0"/>
              <w:rPr>
                <w:sz w:val="20"/>
                <w:szCs w:val="20"/>
                <w:color w:val="auto"/>
              </w:rPr>
            </w:pPr>
            <w:r>
              <w:rPr>
                <w:rFonts w:ascii="Arial" w:cs="Arial" w:eastAsia="Arial" w:hAnsi="Arial"/>
                <w:sz w:val="16"/>
                <w:szCs w:val="16"/>
                <w:color w:val="auto"/>
              </w:rPr>
              <w:t>international experience in en-</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Manager, Marine &amp; Propulsion</w:t>
            </w:r>
          </w:p>
        </w:tc>
        <w:tc>
          <w:tcPr>
            <w:tcW w:w="3400" w:type="dxa"/>
            <w:vAlign w:val="bottom"/>
          </w:tcPr>
          <w:p>
            <w:pPr>
              <w:ind w:left="740"/>
              <w:spacing w:after="0"/>
              <w:rPr>
                <w:sz w:val="20"/>
                <w:szCs w:val="20"/>
                <w:color w:val="auto"/>
              </w:rPr>
            </w:pPr>
            <w:r>
              <w:rPr>
                <w:rFonts w:ascii="Arial" w:cs="Arial" w:eastAsia="Arial" w:hAnsi="Arial"/>
                <w:sz w:val="16"/>
                <w:szCs w:val="16"/>
                <w:color w:val="auto"/>
              </w:rPr>
              <w:t>gineered products and a complex</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1940" w:type="dxa"/>
            <w:vAlign w:val="bottom"/>
          </w:tcPr>
          <w:p>
            <w:pPr>
              <w:spacing w:after="0"/>
              <w:rPr>
                <w:sz w:val="17"/>
                <w:szCs w:val="17"/>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since 2001</w:t>
            </w:r>
          </w:p>
        </w:tc>
        <w:tc>
          <w:tcPr>
            <w:tcW w:w="3400" w:type="dxa"/>
            <w:vAlign w:val="bottom"/>
          </w:tcPr>
          <w:p>
            <w:pPr>
              <w:ind w:left="740"/>
              <w:spacing w:after="0"/>
              <w:rPr>
                <w:sz w:val="20"/>
                <w:szCs w:val="20"/>
                <w:color w:val="auto"/>
              </w:rPr>
            </w:pPr>
            <w:r>
              <w:rPr>
                <w:rFonts w:ascii="Arial" w:cs="Arial" w:eastAsia="Arial" w:hAnsi="Arial"/>
                <w:sz w:val="16"/>
                <w:szCs w:val="16"/>
                <w:color w:val="auto"/>
              </w:rPr>
              <w:t>manufacturing environment.</w:t>
            </w: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72"/>
        </w:trPr>
        <w:tc>
          <w:tcPr>
            <w:tcW w:w="1940" w:type="dxa"/>
            <w:vAlign w:val="bottom"/>
          </w:tcPr>
          <w:p>
            <w:pPr>
              <w:spacing w:after="0"/>
              <w:rPr>
                <w:sz w:val="20"/>
                <w:szCs w:val="20"/>
                <w:color w:val="auto"/>
              </w:rPr>
            </w:pPr>
            <w:r>
              <w:rPr>
                <w:rFonts w:ascii="Arial" w:cs="Arial" w:eastAsia="Arial" w:hAnsi="Arial"/>
                <w:sz w:val="16"/>
                <w:szCs w:val="16"/>
                <w:color w:val="auto"/>
              </w:rPr>
              <w:t>Harold M. Stratton II. .</w:t>
            </w:r>
          </w:p>
        </w:tc>
        <w:tc>
          <w:tcPr>
            <w:tcW w:w="3160" w:type="dxa"/>
            <w:vAlign w:val="bottom"/>
          </w:tcPr>
          <w:p>
            <w:pPr>
              <w:ind w:left="500"/>
              <w:spacing w:after="0"/>
              <w:rPr>
                <w:sz w:val="20"/>
                <w:szCs w:val="20"/>
                <w:color w:val="auto"/>
              </w:rPr>
            </w:pPr>
            <w:r>
              <w:rPr>
                <w:rFonts w:ascii="Arial" w:cs="Arial" w:eastAsia="Arial" w:hAnsi="Arial"/>
                <w:sz w:val="16"/>
                <w:szCs w:val="16"/>
                <w:color w:val="auto"/>
              </w:rPr>
              <w:t>Chairman of the Board,</w:t>
            </w:r>
          </w:p>
        </w:tc>
        <w:tc>
          <w:tcPr>
            <w:tcW w:w="3400" w:type="dxa"/>
            <w:vAlign w:val="bottom"/>
          </w:tcPr>
          <w:p>
            <w:pPr>
              <w:ind w:left="740"/>
              <w:spacing w:after="0"/>
              <w:rPr>
                <w:sz w:val="20"/>
                <w:szCs w:val="20"/>
                <w:color w:val="auto"/>
              </w:rPr>
            </w:pPr>
            <w:r>
              <w:rPr>
                <w:rFonts w:ascii="Arial" w:cs="Arial" w:eastAsia="Arial" w:hAnsi="Arial"/>
                <w:sz w:val="16"/>
                <w:szCs w:val="16"/>
                <w:color w:val="auto"/>
              </w:rPr>
              <w:t>Mr. Stratton is Board Chairman</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July 2004</w:t>
            </w:r>
          </w:p>
        </w:tc>
      </w:tr>
      <w:tr>
        <w:trPr>
          <w:trHeight w:val="192"/>
        </w:trPr>
        <w:tc>
          <w:tcPr>
            <w:tcW w:w="1940" w:type="dxa"/>
            <w:vAlign w:val="bottom"/>
          </w:tcPr>
          <w:p>
            <w:pPr>
              <w:ind w:left="140"/>
              <w:spacing w:after="0"/>
              <w:rPr>
                <w:sz w:val="20"/>
                <w:szCs w:val="20"/>
                <w:color w:val="auto"/>
              </w:rPr>
            </w:pPr>
            <w:r>
              <w:rPr>
                <w:rFonts w:ascii="Arial" w:cs="Arial" w:eastAsia="Arial" w:hAnsi="Arial"/>
                <w:sz w:val="16"/>
                <w:szCs w:val="16"/>
                <w:color w:val="auto"/>
              </w:rPr>
              <w:t>Age 64</w:t>
            </w:r>
          </w:p>
        </w:tc>
        <w:tc>
          <w:tcPr>
            <w:tcW w:w="3160" w:type="dxa"/>
            <w:vAlign w:val="bottom"/>
          </w:tcPr>
          <w:p>
            <w:pPr>
              <w:ind w:left="500"/>
              <w:spacing w:after="0"/>
              <w:rPr>
                <w:sz w:val="20"/>
                <w:szCs w:val="20"/>
                <w:color w:val="auto"/>
              </w:rPr>
            </w:pPr>
            <w:r>
              <w:rPr>
                <w:rFonts w:ascii="Arial" w:cs="Arial" w:eastAsia="Arial" w:hAnsi="Arial"/>
                <w:sz w:val="16"/>
                <w:szCs w:val="16"/>
                <w:color w:val="auto"/>
              </w:rPr>
              <w:t>Strattec Security Corporation,</w:t>
            </w:r>
          </w:p>
        </w:tc>
        <w:tc>
          <w:tcPr>
            <w:tcW w:w="3400" w:type="dxa"/>
            <w:vAlign w:val="bottom"/>
          </w:tcPr>
          <w:p>
            <w:pPr>
              <w:ind w:left="740"/>
              <w:spacing w:after="0"/>
              <w:rPr>
                <w:sz w:val="20"/>
                <w:szCs w:val="20"/>
                <w:color w:val="auto"/>
              </w:rPr>
            </w:pPr>
            <w:r>
              <w:rPr>
                <w:rFonts w:ascii="Arial" w:cs="Arial" w:eastAsia="Arial" w:hAnsi="Arial"/>
                <w:sz w:val="16"/>
                <w:szCs w:val="16"/>
                <w:color w:val="auto"/>
              </w:rPr>
              <w:t>and recently retired CEO of a</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Milwaukee, Wisconsin</w:t>
            </w:r>
          </w:p>
        </w:tc>
        <w:tc>
          <w:tcPr>
            <w:tcW w:w="3400" w:type="dxa"/>
            <w:vAlign w:val="bottom"/>
          </w:tcPr>
          <w:p>
            <w:pPr>
              <w:ind w:left="740"/>
              <w:spacing w:after="0"/>
              <w:rPr>
                <w:sz w:val="20"/>
                <w:szCs w:val="20"/>
                <w:color w:val="auto"/>
              </w:rPr>
            </w:pPr>
            <w:r>
              <w:rPr>
                <w:rFonts w:ascii="Arial" w:cs="Arial" w:eastAsia="Arial" w:hAnsi="Arial"/>
                <w:sz w:val="16"/>
                <w:szCs w:val="16"/>
                <w:color w:val="auto"/>
              </w:rPr>
              <w:t>public company. He is skilled</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(A leading manufacturer of</w:t>
            </w:r>
          </w:p>
        </w:tc>
        <w:tc>
          <w:tcPr>
            <w:tcW w:w="3400" w:type="dxa"/>
            <w:vAlign w:val="bottom"/>
          </w:tcPr>
          <w:p>
            <w:pPr>
              <w:ind w:left="740"/>
              <w:spacing w:after="0"/>
              <w:rPr>
                <w:sz w:val="20"/>
                <w:szCs w:val="20"/>
                <w:color w:val="auto"/>
              </w:rPr>
            </w:pPr>
            <w:r>
              <w:rPr>
                <w:rFonts w:ascii="Arial" w:cs="Arial" w:eastAsia="Arial" w:hAnsi="Arial"/>
                <w:sz w:val="16"/>
                <w:szCs w:val="16"/>
                <w:color w:val="auto"/>
              </w:rPr>
              <w:t>in strategic planning, financial</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mechanical and electro-mechan-</w:t>
            </w:r>
          </w:p>
        </w:tc>
        <w:tc>
          <w:tcPr>
            <w:tcW w:w="3400" w:type="dxa"/>
            <w:vAlign w:val="bottom"/>
          </w:tcPr>
          <w:p>
            <w:pPr>
              <w:ind w:left="740"/>
              <w:spacing w:after="0"/>
              <w:rPr>
                <w:sz w:val="20"/>
                <w:szCs w:val="20"/>
                <w:color w:val="auto"/>
              </w:rPr>
            </w:pPr>
            <w:r>
              <w:rPr>
                <w:rFonts w:ascii="Arial" w:cs="Arial" w:eastAsia="Arial" w:hAnsi="Arial"/>
                <w:sz w:val="16"/>
                <w:szCs w:val="16"/>
                <w:color w:val="auto"/>
              </w:rPr>
              <w:t>oversight, compensation</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ical locks, latches, power</w:t>
            </w:r>
          </w:p>
        </w:tc>
        <w:tc>
          <w:tcPr>
            <w:tcW w:w="3400" w:type="dxa"/>
            <w:vAlign w:val="bottom"/>
          </w:tcPr>
          <w:p>
            <w:pPr>
              <w:ind w:left="740"/>
              <w:spacing w:after="0"/>
              <w:rPr>
                <w:sz w:val="20"/>
                <w:szCs w:val="20"/>
                <w:color w:val="auto"/>
              </w:rPr>
            </w:pPr>
            <w:r>
              <w:rPr>
                <w:rFonts w:ascii="Arial" w:cs="Arial" w:eastAsia="Arial" w:hAnsi="Arial"/>
                <w:sz w:val="16"/>
                <w:szCs w:val="16"/>
                <w:color w:val="auto"/>
              </w:rPr>
              <w:t>and organizational matters.</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opening/closing systems and</w:t>
            </w:r>
          </w:p>
        </w:tc>
        <w:tc>
          <w:tcPr>
            <w:tcW w:w="3400" w:type="dxa"/>
            <w:vAlign w:val="bottom"/>
          </w:tcPr>
          <w:p>
            <w:pPr>
              <w:ind w:left="740"/>
              <w:spacing w:after="0"/>
              <w:rPr>
                <w:sz w:val="20"/>
                <w:szCs w:val="20"/>
                <w:color w:val="auto"/>
              </w:rPr>
            </w:pPr>
            <w:r>
              <w:rPr>
                <w:rFonts w:ascii="Arial" w:cs="Arial" w:eastAsia="Arial" w:hAnsi="Arial"/>
                <w:sz w:val="16"/>
                <w:szCs w:val="16"/>
                <w:color w:val="auto"/>
              </w:rPr>
              <w:t>In addition, he has experience</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related security/access</w:t>
            </w:r>
          </w:p>
        </w:tc>
        <w:tc>
          <w:tcPr>
            <w:tcW w:w="3400" w:type="dxa"/>
            <w:vAlign w:val="bottom"/>
          </w:tcPr>
          <w:p>
            <w:pPr>
              <w:ind w:left="740"/>
              <w:spacing w:after="0"/>
              <w:rPr>
                <w:sz w:val="20"/>
                <w:szCs w:val="20"/>
                <w:color w:val="auto"/>
              </w:rPr>
            </w:pPr>
            <w:r>
              <w:rPr>
                <w:rFonts w:ascii="Arial" w:cs="Arial" w:eastAsia="Arial" w:hAnsi="Arial"/>
                <w:sz w:val="16"/>
                <w:szCs w:val="16"/>
                <w:color w:val="auto"/>
              </w:rPr>
              <w:t>in international markets and in</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control products for global</w:t>
            </w:r>
          </w:p>
        </w:tc>
        <w:tc>
          <w:tcPr>
            <w:tcW w:w="3400" w:type="dxa"/>
            <w:vAlign w:val="bottom"/>
          </w:tcPr>
          <w:p>
            <w:pPr>
              <w:ind w:left="740"/>
              <w:spacing w:after="0"/>
              <w:rPr>
                <w:sz w:val="20"/>
                <w:szCs w:val="20"/>
                <w:color w:val="auto"/>
              </w:rPr>
            </w:pPr>
            <w:r>
              <w:rPr>
                <w:rFonts w:ascii="Arial" w:cs="Arial" w:eastAsia="Arial" w:hAnsi="Arial"/>
                <w:sz w:val="16"/>
                <w:szCs w:val="16"/>
                <w:color w:val="auto"/>
              </w:rPr>
              <w:t>an industry involving complex</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automotive manufacturers)</w:t>
            </w:r>
          </w:p>
        </w:tc>
        <w:tc>
          <w:tcPr>
            <w:tcW w:w="3400" w:type="dxa"/>
            <w:vAlign w:val="bottom"/>
          </w:tcPr>
          <w:p>
            <w:pPr>
              <w:ind w:left="740"/>
              <w:spacing w:after="0"/>
              <w:rPr>
                <w:sz w:val="20"/>
                <w:szCs w:val="20"/>
                <w:color w:val="auto"/>
              </w:rPr>
            </w:pPr>
            <w:r>
              <w:rPr>
                <w:rFonts w:ascii="Arial" w:cs="Arial" w:eastAsia="Arial" w:hAnsi="Arial"/>
                <w:sz w:val="16"/>
                <w:szCs w:val="16"/>
                <w:color w:val="auto"/>
              </w:rPr>
              <w:t>manufacturing and products with</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1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0" w:type="dxa"/>
            <w:vAlign w:val="bottom"/>
          </w:tcPr>
          <w:p>
            <w:pPr>
              <w:ind w:left="740"/>
              <w:spacing w:after="0"/>
              <w:rPr>
                <w:sz w:val="20"/>
                <w:szCs w:val="20"/>
                <w:color w:val="auto"/>
              </w:rPr>
            </w:pPr>
            <w:r>
              <w:rPr>
                <w:rFonts w:ascii="Arial" w:cs="Arial" w:eastAsia="Arial" w:hAnsi="Arial"/>
                <w:sz w:val="16"/>
                <w:szCs w:val="16"/>
                <w:color w:val="auto"/>
              </w:rPr>
              <w:t>high engineering content.</w:t>
            </w: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72"/>
        </w:trPr>
        <w:tc>
          <w:tcPr>
            <w:tcW w:w="1940" w:type="dxa"/>
            <w:vAlign w:val="bottom"/>
          </w:tcPr>
          <w:p>
            <w:pPr>
              <w:spacing w:after="0"/>
              <w:rPr>
                <w:sz w:val="20"/>
                <w:szCs w:val="20"/>
                <w:color w:val="auto"/>
              </w:rPr>
            </w:pPr>
            <w:r>
              <w:rPr>
                <w:rFonts w:ascii="Arial" w:cs="Arial" w:eastAsia="Arial" w:hAnsi="Arial"/>
                <w:sz w:val="16"/>
                <w:szCs w:val="16"/>
                <w:color w:val="auto"/>
              </w:rPr>
              <w:t>Michael C. Smiley. . . .</w:t>
            </w:r>
          </w:p>
        </w:tc>
        <w:tc>
          <w:tcPr>
            <w:tcW w:w="3160" w:type="dxa"/>
            <w:vAlign w:val="bottom"/>
          </w:tcPr>
          <w:p>
            <w:pPr>
              <w:ind w:left="500"/>
              <w:spacing w:after="0"/>
              <w:rPr>
                <w:sz w:val="20"/>
                <w:szCs w:val="20"/>
                <w:color w:val="auto"/>
              </w:rPr>
            </w:pPr>
            <w:r>
              <w:rPr>
                <w:rFonts w:ascii="Arial" w:cs="Arial" w:eastAsia="Arial" w:hAnsi="Arial"/>
                <w:sz w:val="16"/>
                <w:szCs w:val="16"/>
                <w:color w:val="auto"/>
              </w:rPr>
              <w:t>Chief Financial Officer,</w:t>
            </w:r>
          </w:p>
        </w:tc>
        <w:tc>
          <w:tcPr>
            <w:tcW w:w="3400" w:type="dxa"/>
            <w:vAlign w:val="bottom"/>
          </w:tcPr>
          <w:p>
            <w:pPr>
              <w:ind w:left="740"/>
              <w:spacing w:after="0"/>
              <w:rPr>
                <w:sz w:val="20"/>
                <w:szCs w:val="20"/>
                <w:color w:val="auto"/>
              </w:rPr>
            </w:pPr>
            <w:r>
              <w:rPr>
                <w:rFonts w:ascii="Arial" w:cs="Arial" w:eastAsia="Arial" w:hAnsi="Arial"/>
                <w:sz w:val="16"/>
                <w:szCs w:val="16"/>
                <w:color w:val="auto"/>
              </w:rPr>
              <w:t>Mr. Smiley is a sitting CFO of a</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April 2010</w:t>
            </w:r>
          </w:p>
        </w:tc>
      </w:tr>
      <w:tr>
        <w:trPr>
          <w:trHeight w:val="192"/>
        </w:trPr>
        <w:tc>
          <w:tcPr>
            <w:tcW w:w="1940" w:type="dxa"/>
            <w:vAlign w:val="bottom"/>
          </w:tcPr>
          <w:p>
            <w:pPr>
              <w:ind w:left="140"/>
              <w:spacing w:after="0"/>
              <w:rPr>
                <w:sz w:val="20"/>
                <w:szCs w:val="20"/>
                <w:color w:val="auto"/>
              </w:rPr>
            </w:pPr>
            <w:r>
              <w:rPr>
                <w:rFonts w:ascii="Arial" w:cs="Arial" w:eastAsia="Arial" w:hAnsi="Arial"/>
                <w:sz w:val="16"/>
                <w:szCs w:val="16"/>
                <w:color w:val="auto"/>
              </w:rPr>
              <w:t>Age 53</w:t>
            </w:r>
          </w:p>
        </w:tc>
        <w:tc>
          <w:tcPr>
            <w:tcW w:w="3160" w:type="dxa"/>
            <w:vAlign w:val="bottom"/>
          </w:tcPr>
          <w:p>
            <w:pPr>
              <w:ind w:left="500"/>
              <w:spacing w:after="0"/>
              <w:rPr>
                <w:sz w:val="20"/>
                <w:szCs w:val="20"/>
                <w:color w:val="auto"/>
              </w:rPr>
            </w:pPr>
            <w:r>
              <w:rPr>
                <w:rFonts w:ascii="Arial" w:cs="Arial" w:eastAsia="Arial" w:hAnsi="Arial"/>
                <w:sz w:val="16"/>
                <w:szCs w:val="16"/>
                <w:color w:val="auto"/>
              </w:rPr>
              <w:t>Zebra Technologies Corp.,</w:t>
            </w:r>
          </w:p>
        </w:tc>
        <w:tc>
          <w:tcPr>
            <w:tcW w:w="3400" w:type="dxa"/>
            <w:vAlign w:val="bottom"/>
          </w:tcPr>
          <w:p>
            <w:pPr>
              <w:ind w:left="740"/>
              <w:spacing w:after="0"/>
              <w:rPr>
                <w:sz w:val="20"/>
                <w:szCs w:val="20"/>
                <w:color w:val="auto"/>
              </w:rPr>
            </w:pPr>
            <w:r>
              <w:rPr>
                <w:rFonts w:ascii="Arial" w:cs="Arial" w:eastAsia="Arial" w:hAnsi="Arial"/>
                <w:sz w:val="16"/>
                <w:szCs w:val="16"/>
                <w:color w:val="auto"/>
              </w:rPr>
              <w:t>public company. His</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Lincolnshire, Illinois</w:t>
            </w:r>
          </w:p>
        </w:tc>
        <w:tc>
          <w:tcPr>
            <w:tcW w:w="3400" w:type="dxa"/>
            <w:vAlign w:val="bottom"/>
          </w:tcPr>
          <w:p>
            <w:pPr>
              <w:ind w:left="740"/>
              <w:spacing w:after="0"/>
              <w:rPr>
                <w:sz w:val="20"/>
                <w:szCs w:val="20"/>
                <w:color w:val="auto"/>
              </w:rPr>
            </w:pPr>
            <w:r>
              <w:rPr>
                <w:rFonts w:ascii="Arial" w:cs="Arial" w:eastAsia="Arial" w:hAnsi="Arial"/>
                <w:sz w:val="16"/>
                <w:szCs w:val="16"/>
                <w:color w:val="auto"/>
              </w:rPr>
              <w:t>competencies include strategic</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(A provider of a broad</w:t>
            </w:r>
          </w:p>
        </w:tc>
        <w:tc>
          <w:tcPr>
            <w:tcW w:w="3400" w:type="dxa"/>
            <w:vAlign w:val="bottom"/>
          </w:tcPr>
          <w:p>
            <w:pPr>
              <w:ind w:left="740"/>
              <w:spacing w:after="0"/>
              <w:rPr>
                <w:sz w:val="20"/>
                <w:szCs w:val="20"/>
                <w:color w:val="auto"/>
              </w:rPr>
            </w:pPr>
            <w:r>
              <w:rPr>
                <w:rFonts w:ascii="Arial" w:cs="Arial" w:eastAsia="Arial" w:hAnsi="Arial"/>
                <w:sz w:val="16"/>
                <w:szCs w:val="16"/>
                <w:color w:val="auto"/>
              </w:rPr>
              <w:t>planning, financial oversight,</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range of innovative technology</w:t>
            </w:r>
          </w:p>
        </w:tc>
        <w:tc>
          <w:tcPr>
            <w:tcW w:w="3400" w:type="dxa"/>
            <w:vAlign w:val="bottom"/>
          </w:tcPr>
          <w:p>
            <w:pPr>
              <w:ind w:left="740"/>
              <w:spacing w:after="0"/>
              <w:rPr>
                <w:sz w:val="20"/>
                <w:szCs w:val="20"/>
                <w:color w:val="auto"/>
              </w:rPr>
            </w:pPr>
            <w:r>
              <w:rPr>
                <w:rFonts w:ascii="Arial" w:cs="Arial" w:eastAsia="Arial" w:hAnsi="Arial"/>
                <w:sz w:val="16"/>
                <w:szCs w:val="16"/>
                <w:color w:val="auto"/>
              </w:rPr>
              <w:t>mergers and acquisitions,</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solutions to identify, track, and</w:t>
            </w:r>
          </w:p>
        </w:tc>
        <w:tc>
          <w:tcPr>
            <w:tcW w:w="3400" w:type="dxa"/>
            <w:vAlign w:val="bottom"/>
          </w:tcPr>
          <w:p>
            <w:pPr>
              <w:ind w:left="740"/>
              <w:spacing w:after="0"/>
              <w:rPr>
                <w:sz w:val="20"/>
                <w:szCs w:val="20"/>
                <w:color w:val="auto"/>
              </w:rPr>
            </w:pPr>
            <w:r>
              <w:rPr>
                <w:rFonts w:ascii="Arial" w:cs="Arial" w:eastAsia="Arial" w:hAnsi="Arial"/>
                <w:sz w:val="16"/>
                <w:szCs w:val="16"/>
                <w:color w:val="auto"/>
              </w:rPr>
              <w:t>extensive domestic and</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manage the deployment of</w:t>
            </w:r>
          </w:p>
        </w:tc>
        <w:tc>
          <w:tcPr>
            <w:tcW w:w="3400" w:type="dxa"/>
            <w:vAlign w:val="bottom"/>
          </w:tcPr>
          <w:p>
            <w:pPr>
              <w:ind w:left="740"/>
              <w:spacing w:after="0"/>
              <w:rPr>
                <w:sz w:val="20"/>
                <w:szCs w:val="20"/>
                <w:color w:val="auto"/>
              </w:rPr>
            </w:pPr>
            <w:r>
              <w:rPr>
                <w:rFonts w:ascii="Arial" w:cs="Arial" w:eastAsia="Arial" w:hAnsi="Arial"/>
                <w:sz w:val="16"/>
                <w:szCs w:val="16"/>
                <w:color w:val="auto"/>
              </w:rPr>
              <w:t>international experience in</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critical assets for improved</w:t>
            </w:r>
          </w:p>
        </w:tc>
        <w:tc>
          <w:tcPr>
            <w:tcW w:w="3400" w:type="dxa"/>
            <w:vAlign w:val="bottom"/>
          </w:tcPr>
          <w:p>
            <w:pPr>
              <w:ind w:left="740"/>
              <w:spacing w:after="0"/>
              <w:rPr>
                <w:sz w:val="20"/>
                <w:szCs w:val="20"/>
                <w:color w:val="auto"/>
              </w:rPr>
            </w:pPr>
            <w:r>
              <w:rPr>
                <w:rFonts w:ascii="Arial" w:cs="Arial" w:eastAsia="Arial" w:hAnsi="Arial"/>
                <w:sz w:val="16"/>
                <w:szCs w:val="16"/>
                <w:color w:val="auto"/>
              </w:rPr>
              <w:t>complex manufacturing and</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Arial" w:cs="Arial" w:eastAsia="Arial" w:hAnsi="Arial"/>
                <w:sz w:val="16"/>
                <w:szCs w:val="16"/>
                <w:color w:val="auto"/>
              </w:rPr>
              <w:t>business efficiency)</w:t>
            </w:r>
          </w:p>
        </w:tc>
        <w:tc>
          <w:tcPr>
            <w:tcW w:w="3400" w:type="dxa"/>
            <w:vAlign w:val="bottom"/>
          </w:tcPr>
          <w:p>
            <w:pPr>
              <w:ind w:left="740"/>
              <w:spacing w:after="0"/>
              <w:rPr>
                <w:sz w:val="20"/>
                <w:szCs w:val="20"/>
                <w:color w:val="auto"/>
              </w:rPr>
            </w:pPr>
            <w:r>
              <w:rPr>
                <w:rFonts w:ascii="Arial" w:cs="Arial" w:eastAsia="Arial" w:hAnsi="Arial"/>
                <w:sz w:val="16"/>
                <w:szCs w:val="16"/>
                <w:color w:val="auto"/>
              </w:rPr>
              <w:t>engineered and technology</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5"/>
        </w:trPr>
        <w:tc>
          <w:tcPr>
            <w:tcW w:w="1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0" w:type="dxa"/>
            <w:vAlign w:val="bottom"/>
          </w:tcPr>
          <w:p>
            <w:pPr>
              <w:ind w:left="740"/>
              <w:spacing w:after="0"/>
              <w:rPr>
                <w:sz w:val="20"/>
                <w:szCs w:val="20"/>
                <w:color w:val="auto"/>
              </w:rPr>
            </w:pPr>
            <w:r>
              <w:rPr>
                <w:rFonts w:ascii="Arial" w:cs="Arial" w:eastAsia="Arial" w:hAnsi="Arial"/>
                <w:sz w:val="16"/>
                <w:szCs w:val="16"/>
                <w:color w:val="auto"/>
              </w:rPr>
              <w:t>products.</w:t>
            </w: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80" w:lineRule="exact"/>
        <w:rPr>
          <w:sz w:val="20"/>
          <w:szCs w:val="20"/>
          <w:color w:val="auto"/>
        </w:rPr>
      </w:pPr>
    </w:p>
    <w:p>
      <w:pPr>
        <w:ind w:left="80"/>
        <w:spacing w:after="0"/>
        <w:rPr>
          <w:sz w:val="20"/>
          <w:szCs w:val="20"/>
          <w:color w:val="auto"/>
        </w:rPr>
      </w:pPr>
      <w:r>
        <w:rPr>
          <w:rFonts w:ascii="Arial" w:cs="Arial" w:eastAsia="Arial" w:hAnsi="Arial"/>
          <w:sz w:val="16"/>
          <w:szCs w:val="16"/>
          <w:color w:val="auto"/>
        </w:rPr>
        <w:t>John H. Batten is the son of Chairman and Chief Executive Officer Michael E. Batten.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Principal Occupation and Other</w:t>
            </w:r>
          </w:p>
        </w:tc>
        <w:tc>
          <w:tcPr>
            <w:tcW w:w="338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20"/>
                <w:szCs w:val="20"/>
                <w:color w:val="auto"/>
              </w:rPr>
            </w:pPr>
            <w:r>
              <w:rPr>
                <w:rFonts w:ascii="Arial" w:cs="Arial" w:eastAsia="Arial" w:hAnsi="Arial"/>
                <w:sz w:val="16"/>
                <w:szCs w:val="16"/>
                <w:color w:val="auto"/>
              </w:rPr>
              <w:t>Name and</w:t>
            </w:r>
          </w:p>
        </w:tc>
        <w:tc>
          <w:tcPr>
            <w:tcW w:w="3120" w:type="dxa"/>
            <w:vAlign w:val="bottom"/>
          </w:tcPr>
          <w:p>
            <w:pPr>
              <w:ind w:left="440"/>
              <w:spacing w:after="0"/>
              <w:rPr>
                <w:sz w:val="20"/>
                <w:szCs w:val="20"/>
                <w:color w:val="auto"/>
              </w:rPr>
            </w:pPr>
            <w:r>
              <w:rPr>
                <w:rFonts w:ascii="Arial" w:cs="Arial" w:eastAsia="Arial" w:hAnsi="Arial"/>
                <w:sz w:val="16"/>
                <w:szCs w:val="16"/>
                <w:color w:val="auto"/>
              </w:rPr>
              <w:t>Public Company Directorships</w:t>
            </w:r>
          </w:p>
        </w:tc>
        <w:tc>
          <w:tcPr>
            <w:tcW w:w="338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Served as Director</w:t>
            </w:r>
          </w:p>
        </w:tc>
      </w:tr>
      <w:tr>
        <w:trPr>
          <w:trHeight w:val="209"/>
        </w:trPr>
        <w:tc>
          <w:tcPr>
            <w:tcW w:w="1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Age</w:t>
            </w:r>
          </w:p>
        </w:tc>
        <w:tc>
          <w:tcPr>
            <w:tcW w:w="31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Held Within Past Five Years</w:t>
            </w:r>
          </w:p>
        </w:tc>
        <w:tc>
          <w:tcPr>
            <w:tcW w:w="33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Skills and Qualifications</w:t>
            </w:r>
          </w:p>
        </w:tc>
        <w:tc>
          <w:tcPr>
            <w:tcW w:w="27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Continuously Since</w:t>
            </w:r>
          </w:p>
        </w:tc>
      </w:tr>
      <w:tr>
        <w:trPr>
          <w:trHeight w:val="384"/>
        </w:trPr>
        <w:tc>
          <w:tcPr>
            <w:tcW w:w="5060" w:type="dxa"/>
            <w:vAlign w:val="bottom"/>
            <w:gridSpan w:val="2"/>
          </w:tcPr>
          <w:p>
            <w:pPr>
              <w:spacing w:after="0"/>
              <w:rPr>
                <w:sz w:val="20"/>
                <w:szCs w:val="20"/>
                <w:color w:val="auto"/>
              </w:rPr>
            </w:pPr>
            <w:r>
              <w:rPr>
                <w:rFonts w:ascii="Arial" w:cs="Arial" w:eastAsia="Arial" w:hAnsi="Arial"/>
                <w:sz w:val="16"/>
                <w:szCs w:val="16"/>
                <w:color w:val="auto"/>
              </w:rPr>
              <w:t>CONTINUING DIRECTORS WHOSE TERMS EXPIRE IN 2014:</w:t>
            </w:r>
          </w:p>
        </w:tc>
        <w:tc>
          <w:tcPr>
            <w:tcW w:w="33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72"/>
        </w:trPr>
        <w:tc>
          <w:tcPr>
            <w:tcW w:w="1940" w:type="dxa"/>
            <w:vAlign w:val="bottom"/>
          </w:tcPr>
          <w:p>
            <w:pPr>
              <w:spacing w:after="0"/>
              <w:rPr>
                <w:sz w:val="20"/>
                <w:szCs w:val="20"/>
                <w:color w:val="auto"/>
              </w:rPr>
            </w:pPr>
            <w:r>
              <w:rPr>
                <w:rFonts w:ascii="Arial" w:cs="Arial" w:eastAsia="Arial" w:hAnsi="Arial"/>
                <w:sz w:val="16"/>
                <w:szCs w:val="16"/>
                <w:color w:val="auto"/>
              </w:rPr>
              <w:t>Michael E. Batten . . . .</w:t>
            </w:r>
          </w:p>
        </w:tc>
        <w:tc>
          <w:tcPr>
            <w:tcW w:w="3120" w:type="dxa"/>
            <w:vAlign w:val="bottom"/>
          </w:tcPr>
          <w:p>
            <w:pPr>
              <w:ind w:left="440"/>
              <w:spacing w:after="0"/>
              <w:rPr>
                <w:sz w:val="20"/>
                <w:szCs w:val="20"/>
                <w:color w:val="auto"/>
              </w:rPr>
            </w:pPr>
            <w:r>
              <w:rPr>
                <w:rFonts w:ascii="Arial" w:cs="Arial" w:eastAsia="Arial" w:hAnsi="Arial"/>
                <w:sz w:val="16"/>
                <w:szCs w:val="16"/>
                <w:color w:val="auto"/>
              </w:rPr>
              <w:t>Chairman and</w:t>
            </w:r>
          </w:p>
        </w:tc>
        <w:tc>
          <w:tcPr>
            <w:tcW w:w="3380" w:type="dxa"/>
            <w:vAlign w:val="bottom"/>
          </w:tcPr>
          <w:p>
            <w:pPr>
              <w:ind w:left="640"/>
              <w:spacing w:after="0"/>
              <w:rPr>
                <w:sz w:val="20"/>
                <w:szCs w:val="20"/>
                <w:color w:val="auto"/>
              </w:rPr>
            </w:pPr>
            <w:r>
              <w:rPr>
                <w:rFonts w:ascii="Arial" w:cs="Arial" w:eastAsia="Arial" w:hAnsi="Arial"/>
                <w:sz w:val="16"/>
                <w:szCs w:val="16"/>
                <w:color w:val="auto"/>
              </w:rPr>
              <w:t>Mr. Batten is a sitting CEO of a</w:t>
            </w:r>
          </w:p>
        </w:tc>
        <w:tc>
          <w:tcPr>
            <w:tcW w:w="2720" w:type="dxa"/>
            <w:vAlign w:val="bottom"/>
          </w:tcPr>
          <w:p>
            <w:pPr>
              <w:jc w:val="right"/>
              <w:spacing w:after="0"/>
              <w:rPr>
                <w:sz w:val="20"/>
                <w:szCs w:val="20"/>
                <w:color w:val="auto"/>
              </w:rPr>
            </w:pPr>
            <w:r>
              <w:rPr>
                <w:rFonts w:ascii="Arial" w:cs="Arial" w:eastAsia="Arial" w:hAnsi="Arial"/>
                <w:sz w:val="16"/>
                <w:szCs w:val="16"/>
                <w:color w:val="auto"/>
              </w:rPr>
              <w:t>May 1974</w:t>
            </w:r>
          </w:p>
        </w:tc>
      </w:tr>
      <w:tr>
        <w:trPr>
          <w:trHeight w:val="192"/>
        </w:trPr>
        <w:tc>
          <w:tcPr>
            <w:tcW w:w="1940" w:type="dxa"/>
            <w:vAlign w:val="bottom"/>
          </w:tcPr>
          <w:p>
            <w:pPr>
              <w:ind w:left="140"/>
              <w:spacing w:after="0"/>
              <w:rPr>
                <w:sz w:val="20"/>
                <w:szCs w:val="20"/>
                <w:color w:val="auto"/>
              </w:rPr>
            </w:pPr>
            <w:r>
              <w:rPr>
                <w:rFonts w:ascii="Arial" w:cs="Arial" w:eastAsia="Arial" w:hAnsi="Arial"/>
                <w:sz w:val="16"/>
                <w:szCs w:val="16"/>
                <w:color w:val="auto"/>
              </w:rPr>
              <w:t>Age 72</w:t>
            </w:r>
          </w:p>
        </w:tc>
        <w:tc>
          <w:tcPr>
            <w:tcW w:w="3120" w:type="dxa"/>
            <w:vAlign w:val="bottom"/>
          </w:tcPr>
          <w:p>
            <w:pPr>
              <w:ind w:left="440"/>
              <w:spacing w:after="0"/>
              <w:rPr>
                <w:sz w:val="20"/>
                <w:szCs w:val="20"/>
                <w:color w:val="auto"/>
              </w:rPr>
            </w:pPr>
            <w:r>
              <w:rPr>
                <w:rFonts w:ascii="Arial" w:cs="Arial" w:eastAsia="Arial" w:hAnsi="Arial"/>
                <w:sz w:val="16"/>
                <w:szCs w:val="16"/>
                <w:color w:val="auto"/>
              </w:rPr>
              <w:t>Chief Executive Officer,</w:t>
            </w:r>
          </w:p>
        </w:tc>
        <w:tc>
          <w:tcPr>
            <w:tcW w:w="3380" w:type="dxa"/>
            <w:vAlign w:val="bottom"/>
          </w:tcPr>
          <w:p>
            <w:pPr>
              <w:ind w:left="640"/>
              <w:spacing w:after="0"/>
              <w:rPr>
                <w:sz w:val="20"/>
                <w:szCs w:val="20"/>
                <w:color w:val="auto"/>
              </w:rPr>
            </w:pPr>
            <w:r>
              <w:rPr>
                <w:rFonts w:ascii="Arial" w:cs="Arial" w:eastAsia="Arial" w:hAnsi="Arial"/>
                <w:sz w:val="16"/>
                <w:szCs w:val="16"/>
                <w:color w:val="auto"/>
              </w:rPr>
              <w:t>public company. His skill sets</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Twin Disc, Incorporated;</w:t>
            </w:r>
          </w:p>
        </w:tc>
        <w:tc>
          <w:tcPr>
            <w:tcW w:w="3380" w:type="dxa"/>
            <w:vAlign w:val="bottom"/>
          </w:tcPr>
          <w:p>
            <w:pPr>
              <w:ind w:left="640"/>
              <w:spacing w:after="0"/>
              <w:rPr>
                <w:sz w:val="20"/>
                <w:szCs w:val="20"/>
                <w:color w:val="auto"/>
              </w:rPr>
            </w:pPr>
            <w:r>
              <w:rPr>
                <w:rFonts w:ascii="Arial" w:cs="Arial" w:eastAsia="Arial" w:hAnsi="Arial"/>
                <w:sz w:val="16"/>
                <w:szCs w:val="16"/>
                <w:color w:val="auto"/>
              </w:rPr>
              <w:t>include strategic planning,</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Also Director, Briggs &amp;</w:t>
            </w:r>
          </w:p>
        </w:tc>
        <w:tc>
          <w:tcPr>
            <w:tcW w:w="3380" w:type="dxa"/>
            <w:vAlign w:val="bottom"/>
          </w:tcPr>
          <w:p>
            <w:pPr>
              <w:ind w:left="640"/>
              <w:spacing w:after="0"/>
              <w:rPr>
                <w:sz w:val="20"/>
                <w:szCs w:val="20"/>
                <w:color w:val="auto"/>
              </w:rPr>
            </w:pPr>
            <w:r>
              <w:rPr>
                <w:rFonts w:ascii="Arial" w:cs="Arial" w:eastAsia="Arial" w:hAnsi="Arial"/>
                <w:sz w:val="16"/>
                <w:szCs w:val="16"/>
                <w:color w:val="auto"/>
              </w:rPr>
              <w:t>financial oversight, compensation</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Stratton Corporation</w:t>
            </w:r>
          </w:p>
        </w:tc>
        <w:tc>
          <w:tcPr>
            <w:tcW w:w="3380" w:type="dxa"/>
            <w:vAlign w:val="bottom"/>
          </w:tcPr>
          <w:p>
            <w:pPr>
              <w:ind w:left="640"/>
              <w:spacing w:after="0"/>
              <w:rPr>
                <w:sz w:val="20"/>
                <w:szCs w:val="20"/>
                <w:color w:val="auto"/>
              </w:rPr>
            </w:pPr>
            <w:r>
              <w:rPr>
                <w:rFonts w:ascii="Arial" w:cs="Arial" w:eastAsia="Arial" w:hAnsi="Arial"/>
                <w:sz w:val="16"/>
                <w:szCs w:val="16"/>
                <w:color w:val="auto"/>
              </w:rPr>
              <w:t>and organizational development.</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His career includes extensive</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experience in international</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business, mergers and acquisi-</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tions, and complex manufactured</w:t>
            </w:r>
          </w:p>
        </w:tc>
        <w:tc>
          <w:tcPr>
            <w:tcW w:w="2720" w:type="dxa"/>
            <w:vAlign w:val="bottom"/>
          </w:tcPr>
          <w:p>
            <w:pPr>
              <w:spacing w:after="0"/>
              <w:rPr>
                <w:sz w:val="16"/>
                <w:szCs w:val="16"/>
                <w:color w:val="auto"/>
              </w:rPr>
            </w:pPr>
          </w:p>
        </w:tc>
      </w:tr>
      <w:tr>
        <w:trPr>
          <w:trHeight w:val="205"/>
        </w:trPr>
        <w:tc>
          <w:tcPr>
            <w:tcW w:w="1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and engineered products.</w:t>
            </w:r>
          </w:p>
        </w:tc>
        <w:tc>
          <w:tcPr>
            <w:tcW w:w="2720" w:type="dxa"/>
            <w:vAlign w:val="bottom"/>
          </w:tcPr>
          <w:p>
            <w:pPr>
              <w:spacing w:after="0"/>
              <w:rPr>
                <w:sz w:val="17"/>
                <w:szCs w:val="17"/>
                <w:color w:val="auto"/>
              </w:rPr>
            </w:pPr>
          </w:p>
        </w:tc>
      </w:tr>
      <w:tr>
        <w:trPr>
          <w:trHeight w:val="372"/>
        </w:trPr>
        <w:tc>
          <w:tcPr>
            <w:tcW w:w="1940" w:type="dxa"/>
            <w:vAlign w:val="bottom"/>
          </w:tcPr>
          <w:p>
            <w:pPr>
              <w:spacing w:after="0"/>
              <w:rPr>
                <w:sz w:val="20"/>
                <w:szCs w:val="20"/>
                <w:color w:val="auto"/>
              </w:rPr>
            </w:pPr>
            <w:r>
              <w:rPr>
                <w:rFonts w:ascii="Arial" w:cs="Arial" w:eastAsia="Arial" w:hAnsi="Arial"/>
                <w:sz w:val="16"/>
                <w:szCs w:val="16"/>
                <w:color w:val="auto"/>
              </w:rPr>
              <w:t>Michael Doar . . . . . .</w:t>
            </w:r>
          </w:p>
        </w:tc>
        <w:tc>
          <w:tcPr>
            <w:tcW w:w="3120" w:type="dxa"/>
            <w:vAlign w:val="bottom"/>
          </w:tcPr>
          <w:p>
            <w:pPr>
              <w:ind w:left="440"/>
              <w:spacing w:after="0"/>
              <w:rPr>
                <w:sz w:val="20"/>
                <w:szCs w:val="20"/>
                <w:color w:val="auto"/>
              </w:rPr>
            </w:pPr>
            <w:r>
              <w:rPr>
                <w:rFonts w:ascii="Arial" w:cs="Arial" w:eastAsia="Arial" w:hAnsi="Arial"/>
                <w:sz w:val="16"/>
                <w:szCs w:val="16"/>
                <w:color w:val="auto"/>
              </w:rPr>
              <w:t>Chairman, Chief Executive</w:t>
            </w:r>
          </w:p>
        </w:tc>
        <w:tc>
          <w:tcPr>
            <w:tcW w:w="3380" w:type="dxa"/>
            <w:vAlign w:val="bottom"/>
          </w:tcPr>
          <w:p>
            <w:pPr>
              <w:ind w:left="640"/>
              <w:spacing w:after="0"/>
              <w:rPr>
                <w:sz w:val="20"/>
                <w:szCs w:val="20"/>
                <w:color w:val="auto"/>
              </w:rPr>
            </w:pPr>
            <w:r>
              <w:rPr>
                <w:rFonts w:ascii="Arial" w:cs="Arial" w:eastAsia="Arial" w:hAnsi="Arial"/>
                <w:sz w:val="16"/>
                <w:szCs w:val="16"/>
                <w:color w:val="auto"/>
              </w:rPr>
              <w:t>Mr. Doar is a sitting CEO of a</w:t>
            </w:r>
          </w:p>
        </w:tc>
        <w:tc>
          <w:tcPr>
            <w:tcW w:w="2720" w:type="dxa"/>
            <w:vAlign w:val="bottom"/>
          </w:tcPr>
          <w:p>
            <w:pPr>
              <w:jc w:val="right"/>
              <w:spacing w:after="0"/>
              <w:rPr>
                <w:sz w:val="20"/>
                <w:szCs w:val="20"/>
                <w:color w:val="auto"/>
              </w:rPr>
            </w:pPr>
            <w:r>
              <w:rPr>
                <w:rFonts w:ascii="Arial" w:cs="Arial" w:eastAsia="Arial" w:hAnsi="Arial"/>
                <w:sz w:val="16"/>
                <w:szCs w:val="16"/>
                <w:color w:val="auto"/>
              </w:rPr>
              <w:t>October 2008</w:t>
            </w:r>
          </w:p>
        </w:tc>
      </w:tr>
      <w:tr>
        <w:trPr>
          <w:trHeight w:val="192"/>
        </w:trPr>
        <w:tc>
          <w:tcPr>
            <w:tcW w:w="1940" w:type="dxa"/>
            <w:vAlign w:val="bottom"/>
          </w:tcPr>
          <w:p>
            <w:pPr>
              <w:ind w:left="140"/>
              <w:spacing w:after="0"/>
              <w:rPr>
                <w:sz w:val="20"/>
                <w:szCs w:val="20"/>
                <w:color w:val="auto"/>
              </w:rPr>
            </w:pPr>
            <w:r>
              <w:rPr>
                <w:rFonts w:ascii="Arial" w:cs="Arial" w:eastAsia="Arial" w:hAnsi="Arial"/>
                <w:sz w:val="16"/>
                <w:szCs w:val="16"/>
                <w:color w:val="auto"/>
              </w:rPr>
              <w:t>Age 57</w:t>
            </w:r>
          </w:p>
        </w:tc>
        <w:tc>
          <w:tcPr>
            <w:tcW w:w="3120" w:type="dxa"/>
            <w:vAlign w:val="bottom"/>
          </w:tcPr>
          <w:p>
            <w:pPr>
              <w:ind w:left="440"/>
              <w:spacing w:after="0"/>
              <w:rPr>
                <w:sz w:val="20"/>
                <w:szCs w:val="20"/>
                <w:color w:val="auto"/>
              </w:rPr>
            </w:pPr>
            <w:r>
              <w:rPr>
                <w:rFonts w:ascii="Arial" w:cs="Arial" w:eastAsia="Arial" w:hAnsi="Arial"/>
                <w:sz w:val="16"/>
                <w:szCs w:val="16"/>
                <w:color w:val="auto"/>
              </w:rPr>
              <w:t>Officer and President,</w:t>
            </w:r>
          </w:p>
        </w:tc>
        <w:tc>
          <w:tcPr>
            <w:tcW w:w="3380" w:type="dxa"/>
            <w:vAlign w:val="bottom"/>
          </w:tcPr>
          <w:p>
            <w:pPr>
              <w:ind w:left="640"/>
              <w:spacing w:after="0"/>
              <w:rPr>
                <w:sz w:val="20"/>
                <w:szCs w:val="20"/>
                <w:color w:val="auto"/>
              </w:rPr>
            </w:pPr>
            <w:r>
              <w:rPr>
                <w:rFonts w:ascii="Arial" w:cs="Arial" w:eastAsia="Arial" w:hAnsi="Arial"/>
                <w:sz w:val="16"/>
                <w:szCs w:val="16"/>
                <w:color w:val="auto"/>
              </w:rPr>
              <w:t>public company. His experience</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Hurco Companies, Inc.</w:t>
            </w:r>
          </w:p>
        </w:tc>
        <w:tc>
          <w:tcPr>
            <w:tcW w:w="3380" w:type="dxa"/>
            <w:vAlign w:val="bottom"/>
          </w:tcPr>
          <w:p>
            <w:pPr>
              <w:ind w:left="640"/>
              <w:spacing w:after="0"/>
              <w:rPr>
                <w:sz w:val="20"/>
                <w:szCs w:val="20"/>
                <w:color w:val="auto"/>
              </w:rPr>
            </w:pPr>
            <w:r>
              <w:rPr>
                <w:rFonts w:ascii="Arial" w:cs="Arial" w:eastAsia="Arial" w:hAnsi="Arial"/>
                <w:sz w:val="16"/>
                <w:szCs w:val="16"/>
                <w:color w:val="auto"/>
              </w:rPr>
              <w:t>includes strategic planning,</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Indianapolis, IN</w:t>
            </w:r>
          </w:p>
        </w:tc>
        <w:tc>
          <w:tcPr>
            <w:tcW w:w="3380" w:type="dxa"/>
            <w:vAlign w:val="bottom"/>
          </w:tcPr>
          <w:p>
            <w:pPr>
              <w:ind w:left="640"/>
              <w:spacing w:after="0"/>
              <w:rPr>
                <w:sz w:val="20"/>
                <w:szCs w:val="20"/>
                <w:color w:val="auto"/>
              </w:rPr>
            </w:pPr>
            <w:r>
              <w:rPr>
                <w:rFonts w:ascii="Arial" w:cs="Arial" w:eastAsia="Arial" w:hAnsi="Arial"/>
                <w:sz w:val="16"/>
                <w:szCs w:val="16"/>
                <w:color w:val="auto"/>
              </w:rPr>
              <w:t>financial oversight, compensation</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(A global manufacturer</w:t>
            </w:r>
          </w:p>
        </w:tc>
        <w:tc>
          <w:tcPr>
            <w:tcW w:w="3380" w:type="dxa"/>
            <w:vAlign w:val="bottom"/>
          </w:tcPr>
          <w:p>
            <w:pPr>
              <w:ind w:left="640"/>
              <w:spacing w:after="0"/>
              <w:rPr>
                <w:sz w:val="20"/>
                <w:szCs w:val="20"/>
                <w:color w:val="auto"/>
              </w:rPr>
            </w:pPr>
            <w:r>
              <w:rPr>
                <w:rFonts w:ascii="Arial" w:cs="Arial" w:eastAsia="Arial" w:hAnsi="Arial"/>
                <w:sz w:val="16"/>
                <w:szCs w:val="16"/>
                <w:color w:val="auto"/>
              </w:rPr>
              <w:t>and organizational competencies.</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ind w:left="440"/>
              <w:spacing w:after="0"/>
              <w:rPr>
                <w:sz w:val="20"/>
                <w:szCs w:val="20"/>
                <w:color w:val="auto"/>
              </w:rPr>
            </w:pPr>
            <w:r>
              <w:rPr>
                <w:rFonts w:ascii="Arial" w:cs="Arial" w:eastAsia="Arial" w:hAnsi="Arial"/>
                <w:sz w:val="16"/>
                <w:szCs w:val="16"/>
                <w:color w:val="auto"/>
              </w:rPr>
              <w:t>of machine tools)</w:t>
            </w:r>
          </w:p>
        </w:tc>
        <w:tc>
          <w:tcPr>
            <w:tcW w:w="3380" w:type="dxa"/>
            <w:vAlign w:val="bottom"/>
          </w:tcPr>
          <w:p>
            <w:pPr>
              <w:ind w:left="640"/>
              <w:spacing w:after="0"/>
              <w:rPr>
                <w:sz w:val="20"/>
                <w:szCs w:val="20"/>
                <w:color w:val="auto"/>
              </w:rPr>
            </w:pPr>
            <w:r>
              <w:rPr>
                <w:rFonts w:ascii="Arial" w:cs="Arial" w:eastAsia="Arial" w:hAnsi="Arial"/>
                <w:sz w:val="16"/>
                <w:szCs w:val="16"/>
                <w:color w:val="auto"/>
              </w:rPr>
              <w:t>His career in the capital goods</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industry has exposed him to com-</w:t>
            </w:r>
          </w:p>
        </w:tc>
        <w:tc>
          <w:tcPr>
            <w:tcW w:w="272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plex manufacturing and engineer-</w:t>
            </w:r>
          </w:p>
        </w:tc>
        <w:tc>
          <w:tcPr>
            <w:tcW w:w="2720" w:type="dxa"/>
            <w:vAlign w:val="bottom"/>
          </w:tcPr>
          <w:p>
            <w:pPr>
              <w:spacing w:after="0"/>
              <w:rPr>
                <w:sz w:val="16"/>
                <w:szCs w:val="16"/>
                <w:color w:val="auto"/>
              </w:rPr>
            </w:pPr>
          </w:p>
        </w:tc>
      </w:tr>
      <w:tr>
        <w:trPr>
          <w:trHeight w:val="205"/>
        </w:trPr>
        <w:tc>
          <w:tcPr>
            <w:tcW w:w="1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380" w:type="dxa"/>
            <w:vAlign w:val="bottom"/>
          </w:tcPr>
          <w:p>
            <w:pPr>
              <w:ind w:left="640"/>
              <w:spacing w:after="0"/>
              <w:rPr>
                <w:sz w:val="20"/>
                <w:szCs w:val="20"/>
                <w:color w:val="auto"/>
              </w:rPr>
            </w:pPr>
            <w:r>
              <w:rPr>
                <w:rFonts w:ascii="Arial" w:cs="Arial" w:eastAsia="Arial" w:hAnsi="Arial"/>
                <w:sz w:val="16"/>
                <w:szCs w:val="16"/>
                <w:color w:val="auto"/>
              </w:rPr>
              <w:t>ing solutions on a global basis.</w:t>
            </w:r>
          </w:p>
        </w:tc>
        <w:tc>
          <w:tcPr>
            <w:tcW w:w="2720" w:type="dxa"/>
            <w:vAlign w:val="bottom"/>
          </w:tcPr>
          <w:p>
            <w:pPr>
              <w:spacing w:after="0"/>
              <w:rPr>
                <w:sz w:val="17"/>
                <w:szCs w:val="17"/>
                <w:color w:val="auto"/>
              </w:rPr>
            </w:pPr>
          </w:p>
        </w:tc>
      </w:tr>
    </w:tbl>
    <w:p>
      <w:pPr>
        <w:spacing w:after="0" w:line="180" w:lineRule="exact"/>
        <w:rPr>
          <w:sz w:val="20"/>
          <w:szCs w:val="20"/>
          <w:color w:val="auto"/>
        </w:rPr>
      </w:pPr>
    </w:p>
    <w:p>
      <w:pPr>
        <w:sectPr>
          <w:pgSz w:w="11900" w:h="16838" w:orient="portrait"/>
          <w:cols w:equalWidth="0" w:num="1">
            <w:col w:w="11160"/>
          </w:cols>
          <w:pgMar w:left="240" w:top="908" w:right="499" w:bottom="1440" w:gutter="0" w:footer="0" w:header="0"/>
        </w:sectPr>
      </w:pPr>
    </w:p>
    <w:p>
      <w:pPr>
        <w:spacing w:after="0"/>
        <w:tabs>
          <w:tab w:leader="none" w:pos="2360" w:val="left"/>
        </w:tabs>
        <w:rPr>
          <w:sz w:val="20"/>
          <w:szCs w:val="20"/>
          <w:color w:val="auto"/>
        </w:rPr>
      </w:pPr>
      <w:r>
        <w:rPr>
          <w:rFonts w:ascii="Arial" w:cs="Arial" w:eastAsia="Arial" w:hAnsi="Arial"/>
          <w:sz w:val="16"/>
          <w:szCs w:val="16"/>
          <w:color w:val="auto"/>
        </w:rPr>
        <w:t>David R. Zimmer. . . . .</w:t>
      </w:r>
      <w:r>
        <w:rPr>
          <w:sz w:val="20"/>
          <w:szCs w:val="20"/>
          <w:color w:val="auto"/>
        </w:rPr>
        <w:tab/>
      </w:r>
      <w:r>
        <w:rPr>
          <w:rFonts w:ascii="Arial" w:cs="Arial" w:eastAsia="Arial" w:hAnsi="Arial"/>
          <w:sz w:val="14"/>
          <w:szCs w:val="14"/>
          <w:color w:val="auto"/>
        </w:rPr>
        <w:t>Managing Partner,</w:t>
      </w:r>
    </w:p>
    <w:p>
      <w:pPr>
        <w:spacing w:after="0" w:line="21" w:lineRule="exact"/>
        <w:rPr>
          <w:sz w:val="20"/>
          <w:szCs w:val="20"/>
          <w:color w:val="auto"/>
        </w:rPr>
      </w:pPr>
    </w:p>
    <w:p>
      <w:pPr>
        <w:ind w:left="140"/>
        <w:spacing w:after="0"/>
        <w:tabs>
          <w:tab w:leader="none" w:pos="2360" w:val="left"/>
        </w:tabs>
        <w:rPr>
          <w:sz w:val="20"/>
          <w:szCs w:val="20"/>
          <w:color w:val="auto"/>
        </w:rPr>
      </w:pPr>
      <w:r>
        <w:rPr>
          <w:rFonts w:ascii="Arial" w:cs="Arial" w:eastAsia="Arial" w:hAnsi="Arial"/>
          <w:sz w:val="16"/>
          <w:szCs w:val="16"/>
          <w:color w:val="auto"/>
        </w:rPr>
        <w:t>Age 66</w:t>
      </w:r>
      <w:r>
        <w:rPr>
          <w:sz w:val="20"/>
          <w:szCs w:val="20"/>
          <w:color w:val="auto"/>
        </w:rPr>
        <w:tab/>
      </w:r>
      <w:r>
        <w:rPr>
          <w:rFonts w:ascii="Arial" w:cs="Arial" w:eastAsia="Arial" w:hAnsi="Arial"/>
          <w:sz w:val="14"/>
          <w:szCs w:val="14"/>
          <w:color w:val="auto"/>
        </w:rPr>
        <w:t>Stonebridge Equity LLC,</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Troy, Michigan, since 2005</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(A merger, acquisition and</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value consulting firm);</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Formerly Chief Executive</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Officer, Twitchell Corporation,</w:t>
      </w:r>
    </w:p>
    <w:p>
      <w:pPr>
        <w:spacing w:after="0" w:line="20"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Dothan, AL (A privately held</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manufacturer and marketer of</w:t>
      </w:r>
    </w:p>
    <w:p>
      <w:pPr>
        <w:spacing w:after="0" w:line="20"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highly engineered synthetic</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yarns, fabrics, extrusions, and</w:t>
      </w:r>
    </w:p>
    <w:p>
      <w:pPr>
        <w:spacing w:after="0" w:line="20"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coatings);</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Also Director, Detrex Corp.</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and Strattec Security Corp.</w:t>
      </w:r>
    </w:p>
    <w:p>
      <w:pPr>
        <w:spacing w:after="0" w:line="20" w:lineRule="exact"/>
        <w:rPr>
          <w:sz w:val="20"/>
          <w:szCs w:val="20"/>
          <w:color w:val="auto"/>
        </w:rPr>
      </w:pPr>
      <w:r>
        <w:rPr>
          <w:sz w:val="20"/>
          <w:szCs w:val="20"/>
          <w:color w:val="auto"/>
        </w:rPr>
        <w:br w:type="column"/>
      </w:r>
    </w:p>
    <w:p>
      <w:pPr>
        <w:spacing w:after="0"/>
        <w:tabs>
          <w:tab w:leader="none" w:pos="4800" w:val="left"/>
        </w:tabs>
        <w:rPr>
          <w:sz w:val="20"/>
          <w:szCs w:val="20"/>
          <w:color w:val="auto"/>
        </w:rPr>
      </w:pPr>
      <w:r>
        <w:rPr>
          <w:rFonts w:ascii="Arial" w:cs="Arial" w:eastAsia="Arial" w:hAnsi="Arial"/>
          <w:sz w:val="16"/>
          <w:szCs w:val="16"/>
          <w:color w:val="auto"/>
        </w:rPr>
        <w:t>Mr. Zimmer is a former CEO of</w:t>
      </w:r>
      <w:r>
        <w:rPr>
          <w:sz w:val="20"/>
          <w:szCs w:val="20"/>
          <w:color w:val="auto"/>
        </w:rPr>
        <w:tab/>
      </w:r>
      <w:r>
        <w:rPr>
          <w:rFonts w:ascii="Arial" w:cs="Arial" w:eastAsia="Arial" w:hAnsi="Arial"/>
          <w:sz w:val="14"/>
          <w:szCs w:val="14"/>
          <w:color w:val="auto"/>
        </w:rPr>
        <w:t>July 1995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public company and has also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held a CFO position in a public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company. His skill sets include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strategic planning, financial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oversight, compensation, 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development.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His career includes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business in complex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manufacturing related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industries, as well 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734695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4980" w:space="720"/>
            <w:col w:w="5460"/>
          </w:cols>
          <w:pgMar w:left="240" w:top="908" w:right="4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PROPOSAL 2: ADVISORY VOTE ON THE COMPENSATION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CORPORATION’S NAMED EXECUTIVE OFFICERS</w:t>
      </w:r>
    </w:p>
    <w:p>
      <w:pPr>
        <w:spacing w:after="0" w:line="212"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2012 compensation practices and programs for the Named Executive Officers by voting on the following resolution:</w:t>
      </w:r>
    </w:p>
    <w:p>
      <w:pPr>
        <w:spacing w:after="0" w:line="187" w:lineRule="exact"/>
        <w:rPr>
          <w:sz w:val="20"/>
          <w:szCs w:val="20"/>
          <w:color w:val="auto"/>
        </w:rPr>
      </w:pPr>
    </w:p>
    <w:p>
      <w:pPr>
        <w:ind w:left="580" w:right="600"/>
        <w:spacing w:after="0" w:line="282"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Corporation’s Named Executive Officers, as disclosed pursuant to Item 402 of Regulation S-K,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Compensation Discussion and Analysis, compensation tables and narrative discussion, is hereby </w:t>
      </w:r>
      <w:r>
        <w:rPr>
          <w:rFonts w:ascii="Arial" w:cs="Arial" w:eastAsia="Arial" w:hAnsi="Arial"/>
          <w:sz w:val="16"/>
          <w:szCs w:val="16"/>
          <w:b w:val="1"/>
          <w:bCs w:val="1"/>
          <w:color w:val="auto"/>
        </w:rPr>
        <w:t>APPROVED</w:t>
      </w:r>
      <w:r>
        <w:rPr>
          <w:rFonts w:ascii="Arial" w:cs="Arial" w:eastAsia="Arial" w:hAnsi="Arial"/>
          <w:sz w:val="16"/>
          <w:szCs w:val="16"/>
          <w:color w:val="auto"/>
        </w:rPr>
        <w:t>.</w:t>
      </w:r>
    </w:p>
    <w:p>
      <w:pPr>
        <w:spacing w:after="0" w:line="17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For example, consistent with the Corporation’s achievements against targeted profitability, sales growth and inventory levels over the past fiscal year, each of the Named Executive Officers received an annual incentive under the Corporate Incentive Plan equal to 155% of their target bonus amount. In addition, long-term performance stock and performance stock unit awards that were granted in 2009 subject to a three-year profitability objective vested at the maximum amount in 2012, based on the cumulative profitability of the Corporation over the past three fiscal years.</w:t>
      </w:r>
    </w:p>
    <w:p>
      <w:pPr>
        <w:spacing w:after="0" w:line="19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This shareholder vote is advisory, and therefore not binding on the Corporation. However, the Board of Directors and the Compensation Committee will take the results of the vote into consideration in addressing future compensation policies and practices.</w:t>
      </w:r>
    </w:p>
    <w:p>
      <w:pPr>
        <w:spacing w:after="0" w:line="17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PROPOSAL 3: RATIFICATION OF APPOINTMENT OF</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12" w:lineRule="exact"/>
        <w:rPr>
          <w:sz w:val="20"/>
          <w:szCs w:val="20"/>
          <w:color w:val="auto"/>
        </w:rPr>
      </w:pPr>
    </w:p>
    <w:p>
      <w:pPr>
        <w:jc w:val="both"/>
        <w:ind w:right="240"/>
        <w:spacing w:after="0" w:line="292" w:lineRule="auto"/>
        <w:rPr>
          <w:sz w:val="20"/>
          <w:szCs w:val="20"/>
          <w:color w:val="auto"/>
        </w:rPr>
      </w:pPr>
      <w:r>
        <w:rPr>
          <w:rFonts w:ascii="Arial" w:cs="Arial" w:eastAsia="Arial" w:hAnsi="Arial"/>
          <w:sz w:val="14"/>
          <w:szCs w:val="14"/>
          <w:color w:val="auto"/>
        </w:rPr>
        <w:t>The Audit Committee has selected PricewaterhouseCoopers LLP (“PricewaterhouseCoopers”) as our independent registered public accounting firm for the fiscal year ending June 30, 2013,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w:t>
      </w:r>
    </w:p>
    <w:p>
      <w:pPr>
        <w:spacing w:after="0" w:line="1" w:lineRule="exact"/>
        <w:rPr>
          <w:sz w:val="20"/>
          <w:szCs w:val="20"/>
          <w:color w:val="auto"/>
        </w:rPr>
      </w:pPr>
    </w:p>
    <w:p>
      <w:pPr>
        <w:ind w:right="600"/>
        <w:spacing w:after="0" w:line="294" w:lineRule="auto"/>
        <w:rPr>
          <w:sz w:val="20"/>
          <w:szCs w:val="20"/>
          <w:color w:val="auto"/>
        </w:rPr>
      </w:pPr>
      <w:r>
        <w:rPr>
          <w:rFonts w:ascii="Arial" w:cs="Arial" w:eastAsia="Arial" w:hAnsi="Arial"/>
          <w:sz w:val="15"/>
          <w:szCs w:val="15"/>
          <w:color w:val="auto"/>
        </w:rPr>
        <w:t>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to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Fees</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Aggregate fees billed for professional services rendered by PricewaterhouseCoopers in connection with (i) the audit of the Company’s consolidated financial statements as of and for the years ended June 30, 2012 and June 30, 2011, including statutory audits of the financial statements of the Company’s affiliates, and (ii) the limited reviews of the Company’s quarterly financial statements were $856,000 and $826,000,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p>
    <w:p>
      <w:pPr>
        <w:spacing w:after="0" w:line="21"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Aggregate fees billed for professional services rendered by PricewaterhouseCoopers for assurance and services reasonably related to the performance of the audit or review of the Company’s financial statements not included in audit fees above were $0 and $6,000 for the years ended June 30,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Fees</w:t>
      </w:r>
    </w:p>
    <w:p>
      <w:pPr>
        <w:spacing w:after="0" w:line="21"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addition to the other fees described above, aggregate fees of $391,000 and $370,000 were billed by PricewaterhouseCoopers during the years ended June 30, 2012 and 2011, pertaining to tax related services. Included in this amount are fees for tax compliance services of $189,000 and $205,000 during the years ended June 30, 2012 and 2011,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years ended June 30, 2012 and 2011, PricewaterhouseCoopers billed aggregate fees totaling $0 and $22,000 for mergers and acquisitions due diligence, respectively.</w:t>
      </w:r>
    </w:p>
    <w:p>
      <w:pPr>
        <w:spacing w:after="0" w:line="235"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The Audit Committee has determined that the provision of services rendered above that were not related to its audit of the Company's financial statements were at all times compatible with maintaining PricewaterhouseCoopers’ independence.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2012, 100% of audit-related, tax and other fees were pre-approved.</w:t>
      </w:r>
    </w:p>
    <w:p>
      <w:pPr>
        <w:spacing w:after="0" w:line="18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b w:val="1"/>
          <w:bCs w:val="1"/>
          <w:color w:val="auto"/>
        </w:rPr>
        <w:t>THE BOARD OF DIRECTORS RECOMMENDS THAT YOU VOTE TO RATIFY THE SELECTION OF PRICEWATERHOUSECOOPERS LLP AS OUR INDEPENDENT AUDITORS FOR FISCAL YEAR 2013. UNLESS YOU INDICATE OTHERWISE, YOUR PROXY WILL BE VOTED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228"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Chairman and Chief Executive Officer, and with key members of management, by reviewing materials provided to them and by participating in meetings of the Board of Directors and its committees.</w:t>
      </w:r>
    </w:p>
    <w:p>
      <w:pPr>
        <w:spacing w:after="0" w:line="200" w:lineRule="exact"/>
        <w:rPr>
          <w:sz w:val="20"/>
          <w:szCs w:val="20"/>
          <w:color w:val="auto"/>
        </w:rPr>
      </w:pP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and/or through appropriate mailings.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Independence</w:t>
      </w:r>
    </w:p>
    <w:p>
      <w:pPr>
        <w:spacing w:after="0" w:line="200" w:lineRule="exact"/>
        <w:rPr>
          <w:sz w:val="20"/>
          <w:szCs w:val="20"/>
          <w:color w:val="auto"/>
        </w:rPr>
      </w:pPr>
    </w:p>
    <w:p>
      <w:pPr>
        <w:spacing w:after="0" w:line="245"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383"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The Board has determined that the following Directors are independent within the meaning of the SEC regulations, the listing standards of the NASDAQ Stock Market and the Corporation's Guidelines for Corporate Governance: Messrs. Doar, Moore, Rayburn, Smiley, Stratton and Zimmer.</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0" w:lineRule="exact"/>
        <w:rPr>
          <w:sz w:val="20"/>
          <w:szCs w:val="20"/>
          <w:color w:val="auto"/>
        </w:rPr>
      </w:pP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Corporation currently combines the roles of Chairman and Chief Executive Officer. The Board of Directors believes that combining these positions best serves the interests of the Corporation by providing clear direction and a unified voice, especially in light of the substantial experience that our current Chairman and Chief Executive Officer has with the Corporation. Mr. M. Batten’s in-depth knowledge of the Corporation’s products, customers, history and values allows him to set appropriate agendas and provide leadership for the full Board, as well as to lead effectively the Corporation’s management team in the execution of the Board’s decisions and the day-to-day operations of the Corporation.</w:t>
      </w:r>
    </w:p>
    <w:p>
      <w:pPr>
        <w:spacing w:after="0" w:line="200" w:lineRule="exact"/>
        <w:rPr>
          <w:sz w:val="20"/>
          <w:szCs w:val="20"/>
          <w:color w:val="auto"/>
        </w:rPr>
      </w:pP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Corporation has not designated a specific independent Director as lead outside Director. Instead, each of the independent Directors on the Board chairs the executive sessions of the Board on a rotating basis. The Board meets in executive session in conjunction with each regularly scheduled meeting of the full Board of Directors. Over the course of a year, all or nearly all of the independent Directors will chair an executive session of the Board. The Board of Directors believes that sharing responsibility for chairing executive sessions of the Board allows each of the independent Directors to take a more active role in the leadership of the Corporation, and facilitates a full sharing of the diversity of viewpoints held by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 Role in Risk Oversight</w:t>
      </w:r>
    </w:p>
    <w:p>
      <w:pPr>
        <w:spacing w:after="0" w:line="200" w:lineRule="exact"/>
        <w:rPr>
          <w:sz w:val="20"/>
          <w:szCs w:val="20"/>
          <w:color w:val="auto"/>
        </w:rPr>
      </w:pPr>
    </w:p>
    <w:p>
      <w:pPr>
        <w:spacing w:after="0" w:line="24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200" w:lineRule="exact"/>
        <w:rPr>
          <w:sz w:val="20"/>
          <w:szCs w:val="20"/>
          <w:color w:val="auto"/>
        </w:rPr>
      </w:pPr>
    </w:p>
    <w:p>
      <w:pPr>
        <w:spacing w:after="0" w:line="208" w:lineRule="exact"/>
        <w:rPr>
          <w:sz w:val="20"/>
          <w:szCs w:val="20"/>
          <w:color w:val="auto"/>
        </w:rPr>
      </w:pPr>
    </w:p>
    <w:p>
      <w:pPr>
        <w:ind w:right="180"/>
        <w:spacing w:after="0" w:line="302" w:lineRule="auto"/>
        <w:rPr>
          <w:sz w:val="20"/>
          <w:szCs w:val="20"/>
          <w:color w:val="auto"/>
        </w:rPr>
      </w:pPr>
      <w:r>
        <w:rPr>
          <w:rFonts w:ascii="Arial" w:cs="Arial" w:eastAsia="Arial" w:hAnsi="Arial"/>
          <w:sz w:val="14"/>
          <w:szCs w:val="14"/>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including funding status, investment risk, asset allocation and projected liabilities.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Guidelines for Business Conduct and Ethics</w:t>
      </w:r>
    </w:p>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Our Guidelines for Business Conduct and Ethics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or in a current report on Form 8-K. In addition, if a waiver from the Guidelines is granted to an executive officer or Director, we will disclose the nature of such waiver on our website at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or in a current report on Form 8-K.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Approval or Ratification of Transactions with Related Persons</w:t>
      </w:r>
    </w:p>
    <w:p>
      <w:pPr>
        <w:sectPr>
          <w:pgSz w:w="11900" w:h="16838" w:orient="portrait"/>
          <w:cols w:equalWidth="0" w:num="1">
            <w:col w:w="11440"/>
          </w:cols>
          <w:pgMar w:left="240" w:top="471" w:right="219" w:bottom="0" w:gutter="0" w:footer="0" w:header="0"/>
        </w:sectPr>
      </w:pPr>
    </w:p>
    <w:bookmarkStart w:id="11" w:name="page12"/>
    <w:bookmarkEnd w:id="11"/>
    <w:p>
      <w:pPr>
        <w:jc w:val="both"/>
        <w:ind w:right="60"/>
        <w:spacing w:after="0" w:line="259" w:lineRule="auto"/>
        <w:rPr>
          <w:sz w:val="20"/>
          <w:szCs w:val="20"/>
          <w:color w:val="auto"/>
        </w:rPr>
      </w:pPr>
      <w:r>
        <w:rPr>
          <w:rFonts w:ascii="Arial" w:cs="Arial" w:eastAsia="Arial" w:hAnsi="Arial"/>
          <w:sz w:val="16"/>
          <w:szCs w:val="16"/>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Company’s internal auditing department and shared with the CEO and Audit Committee, as appropriate. Based upon such review, there were no related party transactions with respect to persons who were Directors or officers during fiscal 2012 requiring disclosure under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2" w:name="page13"/>
    <w:bookmarkEnd w:id="12"/>
    <w:p>
      <w:pPr>
        <w:ind w:left="3940"/>
        <w:spacing w:after="0"/>
        <w:rPr>
          <w:sz w:val="20"/>
          <w:szCs w:val="20"/>
          <w:color w:val="auto"/>
        </w:rPr>
      </w:pPr>
      <w:r>
        <w:rPr>
          <w:rFonts w:ascii="Arial" w:cs="Arial" w:eastAsia="Arial" w:hAnsi="Arial"/>
          <w:sz w:val="16"/>
          <w:szCs w:val="16"/>
          <w:b w:val="1"/>
          <w:bCs w:val="1"/>
          <w:color w:val="auto"/>
        </w:rPr>
        <w:t>DIRECTOR COMMITTEES AND ATTENDANCE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 and Board Committees; Attendance</w:t>
      </w:r>
    </w:p>
    <w:p>
      <w:pPr>
        <w:spacing w:after="0" w:line="22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The Corporation’s Board of Directors met six times during the year ended June 30, 2012. Among incumbent Directors, there were no absences from these meetings. The Audit Committee met five times during the year. The Pension Committee met two times during the year. The Nominating and Governance Committee met two times during the year. The Compensation Committee met two times during the year. The Finance Committee met two times during the year. Each incumbent Director attended at least 75% of the aggregate of the total number of meetings of the Board of Directors and of the Committees on which the Director served.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Committee Functions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24"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It was most recently revised on April 20, 2012.</w:t>
      </w:r>
    </w:p>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Mr. Doar, Mr. Smiley and Mr. Stratton) qualifies as an “audit committee financial expert” within the meaning of the SEC rules.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purpose is to assist the Board of Directors in monitoring the:</w:t>
      </w:r>
    </w:p>
    <w:p>
      <w:pPr>
        <w:spacing w:after="0" w:line="224" w:lineRule="exact"/>
        <w:rPr>
          <w:sz w:val="20"/>
          <w:szCs w:val="20"/>
          <w:color w:val="auto"/>
        </w:rPr>
      </w:pPr>
    </w:p>
    <w:p>
      <w:pPr>
        <w:ind w:left="1140" w:hanging="13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Integrity of the Corporation's financial statements;</w:t>
      </w:r>
    </w:p>
    <w:p>
      <w:pPr>
        <w:spacing w:after="0" w:line="20" w:lineRule="exact"/>
        <w:rPr>
          <w:rFonts w:ascii="Arial" w:cs="Arial" w:eastAsia="Arial" w:hAnsi="Arial"/>
          <w:sz w:val="16"/>
          <w:szCs w:val="16"/>
          <w:color w:val="auto"/>
        </w:rPr>
      </w:pPr>
    </w:p>
    <w:p>
      <w:pPr>
        <w:ind w:left="1140" w:hanging="13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Independent auditor's qualifications and independence;</w:t>
      </w:r>
    </w:p>
    <w:p>
      <w:pPr>
        <w:spacing w:after="0" w:line="8" w:lineRule="exact"/>
        <w:rPr>
          <w:rFonts w:ascii="Arial" w:cs="Arial" w:eastAsia="Arial" w:hAnsi="Arial"/>
          <w:sz w:val="16"/>
          <w:szCs w:val="16"/>
          <w:color w:val="auto"/>
        </w:rPr>
      </w:pPr>
    </w:p>
    <w:p>
      <w:pPr>
        <w:ind w:left="1140" w:hanging="13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Performance of the Corporation's internal audit function and the independent auditors; and</w:t>
      </w:r>
    </w:p>
    <w:p>
      <w:pPr>
        <w:spacing w:after="0" w:line="8" w:lineRule="exact"/>
        <w:rPr>
          <w:rFonts w:ascii="Arial" w:cs="Arial" w:eastAsia="Arial" w:hAnsi="Arial"/>
          <w:sz w:val="16"/>
          <w:szCs w:val="16"/>
          <w:color w:val="auto"/>
        </w:rPr>
      </w:pPr>
    </w:p>
    <w:p>
      <w:pPr>
        <w:ind w:left="1140" w:hanging="13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Corporation's compliance with legal and regulatory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carrying out these responsibilities, the Audit Committee, among other things:</w:t>
      </w:r>
    </w:p>
    <w:p>
      <w:pPr>
        <w:spacing w:after="0" w:line="224" w:lineRule="exact"/>
        <w:rPr>
          <w:sz w:val="20"/>
          <w:szCs w:val="20"/>
          <w:color w:val="auto"/>
        </w:rPr>
      </w:pPr>
    </w:p>
    <w:p>
      <w:pPr>
        <w:ind w:left="1000" w:right="400" w:firstLine="5"/>
        <w:spacing w:after="0" w:line="258" w:lineRule="auto"/>
        <w:tabs>
          <w:tab w:leader="none" w:pos="11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Appoints the independent auditor for the purpose of preparing and issuing an audit report and to perform related work, and discusses with the independent auditor appropriate staffing and compensation;</w:t>
      </w:r>
    </w:p>
    <w:p>
      <w:pPr>
        <w:spacing w:after="0" w:line="1" w:lineRule="exact"/>
        <w:rPr>
          <w:rFonts w:ascii="Arial" w:cs="Arial" w:eastAsia="Arial" w:hAnsi="Arial"/>
          <w:sz w:val="16"/>
          <w:szCs w:val="16"/>
          <w:color w:val="auto"/>
        </w:rPr>
      </w:pPr>
    </w:p>
    <w:p>
      <w:pPr>
        <w:ind w:left="1140" w:hanging="13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Retains, as necessary or appropriate, independent legal, accounting or other advisors;</w:t>
      </w:r>
    </w:p>
    <w:p>
      <w:pPr>
        <w:spacing w:after="0" w:line="8" w:lineRule="exact"/>
        <w:rPr>
          <w:rFonts w:ascii="Arial" w:cs="Arial" w:eastAsia="Arial" w:hAnsi="Arial"/>
          <w:sz w:val="16"/>
          <w:szCs w:val="16"/>
          <w:color w:val="auto"/>
        </w:rPr>
      </w:pPr>
    </w:p>
    <w:p>
      <w:pPr>
        <w:ind w:left="1000" w:right="340" w:firstLine="5"/>
        <w:spacing w:after="0" w:line="250" w:lineRule="auto"/>
        <w:tabs>
          <w:tab w:leader="none" w:pos="11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1" w:lineRule="exact"/>
        <w:rPr>
          <w:rFonts w:ascii="Arial" w:cs="Arial" w:eastAsia="Arial" w:hAnsi="Arial"/>
          <w:sz w:val="16"/>
          <w:szCs w:val="16"/>
          <w:color w:val="auto"/>
        </w:rPr>
      </w:pPr>
    </w:p>
    <w:p>
      <w:pPr>
        <w:ind w:left="1000" w:right="720" w:firstLine="5"/>
        <w:spacing w:after="0" w:line="267" w:lineRule="auto"/>
        <w:tabs>
          <w:tab w:leader="none" w:pos="1137" w:val="left"/>
        </w:tabs>
        <w:numPr>
          <w:ilvl w:val="0"/>
          <w:numId w:val="12"/>
        </w:numPr>
        <w:rPr>
          <w:rFonts w:ascii="Arial" w:cs="Arial" w:eastAsia="Arial" w:hAnsi="Arial"/>
          <w:sz w:val="15"/>
          <w:szCs w:val="15"/>
          <w:color w:val="auto"/>
        </w:rPr>
      </w:pPr>
      <w:r>
        <w:rPr>
          <w:rFonts w:ascii="Arial" w:cs="Arial" w:eastAsia="Arial" w:hAnsi="Arial"/>
          <w:sz w:val="15"/>
          <w:szCs w:val="15"/>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jc w:val="both"/>
        <w:ind w:left="1000" w:right="60" w:firstLine="5"/>
        <w:spacing w:after="0" w:line="250" w:lineRule="auto"/>
        <w:tabs>
          <w:tab w:leader="none" w:pos="11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6"/>
          <w:szCs w:val="16"/>
          <w:color w:val="auto"/>
        </w:rPr>
      </w:pPr>
    </w:p>
    <w:p>
      <w:pPr>
        <w:ind w:left="1140" w:hanging="135"/>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Annually reviews management's programs to monitor compliance with the Corporation's Guidelines for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506095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Finance Committee</w:t>
      </w:r>
    </w:p>
    <w:p>
      <w:pPr>
        <w:spacing w:after="0" w:line="224" w:lineRule="exact"/>
        <w:rPr>
          <w:sz w:val="20"/>
          <w:szCs w:val="20"/>
          <w:color w:val="auto"/>
        </w:rPr>
      </w:pPr>
    </w:p>
    <w:p>
      <w:pPr>
        <w:ind w:right="20"/>
        <w:spacing w:after="0" w:line="351" w:lineRule="auto"/>
        <w:rPr>
          <w:sz w:val="20"/>
          <w:szCs w:val="20"/>
          <w:color w:val="auto"/>
        </w:rPr>
      </w:pPr>
      <w:r>
        <w:rPr>
          <w:rFonts w:ascii="Arial" w:cs="Arial" w:eastAsia="Arial" w:hAnsi="Arial"/>
          <w:sz w:val="14"/>
          <w:szCs w:val="14"/>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224"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The independence of the Committee is in compliance with SEC regulations, the listing standards of the NASDAQ Stock Market and the Company's Guidelines for Corporate Governance.</w:t>
      </w:r>
    </w:p>
    <w:p>
      <w:pPr>
        <w:spacing w:after="0" w:line="192" w:lineRule="exact"/>
        <w:rPr>
          <w:sz w:val="20"/>
          <w:szCs w:val="20"/>
          <w:color w:val="auto"/>
        </w:rPr>
      </w:pPr>
    </w:p>
    <w:p>
      <w:pPr>
        <w:ind w:right="400"/>
        <w:spacing w:after="0" w:line="308" w:lineRule="auto"/>
        <w:rPr>
          <w:sz w:val="20"/>
          <w:szCs w:val="20"/>
          <w:color w:val="auto"/>
        </w:rPr>
      </w:pPr>
      <w:r>
        <w:rPr>
          <w:rFonts w:ascii="Arial" w:cs="Arial" w:eastAsia="Arial" w:hAnsi="Arial"/>
          <w:sz w:val="14"/>
          <w:szCs w:val="14"/>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4"/>
          <w:szCs w:val="14"/>
          <w:u w:val="single" w:color="auto"/>
          <w:color w:val="auto"/>
        </w:rPr>
        <w:t>www.twindisc.com</w:t>
      </w:r>
      <w:r>
        <w:rPr>
          <w:rFonts w:ascii="Arial" w:cs="Arial" w:eastAsia="Arial" w:hAnsi="Arial"/>
          <w:sz w:val="14"/>
          <w:szCs w:val="14"/>
          <w:color w:val="auto"/>
        </w:rPr>
        <w:t>. Shareholder recommendations to the Committee for Director candidates shall follow the following procedures:</w:t>
      </w:r>
    </w:p>
    <w:p>
      <w:pPr>
        <w:spacing w:after="0" w:line="159" w:lineRule="exact"/>
        <w:rPr>
          <w:sz w:val="20"/>
          <w:szCs w:val="20"/>
          <w:color w:val="auto"/>
        </w:rPr>
      </w:pPr>
    </w:p>
    <w:p>
      <w:pPr>
        <w:ind w:left="580" w:hanging="198"/>
        <w:spacing w:after="0" w:line="277"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Committee must receive any such shareholder recommendations for Director candidates on or before the last business day in the month of March preceding that year's annual meeting.</w:t>
      </w:r>
    </w:p>
    <w:p>
      <w:pPr>
        <w:spacing w:after="0" w:line="175" w:lineRule="exact"/>
        <w:rPr>
          <w:rFonts w:ascii="Arial" w:cs="Arial" w:eastAsia="Arial" w:hAnsi="Arial"/>
          <w:sz w:val="16"/>
          <w:szCs w:val="16"/>
          <w:color w:val="auto"/>
        </w:rPr>
      </w:pPr>
    </w:p>
    <w:p>
      <w:pPr>
        <w:ind w:left="580" w:hanging="207"/>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recommendation for nomination shall be in writing and shall include the following information:</w:t>
      </w:r>
    </w:p>
    <w:p>
      <w:pPr>
        <w:spacing w:after="0" w:line="20" w:lineRule="exact"/>
        <w:rPr>
          <w:rFonts w:ascii="Arial" w:cs="Arial" w:eastAsia="Arial" w:hAnsi="Arial"/>
          <w:sz w:val="16"/>
          <w:szCs w:val="16"/>
          <w:color w:val="auto"/>
        </w:rPr>
      </w:pPr>
    </w:p>
    <w:p>
      <w:pPr>
        <w:ind w:left="1140" w:hanging="155"/>
        <w:spacing w:after="0"/>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Name and address of the shareholder, whether an entity or an individual, making the recommendation;</w:t>
      </w:r>
    </w:p>
    <w:p>
      <w:pPr>
        <w:spacing w:after="0" w:line="8" w:lineRule="exact"/>
        <w:rPr>
          <w:rFonts w:ascii="Arial" w:cs="Arial" w:eastAsia="Arial" w:hAnsi="Arial"/>
          <w:sz w:val="16"/>
          <w:szCs w:val="16"/>
          <w:color w:val="auto"/>
        </w:rPr>
      </w:pPr>
    </w:p>
    <w:p>
      <w:pPr>
        <w:ind w:left="1140" w:hanging="200"/>
        <w:spacing w:after="0"/>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written statement of the shareholder’s beneficial ownership of the Corporation's securities;</w:t>
      </w:r>
    </w:p>
    <w:p>
      <w:pPr>
        <w:spacing w:after="0" w:line="8" w:lineRule="exact"/>
        <w:rPr>
          <w:rFonts w:ascii="Arial" w:cs="Arial" w:eastAsia="Arial" w:hAnsi="Arial"/>
          <w:sz w:val="16"/>
          <w:szCs w:val="16"/>
          <w:color w:val="auto"/>
        </w:rPr>
      </w:pPr>
    </w:p>
    <w:p>
      <w:pPr>
        <w:ind w:left="1140" w:hanging="244"/>
        <w:spacing w:after="0"/>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Name and address of the individual recommended for consideration as a Director nominee;</w:t>
      </w:r>
    </w:p>
    <w:p>
      <w:pPr>
        <w:spacing w:after="0" w:line="8" w:lineRule="exact"/>
        <w:rPr>
          <w:rFonts w:ascii="Arial" w:cs="Arial" w:eastAsia="Arial" w:hAnsi="Arial"/>
          <w:sz w:val="16"/>
          <w:szCs w:val="16"/>
          <w:color w:val="auto"/>
        </w:rPr>
      </w:pPr>
    </w:p>
    <w:p>
      <w:pPr>
        <w:ind w:left="1140" w:right="20" w:hanging="225"/>
        <w:spacing w:after="0" w:line="250" w:lineRule="auto"/>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written statement from the shareholder making the recommendation stating why such recommended candidate would be able to fulfill the duties of a Director;</w:t>
      </w:r>
    </w:p>
    <w:p>
      <w:pPr>
        <w:spacing w:after="0" w:line="1" w:lineRule="exact"/>
        <w:rPr>
          <w:rFonts w:ascii="Arial" w:cs="Arial" w:eastAsia="Arial" w:hAnsi="Arial"/>
          <w:sz w:val="16"/>
          <w:szCs w:val="16"/>
          <w:color w:val="auto"/>
        </w:rPr>
      </w:pPr>
    </w:p>
    <w:p>
      <w:pPr>
        <w:ind w:left="1140" w:right="20" w:hanging="180"/>
        <w:spacing w:after="0" w:line="250" w:lineRule="auto"/>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written statement from the shareholder making the recommendation stating how the recommended candidate meets the independence requirements established by the SEC and the NASDAQ Stock Market;</w:t>
      </w:r>
    </w:p>
    <w:p>
      <w:pPr>
        <w:spacing w:after="0" w:line="1" w:lineRule="exact"/>
        <w:rPr>
          <w:rFonts w:ascii="Arial" w:cs="Arial" w:eastAsia="Arial" w:hAnsi="Arial"/>
          <w:sz w:val="16"/>
          <w:szCs w:val="16"/>
          <w:color w:val="auto"/>
        </w:rPr>
      </w:pPr>
    </w:p>
    <w:p>
      <w:pPr>
        <w:ind w:left="1140" w:hanging="235"/>
        <w:spacing w:after="0"/>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written statement disclosing the recommended candidate's beneficial ownership of the Corporation's securities;</w:t>
      </w:r>
    </w:p>
    <w:p>
      <w:pPr>
        <w:spacing w:after="0" w:line="8" w:lineRule="exact"/>
        <w:rPr>
          <w:rFonts w:ascii="Arial" w:cs="Arial" w:eastAsia="Arial" w:hAnsi="Arial"/>
          <w:sz w:val="16"/>
          <w:szCs w:val="16"/>
          <w:color w:val="auto"/>
        </w:rPr>
      </w:pPr>
    </w:p>
    <w:p>
      <w:pPr>
        <w:ind w:left="1140" w:hanging="280"/>
        <w:spacing w:after="0"/>
        <w:tabs>
          <w:tab w:leader="none" w:pos="114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 written statement disclosing relationships between the recommended candidate and the Corporation which may constitute a conflict of interest; and</w:t>
      </w:r>
    </w:p>
    <w:p>
      <w:pPr>
        <w:spacing w:after="0" w:line="19" w:lineRule="exact"/>
        <w:rPr>
          <w:rFonts w:ascii="Arial" w:cs="Arial" w:eastAsia="Arial" w:hAnsi="Arial"/>
          <w:sz w:val="15"/>
          <w:szCs w:val="15"/>
          <w:color w:val="auto"/>
        </w:rPr>
      </w:pPr>
    </w:p>
    <w:p>
      <w:pPr>
        <w:ind w:left="1140" w:right="20" w:hanging="324"/>
        <w:spacing w:after="0" w:line="261" w:lineRule="auto"/>
        <w:tabs>
          <w:tab w:leader="none" w:pos="11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other information relating to the recommended candidate that would be required to be disclosed in solicitations of proxies for the election of Directors under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490855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5" w:right="219" w:bottom="1440" w:gutter="0" w:footer="0" w:header="0"/>
        </w:sectPr>
      </w:pPr>
    </w:p>
    <w:bookmarkStart w:id="14" w:name="page15"/>
    <w:bookmarkEnd w:id="14"/>
    <w:p>
      <w:pPr>
        <w:ind w:left="380"/>
        <w:spacing w:after="0"/>
        <w:rPr>
          <w:sz w:val="20"/>
          <w:szCs w:val="20"/>
          <w:color w:val="auto"/>
        </w:rPr>
      </w:pPr>
      <w:r>
        <w:rPr>
          <w:rFonts w:ascii="Arial" w:cs="Arial" w:eastAsia="Arial" w:hAnsi="Arial"/>
          <w:sz w:val="16"/>
          <w:szCs w:val="16"/>
          <w:color w:val="auto"/>
        </w:rPr>
        <w:t>c. Recommendation for nomination must be sent to the attention of the Committee via the U.S. Mail or by expedited delivery service, addressed to:</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Twin Disc, Incorporated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1328 Racine Street</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Racine, WI 53403</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Nominating and Governance Committee</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 Secretary of Twin Disc, Incorporated</w:t>
      </w:r>
    </w:p>
    <w:p>
      <w:pPr>
        <w:spacing w:after="0" w:line="212"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In identifying potential candidates, the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u w:val="single" w:color="auto"/>
          <w:color w:val="auto"/>
        </w:rPr>
        <w:t>Scope of Authority</w:t>
      </w:r>
      <w:r>
        <w:rPr>
          <w:rFonts w:ascii="Arial" w:cs="Arial" w:eastAsia="Arial" w:hAnsi="Arial"/>
          <w:sz w:val="15"/>
          <w:szCs w:val="15"/>
          <w:color w:val="auto"/>
        </w:rPr>
        <w:t xml:space="preserve"> - The primary purpose of the Compensation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 The charter of the Compensation Committee is available on the Corporation’s website at </w:t>
      </w:r>
      <w:r>
        <w:rPr>
          <w:rFonts w:ascii="Arial" w:cs="Arial" w:eastAsia="Arial" w:hAnsi="Arial"/>
          <w:sz w:val="15"/>
          <w:szCs w:val="15"/>
          <w:u w:val="single" w:color="auto"/>
          <w:color w:val="auto"/>
        </w:rPr>
        <w:t>www.twindisc.com</w:t>
      </w:r>
      <w:r>
        <w:rPr>
          <w:rFonts w:ascii="Arial" w:cs="Arial" w:eastAsia="Arial" w:hAnsi="Arial"/>
          <w:sz w:val="15"/>
          <w:szCs w:val="15"/>
          <w:color w:val="auto"/>
        </w:rPr>
        <w:t>.</w:t>
      </w:r>
    </w:p>
    <w:p>
      <w:pPr>
        <w:spacing w:after="0" w:line="174"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u w:val="single" w:color="auto"/>
          <w:color w:val="auto"/>
        </w:rPr>
        <w:t>Composition</w:t>
      </w:r>
      <w:r>
        <w:rPr>
          <w:rFonts w:ascii="Arial" w:cs="Arial" w:eastAsia="Arial" w:hAnsi="Arial"/>
          <w:sz w:val="16"/>
          <w:szCs w:val="16"/>
          <w:color w:val="auto"/>
        </w:rPr>
        <w:t xml:space="preserve"> - The Compensation Committee is composed exclusively of non-employee, independent Directors none of whom has a business relationship with the Corporation, other than in their capacity as Directors. The Compensation Committee reports to the entire Board.</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u w:val="single" w:color="auto"/>
          <w:color w:val="auto"/>
        </w:rPr>
        <w:t>Role of Consultants</w:t>
      </w:r>
      <w:r>
        <w:rPr>
          <w:rFonts w:ascii="Arial" w:cs="Arial" w:eastAsia="Arial" w:hAnsi="Arial"/>
          <w:sz w:val="15"/>
          <w:szCs w:val="15"/>
          <w:color w:val="auto"/>
        </w:rPr>
        <w:t xml:space="preserve"> - Periodically, the Compensation Committee engages an independent consultant to review its compensation program for the officers of the Corporation, in order to ensure market competitiveness. During FY 2011, the Compensation Committee engaged Towers Perrin, now known as Towers Watson (“Towers”), a global human resources consulting firm, for this review for purposes of setting executive compensation for FY2012. Towers provides the Compensation Committee with information regarding market compensation practices and alternatives to consider when making compensation decisions for the executives.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Role of Executive Officers</w:t>
      </w:r>
      <w:r>
        <w:rPr>
          <w:rFonts w:ascii="Arial" w:cs="Arial" w:eastAsia="Arial" w:hAnsi="Arial"/>
          <w:sz w:val="15"/>
          <w:szCs w:val="15"/>
          <w:color w:val="auto"/>
        </w:rPr>
        <w:t xml:space="preserve"> - The Compensation Committee makes all compensation decisions for the Chairman and Chief Executive Officer (Mr. M. Batten) and approves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recommendations for compensation actions for all other elected officers of the Corporation. Mr. M. Batten and Mr. J. Batten, the President and Chief Operating Officer, annually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review the performance of each elected officer with the Compensation Committee. Recommendations based on these reviews, including those pertaining to salary adjustments,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bonus payouts and equity compensation, are presented to the Compensation Committee, which may exercise its discretion in modifying any of the recommendations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presented. The Compensation Committee also reviews the performance of the Chairman and Chief Executive Officer. It alone determines the salary adjustment, bonus payment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equity awards for this individual.</w:t>
      </w:r>
    </w:p>
    <w:p>
      <w:pPr>
        <w:spacing w:after="0" w:line="212"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u w:val="single" w:color="auto"/>
          <w:color w:val="auto"/>
        </w:rPr>
        <w:t>Compensation Committee Interlocks and Insider Participation</w:t>
      </w:r>
      <w:r>
        <w:rPr>
          <w:rFonts w:ascii="Arial" w:cs="Arial" w:eastAsia="Arial" w:hAnsi="Arial"/>
          <w:sz w:val="15"/>
          <w:szCs w:val="15"/>
          <w:color w:val="auto"/>
        </w:rPr>
        <w:t xml:space="preserve"> - The members of the Compensation Committee are Malcolm F. Moore (Chair), David B. Rayburn and David R. Zimmer. None of the Compensation Committee members are former executive officers of the Corporation. See the “Board Independence” section for additional information concerning Director independence. The Corporation had no “Compensation Committee Interlocks” as described by the SEC during fiscal 2012.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Committee</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Committee Membership</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In October of each year, the Board considers and approves committee membership for the coming year. The Board’s committees are currently comprised of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the Chairman of the Committee is listed first:</w:t>
      </w:r>
    </w:p>
    <w:tbl>
      <w:tblPr>
        <w:tblLayout w:type="fixed"/>
        <w:tblInd w:w="900" w:type="dxa"/>
        <w:tblCellMar>
          <w:top w:w="0" w:type="dxa"/>
          <w:left w:w="0" w:type="dxa"/>
          <w:bottom w:w="0" w:type="dxa"/>
          <w:right w:w="0" w:type="dxa"/>
        </w:tblCellMar>
      </w:tblPr>
      <w:tr>
        <w:trPr>
          <w:trHeight w:val="164"/>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line="165" w:lineRule="exact"/>
              <w:rPr>
                <w:sz w:val="20"/>
                <w:szCs w:val="20"/>
                <w:color w:val="auto"/>
              </w:rPr>
            </w:pPr>
            <w:r>
              <w:rPr>
                <w:rFonts w:ascii="Arial" w:cs="Arial" w:eastAsia="Arial" w:hAnsi="Arial"/>
                <w:sz w:val="16"/>
                <w:szCs w:val="16"/>
                <w:color w:val="auto"/>
                <w:w w:val="92"/>
              </w:rPr>
              <w:t>Nominating and</w:t>
            </w:r>
          </w:p>
        </w:tc>
      </w:tr>
      <w:tr>
        <w:trPr>
          <w:trHeight w:val="172"/>
        </w:trPr>
        <w:tc>
          <w:tcPr>
            <w:tcW w:w="60" w:type="dxa"/>
            <w:vAlign w:val="bottom"/>
          </w:tcPr>
          <w:p>
            <w:pPr>
              <w:spacing w:after="0"/>
              <w:rPr>
                <w:sz w:val="14"/>
                <w:szCs w:val="14"/>
                <w:color w:val="auto"/>
              </w:rPr>
            </w:pPr>
          </w:p>
        </w:tc>
        <w:tc>
          <w:tcPr>
            <w:tcW w:w="380" w:type="dxa"/>
            <w:vAlign w:val="bottom"/>
          </w:tcPr>
          <w:p>
            <w:pPr>
              <w:jc w:val="center"/>
              <w:spacing w:after="0" w:line="172" w:lineRule="exact"/>
              <w:rPr>
                <w:sz w:val="20"/>
                <w:szCs w:val="20"/>
                <w:color w:val="auto"/>
              </w:rPr>
            </w:pPr>
            <w:r>
              <w:rPr>
                <w:rFonts w:ascii="Arial" w:cs="Arial" w:eastAsia="Arial" w:hAnsi="Arial"/>
                <w:sz w:val="16"/>
                <w:szCs w:val="16"/>
                <w:color w:val="auto"/>
              </w:rPr>
              <w:t>Audit</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center"/>
              <w:spacing w:after="0" w:line="172" w:lineRule="exact"/>
              <w:rPr>
                <w:sz w:val="20"/>
                <w:szCs w:val="20"/>
                <w:color w:val="auto"/>
              </w:rPr>
            </w:pPr>
            <w:r>
              <w:rPr>
                <w:rFonts w:ascii="Arial" w:cs="Arial" w:eastAsia="Arial" w:hAnsi="Arial"/>
                <w:sz w:val="16"/>
                <w:szCs w:val="16"/>
                <w:color w:val="auto"/>
                <w:w w:val="91"/>
              </w:rPr>
              <w:t>Finance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center"/>
              <w:spacing w:after="0" w:line="172" w:lineRule="exact"/>
              <w:rPr>
                <w:sz w:val="20"/>
                <w:szCs w:val="20"/>
                <w:color w:val="auto"/>
              </w:rPr>
            </w:pPr>
            <w:r>
              <w:rPr>
                <w:rFonts w:ascii="Arial" w:cs="Arial" w:eastAsia="Arial" w:hAnsi="Arial"/>
                <w:sz w:val="16"/>
                <w:szCs w:val="16"/>
                <w:color w:val="auto"/>
                <w:w w:val="89"/>
              </w:rPr>
              <w:t>Pension</w:t>
            </w:r>
          </w:p>
        </w:tc>
        <w:tc>
          <w:tcPr>
            <w:tcW w:w="1600" w:type="dxa"/>
            <w:vAlign w:val="bottom"/>
          </w:tcPr>
          <w:p>
            <w:pPr>
              <w:spacing w:after="0"/>
              <w:rPr>
                <w:sz w:val="14"/>
                <w:szCs w:val="14"/>
                <w:color w:val="auto"/>
              </w:rPr>
            </w:pPr>
          </w:p>
        </w:tc>
        <w:tc>
          <w:tcPr>
            <w:tcW w:w="2180" w:type="dxa"/>
            <w:vAlign w:val="bottom"/>
            <w:gridSpan w:val="2"/>
          </w:tcPr>
          <w:p>
            <w:pPr>
              <w:jc w:val="center"/>
              <w:ind w:right="1260"/>
              <w:spacing w:after="0" w:line="172" w:lineRule="exact"/>
              <w:rPr>
                <w:sz w:val="20"/>
                <w:szCs w:val="20"/>
                <w:color w:val="auto"/>
              </w:rPr>
            </w:pPr>
            <w:r>
              <w:rPr>
                <w:rFonts w:ascii="Arial" w:cs="Arial" w:eastAsia="Arial" w:hAnsi="Arial"/>
                <w:sz w:val="16"/>
                <w:szCs w:val="16"/>
                <w:color w:val="auto"/>
                <w:w w:val="89"/>
              </w:rPr>
              <w:t>Compensation</w:t>
            </w:r>
          </w:p>
        </w:tc>
        <w:tc>
          <w:tcPr>
            <w:tcW w:w="140" w:type="dxa"/>
            <w:vAlign w:val="bottom"/>
          </w:tcPr>
          <w:p>
            <w:pPr>
              <w:spacing w:after="0"/>
              <w:rPr>
                <w:sz w:val="14"/>
                <w:szCs w:val="14"/>
                <w:color w:val="auto"/>
              </w:rPr>
            </w:pPr>
          </w:p>
        </w:tc>
        <w:tc>
          <w:tcPr>
            <w:tcW w:w="900" w:type="dxa"/>
            <w:vAlign w:val="bottom"/>
            <w:gridSpan w:val="2"/>
          </w:tcPr>
          <w:p>
            <w:pPr>
              <w:jc w:val="center"/>
              <w:ind w:right="120"/>
              <w:spacing w:after="0" w:line="172" w:lineRule="exact"/>
              <w:rPr>
                <w:sz w:val="20"/>
                <w:szCs w:val="20"/>
                <w:color w:val="auto"/>
              </w:rPr>
            </w:pPr>
            <w:r>
              <w:rPr>
                <w:rFonts w:ascii="Arial" w:cs="Arial" w:eastAsia="Arial" w:hAnsi="Arial"/>
                <w:sz w:val="16"/>
                <w:szCs w:val="16"/>
                <w:color w:val="auto"/>
                <w:w w:val="89"/>
              </w:rPr>
              <w:t>Governance</w:t>
            </w:r>
          </w:p>
        </w:tc>
      </w:tr>
      <w:tr>
        <w:trPr>
          <w:trHeight w:val="20"/>
        </w:trPr>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400" w:type="dxa"/>
            <w:vAlign w:val="bottom"/>
            <w:gridSpan w:val="3"/>
          </w:tcPr>
          <w:p>
            <w:pPr>
              <w:jc w:val="center"/>
              <w:ind w:right="900"/>
              <w:spacing w:after="0"/>
              <w:rPr>
                <w:sz w:val="20"/>
                <w:szCs w:val="20"/>
                <w:color w:val="auto"/>
              </w:rPr>
            </w:pPr>
            <w:r>
              <w:rPr>
                <w:rFonts w:ascii="Arial" w:cs="Arial" w:eastAsia="Arial" w:hAnsi="Arial"/>
                <w:sz w:val="16"/>
                <w:szCs w:val="16"/>
                <w:color w:val="auto"/>
                <w:w w:val="92"/>
              </w:rPr>
              <w:t>Zimmer</w:t>
            </w:r>
          </w:p>
        </w:tc>
        <w:tc>
          <w:tcPr>
            <w:tcW w:w="900" w:type="dxa"/>
            <w:vAlign w:val="bottom"/>
          </w:tcPr>
          <w:p>
            <w:pPr>
              <w:spacing w:after="0"/>
              <w:rPr>
                <w:sz w:val="17"/>
                <w:szCs w:val="17"/>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6"/>
                <w:szCs w:val="16"/>
                <w:color w:val="auto"/>
                <w:w w:val="92"/>
              </w:rPr>
              <w:t>Doar</w:t>
            </w:r>
          </w:p>
        </w:tc>
        <w:tc>
          <w:tcPr>
            <w:tcW w:w="3000" w:type="dxa"/>
            <w:vAlign w:val="bottom"/>
            <w:gridSpan w:val="3"/>
          </w:tcPr>
          <w:p>
            <w:pPr>
              <w:jc w:val="center"/>
              <w:ind w:right="720"/>
              <w:spacing w:after="0"/>
              <w:rPr>
                <w:sz w:val="20"/>
                <w:szCs w:val="20"/>
                <w:color w:val="auto"/>
              </w:rPr>
            </w:pPr>
            <w:r>
              <w:rPr>
                <w:rFonts w:ascii="Arial" w:cs="Arial" w:eastAsia="Arial" w:hAnsi="Arial"/>
                <w:sz w:val="16"/>
                <w:szCs w:val="16"/>
                <w:color w:val="auto"/>
                <w:w w:val="92"/>
              </w:rPr>
              <w:t>Stratton</w:t>
            </w:r>
          </w:p>
        </w:tc>
        <w:tc>
          <w:tcPr>
            <w:tcW w:w="2180" w:type="dxa"/>
            <w:vAlign w:val="bottom"/>
            <w:gridSpan w:val="2"/>
          </w:tcPr>
          <w:p>
            <w:pPr>
              <w:jc w:val="center"/>
              <w:ind w:right="1260"/>
              <w:spacing w:after="0"/>
              <w:rPr>
                <w:sz w:val="20"/>
                <w:szCs w:val="20"/>
                <w:color w:val="auto"/>
              </w:rPr>
            </w:pPr>
            <w:r>
              <w:rPr>
                <w:rFonts w:ascii="Arial" w:cs="Arial" w:eastAsia="Arial" w:hAnsi="Arial"/>
                <w:sz w:val="16"/>
                <w:szCs w:val="16"/>
                <w:color w:val="auto"/>
                <w:w w:val="96"/>
              </w:rPr>
              <w:t>Moore</w:t>
            </w:r>
          </w:p>
        </w:tc>
        <w:tc>
          <w:tcPr>
            <w:tcW w:w="14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Rayburn</w:t>
            </w:r>
          </w:p>
        </w:tc>
      </w:tr>
      <w:tr>
        <w:trPr>
          <w:trHeight w:val="192"/>
        </w:trPr>
        <w:tc>
          <w:tcPr>
            <w:tcW w:w="60" w:type="dxa"/>
            <w:vAlign w:val="bottom"/>
          </w:tcPr>
          <w:p>
            <w:pPr>
              <w:spacing w:after="0"/>
              <w:rPr>
                <w:sz w:val="16"/>
                <w:szCs w:val="16"/>
                <w:color w:val="auto"/>
              </w:rPr>
            </w:pPr>
          </w:p>
        </w:tc>
        <w:tc>
          <w:tcPr>
            <w:tcW w:w="1340" w:type="dxa"/>
            <w:vAlign w:val="bottom"/>
            <w:gridSpan w:val="2"/>
          </w:tcPr>
          <w:p>
            <w:pPr>
              <w:jc w:val="center"/>
              <w:ind w:right="980"/>
              <w:spacing w:after="0"/>
              <w:rPr>
                <w:sz w:val="20"/>
                <w:szCs w:val="20"/>
                <w:color w:val="auto"/>
              </w:rPr>
            </w:pPr>
            <w:r>
              <w:rPr>
                <w:rFonts w:ascii="Arial" w:cs="Arial" w:eastAsia="Arial" w:hAnsi="Arial"/>
                <w:sz w:val="16"/>
                <w:szCs w:val="16"/>
                <w:color w:val="auto"/>
                <w:w w:val="92"/>
              </w:rPr>
              <w:t>Doar</w:t>
            </w:r>
          </w:p>
        </w:tc>
        <w:tc>
          <w:tcPr>
            <w:tcW w:w="2340" w:type="dxa"/>
            <w:vAlign w:val="bottom"/>
            <w:gridSpan w:val="3"/>
          </w:tcPr>
          <w:p>
            <w:pPr>
              <w:jc w:val="center"/>
              <w:ind w:right="20"/>
              <w:spacing w:after="0"/>
              <w:rPr>
                <w:sz w:val="20"/>
                <w:szCs w:val="20"/>
                <w:color w:val="auto"/>
              </w:rPr>
            </w:pPr>
            <w:r>
              <w:rPr>
                <w:rFonts w:ascii="Arial" w:cs="Arial" w:eastAsia="Arial" w:hAnsi="Arial"/>
                <w:sz w:val="16"/>
                <w:szCs w:val="16"/>
                <w:color w:val="auto"/>
                <w:w w:val="92"/>
              </w:rPr>
              <w:t>Rayburn</w:t>
            </w:r>
          </w:p>
        </w:tc>
        <w:tc>
          <w:tcPr>
            <w:tcW w:w="880" w:type="dxa"/>
            <w:vAlign w:val="bottom"/>
          </w:tcPr>
          <w:p>
            <w:pPr>
              <w:spacing w:after="0"/>
              <w:rPr>
                <w:sz w:val="16"/>
                <w:szCs w:val="16"/>
                <w:color w:val="auto"/>
              </w:rPr>
            </w:pPr>
          </w:p>
        </w:tc>
        <w:tc>
          <w:tcPr>
            <w:tcW w:w="2120" w:type="dxa"/>
            <w:vAlign w:val="bottom"/>
            <w:gridSpan w:val="2"/>
          </w:tcPr>
          <w:p>
            <w:pPr>
              <w:jc w:val="center"/>
              <w:ind w:right="1600"/>
              <w:spacing w:after="0"/>
              <w:rPr>
                <w:sz w:val="20"/>
                <w:szCs w:val="20"/>
                <w:color w:val="auto"/>
              </w:rPr>
            </w:pPr>
            <w:r>
              <w:rPr>
                <w:rFonts w:ascii="Arial" w:cs="Arial" w:eastAsia="Arial" w:hAnsi="Arial"/>
                <w:sz w:val="16"/>
                <w:szCs w:val="16"/>
                <w:color w:val="auto"/>
                <w:w w:val="92"/>
              </w:rPr>
              <w:t>Doar</w:t>
            </w:r>
          </w:p>
        </w:tc>
        <w:tc>
          <w:tcPr>
            <w:tcW w:w="2180" w:type="dxa"/>
            <w:vAlign w:val="bottom"/>
            <w:gridSpan w:val="2"/>
          </w:tcPr>
          <w:p>
            <w:pPr>
              <w:jc w:val="center"/>
              <w:ind w:right="1260"/>
              <w:spacing w:after="0"/>
              <w:rPr>
                <w:sz w:val="20"/>
                <w:szCs w:val="20"/>
                <w:color w:val="auto"/>
              </w:rPr>
            </w:pPr>
            <w:r>
              <w:rPr>
                <w:rFonts w:ascii="Arial" w:cs="Arial" w:eastAsia="Arial" w:hAnsi="Arial"/>
                <w:sz w:val="16"/>
                <w:szCs w:val="16"/>
                <w:color w:val="auto"/>
                <w:w w:val="92"/>
              </w:rPr>
              <w:t>Rayburn</w:t>
            </w:r>
          </w:p>
        </w:tc>
        <w:tc>
          <w:tcPr>
            <w:tcW w:w="14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Moore</w:t>
            </w:r>
          </w:p>
        </w:tc>
      </w:tr>
      <w:tr>
        <w:trPr>
          <w:trHeight w:val="192"/>
        </w:trPr>
        <w:tc>
          <w:tcPr>
            <w:tcW w:w="1400" w:type="dxa"/>
            <w:vAlign w:val="bottom"/>
            <w:gridSpan w:val="3"/>
          </w:tcPr>
          <w:p>
            <w:pPr>
              <w:jc w:val="center"/>
              <w:ind w:right="900"/>
              <w:spacing w:after="0"/>
              <w:rPr>
                <w:sz w:val="20"/>
                <w:szCs w:val="20"/>
                <w:color w:val="auto"/>
              </w:rPr>
            </w:pPr>
            <w:r>
              <w:rPr>
                <w:rFonts w:ascii="Arial" w:cs="Arial" w:eastAsia="Arial" w:hAnsi="Arial"/>
                <w:sz w:val="16"/>
                <w:szCs w:val="16"/>
                <w:color w:val="auto"/>
                <w:w w:val="95"/>
              </w:rPr>
              <w:t>Smiley</w:t>
            </w:r>
          </w:p>
        </w:tc>
        <w:tc>
          <w:tcPr>
            <w:tcW w:w="900" w:type="dxa"/>
            <w:vAlign w:val="bottom"/>
          </w:tcPr>
          <w:p>
            <w:pPr>
              <w:spacing w:after="0"/>
              <w:rPr>
                <w:sz w:val="16"/>
                <w:szCs w:val="16"/>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6"/>
                <w:szCs w:val="16"/>
                <w:color w:val="auto"/>
                <w:w w:val="91"/>
              </w:rPr>
              <w:t>Smiley</w:t>
            </w:r>
          </w:p>
        </w:tc>
        <w:tc>
          <w:tcPr>
            <w:tcW w:w="880" w:type="dxa"/>
            <w:vAlign w:val="bottom"/>
          </w:tcPr>
          <w:p>
            <w:pPr>
              <w:spacing w:after="0"/>
              <w:rPr>
                <w:sz w:val="16"/>
                <w:szCs w:val="16"/>
                <w:color w:val="auto"/>
              </w:rPr>
            </w:pPr>
          </w:p>
        </w:tc>
        <w:tc>
          <w:tcPr>
            <w:tcW w:w="2120" w:type="dxa"/>
            <w:vAlign w:val="bottom"/>
            <w:gridSpan w:val="2"/>
          </w:tcPr>
          <w:p>
            <w:pPr>
              <w:jc w:val="center"/>
              <w:ind w:right="1600"/>
              <w:spacing w:after="0"/>
              <w:rPr>
                <w:sz w:val="20"/>
                <w:szCs w:val="20"/>
                <w:color w:val="auto"/>
              </w:rPr>
            </w:pPr>
            <w:r>
              <w:rPr>
                <w:rFonts w:ascii="Arial" w:cs="Arial" w:eastAsia="Arial" w:hAnsi="Arial"/>
                <w:sz w:val="16"/>
                <w:szCs w:val="16"/>
                <w:color w:val="auto"/>
                <w:w w:val="96"/>
              </w:rPr>
              <w:t>Moore</w:t>
            </w:r>
          </w:p>
        </w:tc>
        <w:tc>
          <w:tcPr>
            <w:tcW w:w="2180" w:type="dxa"/>
            <w:vAlign w:val="bottom"/>
            <w:gridSpan w:val="2"/>
          </w:tcPr>
          <w:p>
            <w:pPr>
              <w:jc w:val="center"/>
              <w:ind w:right="1260"/>
              <w:spacing w:after="0"/>
              <w:rPr>
                <w:sz w:val="20"/>
                <w:szCs w:val="20"/>
                <w:color w:val="auto"/>
              </w:rPr>
            </w:pPr>
            <w:r>
              <w:rPr>
                <w:rFonts w:ascii="Arial" w:cs="Arial" w:eastAsia="Arial" w:hAnsi="Arial"/>
                <w:sz w:val="16"/>
                <w:szCs w:val="16"/>
                <w:color w:val="auto"/>
                <w:w w:val="95"/>
              </w:rPr>
              <w:t>Zimmer</w:t>
            </w:r>
          </w:p>
        </w:tc>
        <w:tc>
          <w:tcPr>
            <w:tcW w:w="140" w:type="dxa"/>
            <w:vAlign w:val="bottom"/>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Stratton</w:t>
            </w:r>
          </w:p>
        </w:tc>
      </w:tr>
      <w:tr>
        <w:trPr>
          <w:trHeight w:val="205"/>
        </w:trPr>
        <w:tc>
          <w:tcPr>
            <w:tcW w:w="1400" w:type="dxa"/>
            <w:vAlign w:val="bottom"/>
            <w:gridSpan w:val="3"/>
          </w:tcPr>
          <w:p>
            <w:pPr>
              <w:jc w:val="center"/>
              <w:ind w:right="900"/>
              <w:spacing w:after="0"/>
              <w:rPr>
                <w:sz w:val="20"/>
                <w:szCs w:val="20"/>
                <w:color w:val="auto"/>
              </w:rPr>
            </w:pPr>
            <w:r>
              <w:rPr>
                <w:rFonts w:ascii="Arial" w:cs="Arial" w:eastAsia="Arial" w:hAnsi="Arial"/>
                <w:sz w:val="16"/>
                <w:szCs w:val="16"/>
                <w:color w:val="auto"/>
                <w:w w:val="89"/>
              </w:rPr>
              <w:t>Stratton</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Zimmer</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Annual Meeting</w:t>
      </w:r>
    </w:p>
    <w:p>
      <w:pPr>
        <w:spacing w:after="0" w:line="200" w:lineRule="exact"/>
        <w:rPr>
          <w:sz w:val="20"/>
          <w:szCs w:val="20"/>
          <w:color w:val="auto"/>
        </w:rPr>
      </w:pPr>
    </w:p>
    <w:p>
      <w:pPr>
        <w:spacing w:after="0" w:line="24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489585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92" w:right="239" w:bottom="944" w:gutter="0" w:footer="0" w:header="0"/>
        </w:sectPr>
      </w:pPr>
    </w:p>
    <w:bookmarkStart w:id="15" w:name="page16"/>
    <w:bookmarkEnd w:id="15"/>
    <w:p>
      <w:pPr>
        <w:ind w:left="4"/>
        <w:spacing w:after="0"/>
        <w:rPr>
          <w:sz w:val="20"/>
          <w:szCs w:val="20"/>
          <w:color w:val="auto"/>
        </w:rPr>
      </w:pPr>
      <w:r>
        <w:rPr>
          <w:rFonts w:ascii="Arial" w:cs="Arial" w:eastAsia="Arial" w:hAnsi="Arial"/>
          <w:sz w:val="16"/>
          <w:szCs w:val="16"/>
          <w:b w:val="1"/>
          <w:bCs w:val="1"/>
          <w:color w:val="auto"/>
        </w:rPr>
        <w:t>Stockholder Communication with the Board</w:t>
      </w:r>
    </w:p>
    <w:p>
      <w:pPr>
        <w:spacing w:after="0" w:line="228" w:lineRule="exact"/>
        <w:rPr>
          <w:sz w:val="20"/>
          <w:szCs w:val="20"/>
          <w:color w:val="auto"/>
        </w:rPr>
      </w:pPr>
    </w:p>
    <w:p>
      <w:pPr>
        <w:ind w:left="4" w:right="260"/>
        <w:spacing w:after="0" w:line="277" w:lineRule="auto"/>
        <w:rPr>
          <w:sz w:val="20"/>
          <w:szCs w:val="20"/>
          <w:color w:val="auto"/>
        </w:rPr>
      </w:pPr>
      <w:r>
        <w:rPr>
          <w:rFonts w:ascii="Arial" w:cs="Arial" w:eastAsia="Arial" w:hAnsi="Arial"/>
          <w:sz w:val="16"/>
          <w:szCs w:val="16"/>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00" w:lineRule="exact"/>
        <w:rPr>
          <w:sz w:val="20"/>
          <w:szCs w:val="20"/>
          <w:color w:val="auto"/>
        </w:rPr>
      </w:pPr>
    </w:p>
    <w:p>
      <w:pPr>
        <w:ind w:left="4" w:hanging="4"/>
        <w:spacing w:after="0" w:line="277" w:lineRule="auto"/>
        <w:tabs>
          <w:tab w:leader="none" w:pos="3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6"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Twin Disc, Incorporated</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1328 Racine Street</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Racine, WI 53403</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Attn: Chairman of the Board of Directors</w:t>
      </w:r>
    </w:p>
    <w:p>
      <w:pPr>
        <w:spacing w:after="0" w:line="236" w:lineRule="exact"/>
        <w:rPr>
          <w:sz w:val="20"/>
          <w:szCs w:val="20"/>
          <w:color w:val="auto"/>
        </w:rPr>
      </w:pPr>
    </w:p>
    <w:p>
      <w:pPr>
        <w:ind w:left="4" w:right="320" w:hanging="4"/>
        <w:spacing w:after="0" w:line="277" w:lineRule="auto"/>
        <w:tabs>
          <w:tab w:leader="none" w:pos="316"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76"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Twin Disc, Incorporated</w:t>
      </w:r>
    </w:p>
    <w:p>
      <w:pPr>
        <w:spacing w:after="0" w:line="2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1328 Racine Street</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Racine, WI 53403</w:t>
      </w:r>
    </w:p>
    <w:p>
      <w:pPr>
        <w:spacing w:after="0" w:line="8"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Attn: [Name of Individual Director]</w:t>
      </w:r>
    </w:p>
    <w:p>
      <w:pPr>
        <w:spacing w:after="0" w:line="212" w:lineRule="exact"/>
        <w:rPr>
          <w:sz w:val="20"/>
          <w:szCs w:val="20"/>
          <w:color w:val="auto"/>
        </w:rPr>
      </w:pPr>
    </w:p>
    <w:p>
      <w:pPr>
        <w:jc w:val="both"/>
        <w:ind w:left="4" w:right="40"/>
        <w:spacing w:after="0" w:line="312" w:lineRule="auto"/>
        <w:rPr>
          <w:sz w:val="20"/>
          <w:szCs w:val="20"/>
          <w:color w:val="auto"/>
        </w:rPr>
      </w:pPr>
      <w:r>
        <w:rPr>
          <w:rFonts w:ascii="Arial" w:cs="Arial" w:eastAsia="Arial" w:hAnsi="Arial"/>
          <w:sz w:val="15"/>
          <w:szCs w:val="15"/>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52" w:lineRule="exact"/>
        <w:rPr>
          <w:sz w:val="20"/>
          <w:szCs w:val="20"/>
          <w:color w:val="auto"/>
        </w:rPr>
      </w:pPr>
    </w:p>
    <w:p>
      <w:pPr>
        <w:jc w:val="both"/>
        <w:ind w:left="4" w:right="60"/>
        <w:spacing w:after="0" w:line="319" w:lineRule="auto"/>
        <w:rPr>
          <w:sz w:val="20"/>
          <w:szCs w:val="20"/>
          <w:color w:val="auto"/>
        </w:rPr>
      </w:pPr>
      <w:r>
        <w:rPr>
          <w:rFonts w:ascii="Arial" w:cs="Arial" w:eastAsia="Arial" w:hAnsi="Arial"/>
          <w:sz w:val="14"/>
          <w:szCs w:val="14"/>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147" w:lineRule="exact"/>
        <w:rPr>
          <w:sz w:val="20"/>
          <w:szCs w:val="20"/>
          <w:color w:val="auto"/>
        </w:rPr>
      </w:pPr>
    </w:p>
    <w:p>
      <w:pPr>
        <w:ind w:left="4" w:right="560"/>
        <w:spacing w:after="0" w:line="282" w:lineRule="auto"/>
        <w:rPr>
          <w:sz w:val="20"/>
          <w:szCs w:val="20"/>
          <w:color w:val="auto"/>
        </w:rPr>
      </w:pPr>
      <w:r>
        <w:rPr>
          <w:rFonts w:ascii="Arial" w:cs="Arial" w:eastAsia="Arial" w:hAnsi="Arial"/>
          <w:sz w:val="16"/>
          <w:szCs w:val="16"/>
          <w:color w:val="auto"/>
        </w:rPr>
        <w:t>From time to time, the Board may change the process by which stockholders may communicate with the Board or its members. Please refer to the Corporation's website</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www.twindisc.com</w:t>
      </w:r>
      <w:r>
        <w:rPr>
          <w:rFonts w:ascii="Arial" w:cs="Arial" w:eastAsia="Arial" w:hAnsi="Arial"/>
          <w:sz w:val="16"/>
          <w:szCs w:val="16"/>
          <w:b w:val="1"/>
          <w:bCs w:val="1"/>
          <w:color w:val="auto"/>
        </w:rPr>
        <w:t>,</w:t>
      </w:r>
      <w:r>
        <w:rPr>
          <w:rFonts w:ascii="Arial" w:cs="Arial" w:eastAsia="Arial" w:hAnsi="Arial"/>
          <w:sz w:val="16"/>
          <w:szCs w:val="16"/>
          <w:color w:val="auto"/>
        </w:rPr>
        <w:t xml:space="preserve"> for any changes to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618490</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68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Introduction</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describes the material components of compensation paid to the Corporation’s Chief Executive Officer, Chief Financial Officer, and its three most highly compensated executive officers for the fiscal year ended June 30, 2012 (the “Named Executive Officers”). For the fiscal year ended June 30, 2012, the Named Executive Officers are:</w:t>
      </w:r>
    </w:p>
    <w:p>
      <w:pPr>
        <w:spacing w:after="0" w:line="186" w:lineRule="exact"/>
        <w:rPr>
          <w:sz w:val="20"/>
          <w:szCs w:val="20"/>
          <w:color w:val="auto"/>
        </w:rPr>
      </w:pPr>
    </w:p>
    <w:p>
      <w:pPr>
        <w:ind w:left="580" w:hanging="12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Michael E. Batten, Chairman and Chief Executive Officer;</w:t>
      </w:r>
    </w:p>
    <w:p>
      <w:pPr>
        <w:spacing w:after="0" w:line="224" w:lineRule="exact"/>
        <w:rPr>
          <w:rFonts w:ascii="Arial" w:cs="Arial" w:eastAsia="Arial" w:hAnsi="Arial"/>
          <w:sz w:val="16"/>
          <w:szCs w:val="16"/>
          <w:color w:val="auto"/>
        </w:rPr>
      </w:pPr>
    </w:p>
    <w:p>
      <w:pPr>
        <w:ind w:left="580" w:hanging="12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John H. Batten, President and Chief Operating Officer;</w:t>
      </w:r>
    </w:p>
    <w:p>
      <w:pPr>
        <w:spacing w:after="0" w:line="224" w:lineRule="exact"/>
        <w:rPr>
          <w:rFonts w:ascii="Arial" w:cs="Arial" w:eastAsia="Arial" w:hAnsi="Arial"/>
          <w:sz w:val="16"/>
          <w:szCs w:val="16"/>
          <w:color w:val="auto"/>
        </w:rPr>
      </w:pPr>
    </w:p>
    <w:p>
      <w:pPr>
        <w:ind w:left="580" w:hanging="12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Christopher J. Eperjesy, Vice President – Finance, Chief Financial Officer and Treasurer;</w:t>
      </w:r>
    </w:p>
    <w:p>
      <w:pPr>
        <w:spacing w:after="0" w:line="224" w:lineRule="exact"/>
        <w:rPr>
          <w:rFonts w:ascii="Arial" w:cs="Arial" w:eastAsia="Arial" w:hAnsi="Arial"/>
          <w:sz w:val="16"/>
          <w:szCs w:val="16"/>
          <w:color w:val="auto"/>
        </w:rPr>
      </w:pPr>
    </w:p>
    <w:p>
      <w:pPr>
        <w:ind w:left="580" w:hanging="12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James Feiertag, Executive Vice President; and</w:t>
      </w:r>
    </w:p>
    <w:p>
      <w:pPr>
        <w:spacing w:after="0" w:line="224" w:lineRule="exact"/>
        <w:rPr>
          <w:rFonts w:ascii="Arial" w:cs="Arial" w:eastAsia="Arial" w:hAnsi="Arial"/>
          <w:sz w:val="16"/>
          <w:szCs w:val="16"/>
          <w:color w:val="auto"/>
        </w:rPr>
      </w:pPr>
    </w:p>
    <w:p>
      <w:pPr>
        <w:ind w:left="580" w:hanging="127"/>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Dean J. Bratel, Vice President – Engineering</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In this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we will also explain the objectives of our compensation programs, why we pay the compensation we do and how that fits with the Corporation’s commitment to provide value to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Executive Summary</w:t>
      </w:r>
    </w:p>
    <w:p>
      <w:pPr>
        <w:spacing w:after="0" w:line="22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Through the Board’s Compensation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93" w:lineRule="exact"/>
        <w:rPr>
          <w:sz w:val="20"/>
          <w:szCs w:val="20"/>
          <w:color w:val="auto"/>
        </w:rPr>
      </w:pPr>
    </w:p>
    <w:p>
      <w:pPr>
        <w:ind w:right="720"/>
        <w:spacing w:after="0" w:line="312" w:lineRule="auto"/>
        <w:rPr>
          <w:sz w:val="20"/>
          <w:szCs w:val="20"/>
          <w:color w:val="auto"/>
        </w:rPr>
      </w:pPr>
      <w:r>
        <w:rPr>
          <w:rFonts w:ascii="Arial" w:cs="Arial" w:eastAsia="Arial" w:hAnsi="Arial"/>
          <w:sz w:val="15"/>
          <w:szCs w:val="15"/>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52" w:lineRule="exact"/>
        <w:rPr>
          <w:sz w:val="20"/>
          <w:szCs w:val="20"/>
          <w:color w:val="auto"/>
        </w:rPr>
      </w:pPr>
    </w:p>
    <w:p>
      <w:pPr>
        <w:jc w:val="both"/>
        <w:ind w:left="580" w:right="20" w:hanging="127"/>
        <w:spacing w:after="0" w:line="351"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jc w:val="both"/>
        <w:ind w:left="580" w:hanging="127"/>
        <w:spacing w:after="0" w:line="264"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80" w:hanging="127"/>
        <w:spacing w:after="0"/>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Corporation has stock ownership guidelines for each of its Named Executive Officers, thereby aligning their long-term interests with those of shareholders.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8" w:lineRule="exact"/>
        <w:rPr>
          <w:rFonts w:ascii="Arial" w:cs="Arial" w:eastAsia="Arial" w:hAnsi="Arial"/>
          <w:sz w:val="15"/>
          <w:szCs w:val="15"/>
          <w:color w:val="auto"/>
        </w:rPr>
      </w:pPr>
    </w:p>
    <w:p>
      <w:pPr>
        <w:ind w:left="580" w:right="20" w:hanging="127"/>
        <w:spacing w:after="0" w:line="312" w:lineRule="auto"/>
        <w:tabs>
          <w:tab w:leader="none" w:pos="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recent years, the Corporation has adjusted its compensation practices to reflect economic conditions. For example, in FY2010, the Corporation suspended its annual Corporate Incentive Program and reduced the base salaries of each of its Named Executive Officers as part of a corporate-wide cost-reduction program.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also maintains compensation practices that we believe are consistent with good governance. For example:</w:t>
      </w:r>
    </w:p>
    <w:p>
      <w:pPr>
        <w:spacing w:after="0" w:line="224" w:lineRule="exact"/>
        <w:rPr>
          <w:sz w:val="20"/>
          <w:szCs w:val="20"/>
          <w:color w:val="auto"/>
        </w:rPr>
      </w:pPr>
    </w:p>
    <w:p>
      <w:pPr>
        <w:ind w:left="580" w:right="20" w:hanging="127"/>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80" w:right="20" w:hanging="127"/>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long-term incentive compensation plan is designed to maximize the deduction for performance-based compensation under Section 162(m) of the Internal Revenue Code.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80" w:hanging="127"/>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80" w:hanging="12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Compensation Committee considers internal pay equity when making compensation decisions.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left="580" w:hanging="12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annual Corporate Incentive Plan is performance-based and has caps on bonus payments.</w:t>
      </w:r>
    </w:p>
    <w:p>
      <w:pPr>
        <w:sectPr>
          <w:pgSz w:w="11900" w:h="16838" w:orient="portrait"/>
          <w:cols w:equalWidth="0" w:num="1">
            <w:col w:w="11440"/>
          </w:cols>
          <w:pgMar w:left="240" w:top="471" w:right="219" w:bottom="334" w:gutter="0" w:footer="0" w:header="0"/>
        </w:sectPr>
      </w:pPr>
    </w:p>
    <w:bookmarkStart w:id="17" w:name="page18"/>
    <w:bookmarkEnd w:id="17"/>
    <w:p>
      <w:pPr>
        <w:ind w:left="460"/>
        <w:spacing w:after="0"/>
        <w:rPr>
          <w:sz w:val="20"/>
          <w:szCs w:val="20"/>
          <w:color w:val="auto"/>
        </w:rPr>
      </w:pPr>
      <w:r>
        <w:rPr>
          <w:rFonts w:ascii="Arial" w:cs="Arial" w:eastAsia="Arial" w:hAnsi="Arial"/>
          <w:sz w:val="15"/>
          <w:szCs w:val="15"/>
          <w:color w:val="auto"/>
        </w:rPr>
        <w:t>· The Compensation Committee annually evaluates the Corporation’s compensation programs to ensure that they do not encourage unnecessary risk taking.</w:t>
      </w:r>
    </w:p>
    <w:p>
      <w:pPr>
        <w:spacing w:after="0" w:line="236"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The following provides a brief overview of the highlights of the compensation received by the Corporation’s Named Executive Officers for the fiscal year that ended June 30, 2012:</w:t>
      </w:r>
    </w:p>
    <w:p>
      <w:pPr>
        <w:spacing w:after="0" w:line="176" w:lineRule="exact"/>
        <w:rPr>
          <w:sz w:val="20"/>
          <w:szCs w:val="20"/>
          <w:color w:val="auto"/>
        </w:rPr>
      </w:pPr>
    </w:p>
    <w:p>
      <w:pPr>
        <w:ind w:left="580" w:right="20" w:hanging="127"/>
        <w:spacing w:after="0" w:line="27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FY2012, base salaries of the Corporation’s Named Executive Officers were increased between five and ten percent. The largest percentage increase was for the Corporation’s President, whose base salary was determined to be below the competitive range of the market median for similar positions.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80" w:right="20" w:hanging="127"/>
        <w:spacing w:after="0" w:line="27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Consistent with the Corporation’s achievements against targeted profitability, sales growth and inventory levels over the past fiscal year, each of the Named Executive Officers received an annual incentive under the Corporate Incentive Plan equal to 155% of their target bonus amount.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80" w:hanging="127"/>
        <w:spacing w:after="0" w:line="351"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Corporation exceeded the maximum cumulative profitability objective for performance stock and performance stock units granted in 2009 under the Twin Disc, Incorporated 2004 Long-Term Incentive Compensation Plan. As a result, the performance stock and performance stock unit awards vested at the maximum amount.</w:t>
      </w:r>
    </w:p>
    <w:p>
      <w:pPr>
        <w:spacing w:after="0" w:line="130"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As required by Section 14A of the Securities Exchange Act of 1934, the Corporation held its first shareholder advisory vote on executive compensation at its October 21, 2011, annual meeting of shareholders. The shareholders overwhelmingly approved the say on pay proposal, with more than 96% of the votes cast in favor of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2669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auto"/>
        </w:rPr>
        <w:t>Overview</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 xml:space="preserve">The Compensation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Arial" w:cs="Arial" w:eastAsia="Arial" w:hAnsi="Arial"/>
          <w:sz w:val="16"/>
          <w:szCs w:val="16"/>
          <w:u w:val="single" w:color="auto"/>
          <w:color w:val="auto"/>
        </w:rPr>
        <w:t>http://ir.twindisc.com/charters.cfm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Philosophy and Objectives</w:t>
      </w:r>
    </w:p>
    <w:p>
      <w:pPr>
        <w:spacing w:after="0" w:line="20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9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9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which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CEO, three times annual base salary for the President, two times annual base salary for the CFO and Executive Vice President, and one times annual base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192"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compensation amounts and plans to meet the deductibility requirements under this provision.</w:t>
      </w:r>
    </w:p>
    <w:p>
      <w:pPr>
        <w:spacing w:after="0" w:line="174"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 mitigating factors such as stock ownership guidelines, claw 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Role of Executive Officers in Compensation Decisions</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The Committee makes all compensation decisions for the Chairman and CEO (Mr. M. Batten) and approves recommendations for compensation actions for all other elected officers of the Corporation.</w:t>
      </w:r>
    </w:p>
    <w:p>
      <w:pPr>
        <w:spacing w:after="0" w:line="176"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Mr. M. Batten, the Chairman and CEO, and Mr. J. Batten, the President and COO, annually review the performance of each elected officer with the Committee. In addition, Mr. M. Batten reviews the performance of Mr. J. Batten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Committee reviews the performance of the Chairman and CEO. It alone determines the salary adjustment, bonus payment and equity compensation awards for Mr. 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Batten.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Setting Executive Compensation</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76" w:lineRule="exact"/>
        <w:rPr>
          <w:sz w:val="20"/>
          <w:szCs w:val="20"/>
          <w:color w:val="auto"/>
        </w:rPr>
      </w:pPr>
    </w:p>
    <w:p>
      <w:pPr>
        <w:ind w:right="680"/>
        <w:spacing w:after="0" w:line="264" w:lineRule="auto"/>
        <w:rPr>
          <w:sz w:val="20"/>
          <w:szCs w:val="20"/>
          <w:color w:val="auto"/>
        </w:rPr>
      </w:pPr>
      <w:r>
        <w:rPr>
          <w:rFonts w:ascii="Arial" w:cs="Arial" w:eastAsia="Arial" w:hAnsi="Arial"/>
          <w:sz w:val="16"/>
          <w:szCs w:val="16"/>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 for companies of a similar size and industry. The Committee believes an executive’s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ectPr>
          <w:pgSz w:w="11900" w:h="16838" w:orient="portrait"/>
          <w:cols w:equalWidth="0" w:num="1">
            <w:col w:w="11440"/>
          </w:cols>
          <w:pgMar w:left="240" w:top="692" w:right="219" w:bottom="17" w:gutter="0" w:footer="0" w:header="0"/>
        </w:sectPr>
      </w:pPr>
    </w:p>
    <w:bookmarkStart w:id="19" w:name="page20"/>
    <w:bookmarkEnd w:id="19"/>
    <w:p>
      <w:pPr>
        <w:ind w:right="40"/>
        <w:spacing w:after="0" w:line="274" w:lineRule="auto"/>
        <w:rPr>
          <w:sz w:val="20"/>
          <w:szCs w:val="20"/>
          <w:color w:val="auto"/>
        </w:rPr>
      </w:pPr>
      <w:r>
        <w:rPr>
          <w:rFonts w:ascii="Arial" w:cs="Arial" w:eastAsia="Arial" w:hAnsi="Arial"/>
          <w:sz w:val="15"/>
          <w:szCs w:val="15"/>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During 2011, the Committee engaged Towers Watson, a global human resources firm, to conduct a competitive review of market compensation levels for similar positions in similar industries. For this analysis, Towers Watson referenced several data sources, including:</w:t>
      </w:r>
    </w:p>
    <w:p>
      <w:pPr>
        <w:spacing w:after="0" w:line="176" w:lineRule="exact"/>
        <w:rPr>
          <w:sz w:val="20"/>
          <w:szCs w:val="20"/>
          <w:color w:val="auto"/>
        </w:rPr>
      </w:pPr>
    </w:p>
    <w:p>
      <w:pPr>
        <w:ind w:left="580" w:hanging="12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2010 Towers Watson U.S. General Industry Executive Compensation Database</w:t>
      </w:r>
    </w:p>
    <w:p>
      <w:pPr>
        <w:spacing w:after="0" w:line="20" w:lineRule="exact"/>
        <w:rPr>
          <w:rFonts w:ascii="Arial" w:cs="Arial" w:eastAsia="Arial" w:hAnsi="Arial"/>
          <w:sz w:val="16"/>
          <w:szCs w:val="16"/>
          <w:color w:val="auto"/>
        </w:rPr>
      </w:pPr>
    </w:p>
    <w:p>
      <w:pPr>
        <w:ind w:left="580" w:hanging="12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2010/2011 Towers Watson U.S. Top Management Compensation Study</w:t>
      </w:r>
    </w:p>
    <w:p>
      <w:pPr>
        <w:spacing w:after="0" w:line="8" w:lineRule="exact"/>
        <w:rPr>
          <w:rFonts w:ascii="Arial" w:cs="Arial" w:eastAsia="Arial" w:hAnsi="Arial"/>
          <w:sz w:val="16"/>
          <w:szCs w:val="16"/>
          <w:color w:val="auto"/>
        </w:rPr>
      </w:pPr>
    </w:p>
    <w:p>
      <w:pPr>
        <w:ind w:left="580" w:hanging="12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2010 Mercer U.S. Benchmark Database – Executive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preparing competitive market compensation information for the Committee, Towers utilized data from durable goods manufacturers (and manufacturing companies generally when necessary) and generally excluded financial services, healthcare and utility companies. Appendix A lists the component companies in the three surveys on a combined basis and excludes companies whose information was not utilized by Towers in preparing competitive market compensation information for the Committee. The Committee did not consider any specific peer group of companies when making competitive comparisons or compensation decisions, and the Committee did not specify targeted individual companies from among the Towers Watson survey participants.</w:t>
      </w:r>
    </w:p>
    <w:p>
      <w:pPr>
        <w:spacing w:after="0" w:line="192" w:lineRule="exact"/>
        <w:rPr>
          <w:sz w:val="20"/>
          <w:szCs w:val="20"/>
          <w:color w:val="auto"/>
        </w:rPr>
      </w:pPr>
    </w:p>
    <w:p>
      <w:pPr>
        <w:ind w:right="220"/>
        <w:spacing w:after="0" w:line="227" w:lineRule="auto"/>
        <w:rPr>
          <w:sz w:val="20"/>
          <w:szCs w:val="20"/>
          <w:color w:val="auto"/>
        </w:rPr>
      </w:pPr>
      <w:r>
        <w:rPr>
          <w:rFonts w:ascii="Arial" w:cs="Arial" w:eastAsia="Arial" w:hAnsi="Arial"/>
          <w:sz w:val="16"/>
          <w:szCs w:val="16"/>
          <w:color w:val="auto"/>
        </w:rPr>
        <w:t>Relative to each of the data sources, Towers Watson referenced a broad sample of general industry companies, and utilized regression analysis to control the data sample to represent the Corporation’s size, in terms of revenue. The Committee received information on the 25</w:t>
      </w:r>
      <w:r>
        <w:rPr>
          <w:rFonts w:ascii="Arial" w:cs="Arial" w:eastAsia="Arial" w:hAnsi="Arial"/>
          <w:sz w:val="22"/>
          <w:szCs w:val="22"/>
          <w:color w:val="auto"/>
          <w:vertAlign w:val="superscript"/>
        </w:rPr>
        <w:t>th</w:t>
      </w:r>
      <w:r>
        <w:rPr>
          <w:rFonts w:ascii="Arial" w:cs="Arial" w:eastAsia="Arial" w:hAnsi="Arial"/>
          <w:sz w:val="16"/>
          <w:szCs w:val="16"/>
          <w:color w:val="auto"/>
        </w:rPr>
        <w: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percentiles of each element of executive compensation for comparable executive positions.</w:t>
      </w:r>
    </w:p>
    <w:p>
      <w:pPr>
        <w:spacing w:after="0" w:line="20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survey data showed that the FY2011 base salary figures and target total cash compensation (consisting of base salary and annual incentive bonus payments) for each of the Named Executive Officers was within 15% of the market median, except for Mr. J. Batten, whose base salary and target total cash compensation amounts were slightly below the 25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The survey data also showed that the FY2010 actual total cash compensation for each of the Named Executive Officers fell more than 15% below the market median, primarily because no annual incentive bonus payments were paid by the Corporation for FY2010. The survey data also showed that the FY2011 target total direct compensation of each of the Named Executive Officers (consisting of base salary, annual incentive bonus and long-term incentive payments) was between the 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and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percentiles, except for Mr. Bratel, whose target total direct compensation exceeded the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The value of design engineering is critical to the Corporation’s current and future success and therefore it is difficult to obtain survey data that accurately reflects its importance to the Corporation. The Committee feels that this level of target compensation is appropriate for the responsibilities of this position. The Committee used the information from Towers Watson, along with recommendations from the CEO for non-CEO executive positions, in determining each executive’s compensation package for FY2012. The Committee did not use this information in a formulaic manner when determining each executive’s compensation, but rather took this information under consideration, believing an executive’s compensation to be competitive if it fell within a band of plus or minus 15% from the competitive median of data. For FY2012, the base salary of each named executive officer was set within 12% of the competitive median. The target annual incentive bonus as a percent of base salary was set at the competitive median for each named executive officer except for Mr. M. Batten, whose target annual incentive bonus as a percent of base salary was set at the 25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and Mr. Bratel, whose target annual bonus as a percentage of salary was set at the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The target total cash compensation and target total direct compensation of each named executive officer for FY2012 was within 15% of the competitive median, with the exception of Mr. Bratel, whose target total direct compensation exceeded the 75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due to the value of long-term incentive awards compared to the market median.</w:t>
      </w:r>
    </w:p>
    <w:p>
      <w:pPr>
        <w:spacing w:after="0" w:line="109"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Historically, a compensation consultant has been engaged to provide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For FY2013, the Committee followed the above-described historic practice and did not engage a compensation consultant. It reviewed updated Towers survey information which was increased by 3% for the base salary information and by 5% for long-term incentive compensation, to reflect current compensation trends in the market. It used that information, along with the recommendations from Messrs. M. Batten and J. Batten as described above, and the company-wide merit pool, in determining the elements of each executive’s compensation package for FY2013. In addition, the Committee reviewed the results of the October 21, 2011, shareholder advisory vote on executive compensation required by Section 14A of the Securities Exchange Act. In light of the fact that more than 96% of the votes cast were in favor of the compensation paid to the named executive officers of the Corporation, the Committee did not make any significant changes to the Corporation’s executive compensation policies or programs.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2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68"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Base salaries are reviewed each year by the Committee. As discussed above, salary levels are compared to the market median (i.e. 50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percentile), as determined by using local, national and industry specific survey data and as determined by external consultants, in order to ensure executives are paid a competitive salary, aiding in attraction and retention.</w:t>
      </w:r>
    </w:p>
    <w:p>
      <w:pPr>
        <w:spacing w:after="0" w:line="180"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74"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7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Committee determines and approves base salary adjustments for the CEO, and approves base salary adjustments for the members of the executive officer team, based on the recommendations from the CEO or COO. Generally, executive base salaries are increased at rates comparable to the increases provided at other comparable companies and are at or near market levels.</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For FY2012, the Committee adjusted the base salaries for the Named Executive Officers, effective beginning the first payroll period in October 2011, using the company-wide merit pool, as well as the information provided from Towers Watson as a guide. As a result, base salaries for the Named Executive Officers changed by the following percentages as compared to FY2011: Mr. M. Batten, 5.3%; Mr. J. Batten, 10.0%; Mr. Eperjesy, 5.9%; Mr. Feiertag, 5.2%; and Mr. Bratel, 8.4%.</w:t>
      </w:r>
    </w:p>
    <w:p>
      <w:pPr>
        <w:sectPr>
          <w:pgSz w:w="11900" w:h="16838" w:orient="portrait"/>
          <w:cols w:equalWidth="0" w:num="1">
            <w:col w:w="11440"/>
          </w:cols>
          <w:pgMar w:left="240" w:top="127" w:right="219" w:bottom="0" w:gutter="0" w:footer="0" w:header="0"/>
        </w:sectPr>
      </w:pPr>
    </w:p>
    <w:bookmarkStart w:id="20" w:name="page21"/>
    <w:bookmarkEnd w:id="20"/>
    <w:p>
      <w:pPr>
        <w:spacing w:after="0" w:line="129" w:lineRule="exact"/>
        <w:rPr>
          <w:sz w:val="20"/>
          <w:szCs w:val="20"/>
          <w:color w:val="auto"/>
        </w:rPr>
      </w:pPr>
    </w:p>
    <w:p>
      <w:pPr>
        <w:ind w:right="20"/>
        <w:spacing w:after="0" w:line="308" w:lineRule="auto"/>
        <w:rPr>
          <w:sz w:val="20"/>
          <w:szCs w:val="20"/>
          <w:color w:val="auto"/>
        </w:rPr>
      </w:pPr>
      <w:r>
        <w:rPr>
          <w:rFonts w:ascii="Arial" w:cs="Arial" w:eastAsia="Arial" w:hAnsi="Arial"/>
          <w:sz w:val="14"/>
          <w:szCs w:val="14"/>
          <w:color w:val="auto"/>
        </w:rPr>
        <w:t>For FY2013, the Committee adjusted the base salaries for the Named Executive Officers, effective beginning the first payroll period in October 2012. The Committee determined that a base salary increase of approximately 4% would be appropriate for most of the Named Executive Officers to keep their base salaries near the market median, but that a greater increase for Mr. J. Batten would be appropriate in order to move him closer to the market median. As a result, base salaries for the Named Executive Officers changed by the following percentages as compared to FY2012: Mr. M. Batten, 4.35%; Mr. J. Batten, 10%; Mr. Eperjesy, 4.04%; Mr. Feiertag, 3.82%; and Mr. Bratel, 4.98%.</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Incentive Compensation</w:t>
      </w:r>
    </w:p>
    <w:p>
      <w:pPr>
        <w:spacing w:after="0" w:line="2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186"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or subsidiary goal achievement. In no event may the payout be more than 200% of the target.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FY2012, each Named Executive Officer’s CIP award was based on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gridSpan w:val="3"/>
          </w:tcPr>
          <w:p>
            <w:pPr>
              <w:spacing w:after="0"/>
              <w:rPr>
                <w:sz w:val="20"/>
                <w:szCs w:val="20"/>
                <w:color w:val="auto"/>
              </w:rPr>
            </w:pPr>
            <w:r>
              <w:rPr>
                <w:rFonts w:ascii="Arial" w:cs="Arial" w:eastAsia="Arial" w:hAnsi="Arial"/>
                <w:sz w:val="16"/>
                <w:szCs w:val="16"/>
                <w:color w:val="auto"/>
              </w:rPr>
              <w:t>Objective</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w w:val="88"/>
              </w:rPr>
              <w:t>Weight</w:t>
            </w: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Target</w:t>
            </w:r>
          </w:p>
        </w:tc>
        <w:tc>
          <w:tcPr>
            <w:tcW w:w="3520" w:type="dxa"/>
            <w:vAlign w:val="bottom"/>
            <w:gridSpan w:val="3"/>
          </w:tcPr>
          <w:p>
            <w:pPr>
              <w:ind w:left="1120"/>
              <w:spacing w:after="0"/>
              <w:rPr>
                <w:sz w:val="20"/>
                <w:szCs w:val="20"/>
                <w:color w:val="auto"/>
              </w:rPr>
            </w:pPr>
            <w:r>
              <w:rPr>
                <w:rFonts w:ascii="Arial" w:cs="Arial" w:eastAsia="Arial" w:hAnsi="Arial"/>
                <w:sz w:val="16"/>
                <w:szCs w:val="16"/>
                <w:color w:val="auto"/>
              </w:rPr>
              <w:t>Actual</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0"/>
        </w:trPr>
        <w:tc>
          <w:tcPr>
            <w:tcW w:w="2960" w:type="dxa"/>
            <w:vAlign w:val="bottom"/>
            <w:gridSpan w:val="3"/>
          </w:tcPr>
          <w:p>
            <w:pPr>
              <w:spacing w:after="0" w:line="180" w:lineRule="exact"/>
              <w:rPr>
                <w:sz w:val="20"/>
                <w:szCs w:val="20"/>
                <w:color w:val="auto"/>
              </w:rPr>
            </w:pPr>
            <w:r>
              <w:rPr>
                <w:rFonts w:ascii="Arial" w:cs="Arial" w:eastAsia="Arial" w:hAnsi="Arial"/>
                <w:sz w:val="16"/>
                <w:szCs w:val="16"/>
                <w:color w:val="auto"/>
              </w:rPr>
              <w:t>Economic Profit (defined as earnings in</w:t>
            </w:r>
          </w:p>
        </w:tc>
        <w:tc>
          <w:tcPr>
            <w:tcW w:w="460" w:type="dxa"/>
            <w:vAlign w:val="bottom"/>
          </w:tcPr>
          <w:p>
            <w:pPr>
              <w:jc w:val="right"/>
              <w:spacing w:after="0" w:line="180" w:lineRule="exact"/>
              <w:rPr>
                <w:sz w:val="20"/>
                <w:szCs w:val="20"/>
                <w:color w:val="auto"/>
              </w:rPr>
            </w:pPr>
            <w:r>
              <w:rPr>
                <w:rFonts w:ascii="Arial" w:cs="Arial" w:eastAsia="Arial" w:hAnsi="Arial"/>
                <w:sz w:val="16"/>
                <w:szCs w:val="16"/>
                <w:color w:val="auto"/>
              </w:rPr>
              <w:t>70%</w:t>
            </w:r>
          </w:p>
        </w:tc>
        <w:tc>
          <w:tcPr>
            <w:tcW w:w="280" w:type="dxa"/>
            <w:vAlign w:val="bottom"/>
          </w:tcPr>
          <w:p>
            <w:pPr>
              <w:spacing w:after="0"/>
              <w:rPr>
                <w:sz w:val="15"/>
                <w:szCs w:val="15"/>
                <w:color w:val="auto"/>
              </w:rPr>
            </w:pPr>
          </w:p>
        </w:tc>
        <w:tc>
          <w:tcPr>
            <w:tcW w:w="4220" w:type="dxa"/>
            <w:vAlign w:val="bottom"/>
            <w:gridSpan w:val="3"/>
          </w:tcPr>
          <w:p>
            <w:pPr>
              <w:ind w:left="300"/>
              <w:spacing w:after="0" w:line="180" w:lineRule="exact"/>
              <w:rPr>
                <w:sz w:val="20"/>
                <w:szCs w:val="20"/>
                <w:color w:val="auto"/>
              </w:rPr>
            </w:pPr>
            <w:r>
              <w:rPr>
                <w:rFonts w:ascii="Arial" w:cs="Arial" w:eastAsia="Arial" w:hAnsi="Arial"/>
                <w:sz w:val="16"/>
                <w:szCs w:val="16"/>
                <w:color w:val="auto"/>
              </w:rPr>
              <w:t>Target: Economic Profit = $10,000,000</w:t>
            </w:r>
          </w:p>
        </w:tc>
        <w:tc>
          <w:tcPr>
            <w:tcW w:w="3520" w:type="dxa"/>
            <w:vAlign w:val="bottom"/>
            <w:gridSpan w:val="3"/>
          </w:tcPr>
          <w:p>
            <w:pPr>
              <w:ind w:left="1120"/>
              <w:spacing w:after="0" w:line="180" w:lineRule="exact"/>
              <w:rPr>
                <w:sz w:val="20"/>
                <w:szCs w:val="20"/>
                <w:color w:val="auto"/>
              </w:rPr>
            </w:pPr>
            <w:r>
              <w:rPr>
                <w:rFonts w:ascii="Arial" w:cs="Arial" w:eastAsia="Arial" w:hAnsi="Arial"/>
                <w:sz w:val="16"/>
                <w:szCs w:val="16"/>
                <w:color w:val="auto"/>
              </w:rPr>
              <w:t>Result= $13,173,153</w:t>
            </w:r>
          </w:p>
        </w:tc>
      </w:tr>
      <w:tr>
        <w:trPr>
          <w:trHeight w:val="192"/>
        </w:trPr>
        <w:tc>
          <w:tcPr>
            <w:tcW w:w="2960" w:type="dxa"/>
            <w:vAlign w:val="bottom"/>
            <w:gridSpan w:val="3"/>
          </w:tcPr>
          <w:p>
            <w:pPr>
              <w:spacing w:after="0"/>
              <w:rPr>
                <w:sz w:val="20"/>
                <w:szCs w:val="20"/>
                <w:color w:val="auto"/>
              </w:rPr>
            </w:pPr>
            <w:r>
              <w:rPr>
                <w:rFonts w:ascii="Arial" w:cs="Arial" w:eastAsia="Arial" w:hAnsi="Arial"/>
                <w:sz w:val="16"/>
                <w:szCs w:val="16"/>
                <w:color w:val="auto"/>
              </w:rPr>
              <w:t>excess of the Company’s cost of capital)</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Threshold: Economic Profit = $5,000,000</w:t>
            </w:r>
          </w:p>
        </w:tc>
        <w:tc>
          <w:tcPr>
            <w:tcW w:w="3520" w:type="dxa"/>
            <w:vAlign w:val="bottom"/>
            <w:gridSpan w:val="3"/>
          </w:tcPr>
          <w:p>
            <w:pPr>
              <w:ind w:left="1120"/>
              <w:spacing w:after="0"/>
              <w:rPr>
                <w:sz w:val="20"/>
                <w:szCs w:val="20"/>
                <w:color w:val="auto"/>
              </w:rPr>
            </w:pPr>
            <w:r>
              <w:rPr>
                <w:rFonts w:ascii="Arial" w:cs="Arial" w:eastAsia="Arial" w:hAnsi="Arial"/>
                <w:sz w:val="16"/>
                <w:szCs w:val="16"/>
                <w:color w:val="auto"/>
              </w:rPr>
              <w:t>Payment = 163.5% of</w:t>
            </w:r>
          </w:p>
        </w:tc>
      </w:tr>
      <w:tr>
        <w:trPr>
          <w:trHeight w:val="20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Maximum: Economic Profit = $15,000,000</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ind w:left="340"/>
              <w:spacing w:after="0"/>
              <w:rPr>
                <w:sz w:val="20"/>
                <w:szCs w:val="20"/>
                <w:color w:val="auto"/>
              </w:rPr>
            </w:pPr>
            <w:r>
              <w:rPr>
                <w:rFonts w:ascii="Arial" w:cs="Arial" w:eastAsia="Arial" w:hAnsi="Arial"/>
                <w:sz w:val="16"/>
                <w:szCs w:val="16"/>
                <w:color w:val="auto"/>
              </w:rPr>
              <w:t>Target</w:t>
            </w:r>
          </w:p>
        </w:tc>
      </w:tr>
      <w:tr>
        <w:trPr>
          <w:trHeight w:val="196"/>
        </w:trPr>
        <w:tc>
          <w:tcPr>
            <w:tcW w:w="62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2940" w:type="dxa"/>
            <w:vAlign w:val="bottom"/>
            <w:tcBorders>
              <w:top w:val="single" w:sz="8" w:color="auto"/>
            </w:tcBorders>
            <w:gridSpan w:val="2"/>
          </w:tcPr>
          <w:p>
            <w:pPr>
              <w:spacing w:after="0" w:line="180" w:lineRule="exact"/>
              <w:rPr>
                <w:sz w:val="20"/>
                <w:szCs w:val="20"/>
                <w:color w:val="auto"/>
              </w:rPr>
            </w:pPr>
            <w:r>
              <w:rPr>
                <w:rFonts w:ascii="Arial" w:cs="Arial" w:eastAsia="Arial" w:hAnsi="Arial"/>
                <w:sz w:val="16"/>
                <w:szCs w:val="16"/>
                <w:color w:val="auto"/>
                <w:w w:val="91"/>
              </w:rPr>
              <w:t>Inventory (as a percentage of sales revenue)</w:t>
            </w:r>
          </w:p>
        </w:tc>
        <w:tc>
          <w:tcPr>
            <w:tcW w:w="4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15%</w:t>
            </w:r>
          </w:p>
        </w:tc>
        <w:tc>
          <w:tcPr>
            <w:tcW w:w="28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gridSpan w:val="3"/>
          </w:tcPr>
          <w:p>
            <w:pPr>
              <w:ind w:left="300"/>
              <w:spacing w:after="0" w:line="180" w:lineRule="exact"/>
              <w:rPr>
                <w:sz w:val="20"/>
                <w:szCs w:val="20"/>
                <w:color w:val="auto"/>
              </w:rPr>
            </w:pPr>
            <w:r>
              <w:rPr>
                <w:rFonts w:ascii="Arial" w:cs="Arial" w:eastAsia="Arial" w:hAnsi="Arial"/>
                <w:sz w:val="16"/>
                <w:szCs w:val="16"/>
                <w:color w:val="auto"/>
              </w:rPr>
              <w:t>Target = 28%</w:t>
            </w:r>
          </w:p>
        </w:tc>
        <w:tc>
          <w:tcPr>
            <w:tcW w:w="3520" w:type="dxa"/>
            <w:vAlign w:val="bottom"/>
            <w:tcBorders>
              <w:top w:val="single" w:sz="8" w:color="auto"/>
            </w:tcBorders>
            <w:gridSpan w:val="3"/>
          </w:tcPr>
          <w:p>
            <w:pPr>
              <w:ind w:left="1120"/>
              <w:spacing w:after="0" w:line="180" w:lineRule="exact"/>
              <w:rPr>
                <w:sz w:val="20"/>
                <w:szCs w:val="20"/>
                <w:color w:val="auto"/>
              </w:rPr>
            </w:pPr>
            <w:r>
              <w:rPr>
                <w:rFonts w:ascii="Arial" w:cs="Arial" w:eastAsia="Arial" w:hAnsi="Arial"/>
                <w:sz w:val="16"/>
                <w:szCs w:val="16"/>
                <w:color w:val="auto"/>
              </w:rPr>
              <w:t>Result = 29.0%</w:t>
            </w: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Threshold = 30%</w:t>
            </w:r>
          </w:p>
        </w:tc>
        <w:tc>
          <w:tcPr>
            <w:tcW w:w="3520" w:type="dxa"/>
            <w:vAlign w:val="bottom"/>
            <w:gridSpan w:val="3"/>
          </w:tcPr>
          <w:p>
            <w:pPr>
              <w:ind w:left="1120"/>
              <w:spacing w:after="0"/>
              <w:rPr>
                <w:sz w:val="20"/>
                <w:szCs w:val="20"/>
                <w:color w:val="auto"/>
              </w:rPr>
            </w:pPr>
            <w:r>
              <w:rPr>
                <w:rFonts w:ascii="Arial" w:cs="Arial" w:eastAsia="Arial" w:hAnsi="Arial"/>
                <w:sz w:val="16"/>
                <w:szCs w:val="16"/>
                <w:color w:val="auto"/>
              </w:rPr>
              <w:t>Payment = 75.2% of</w:t>
            </w:r>
          </w:p>
        </w:tc>
      </w:tr>
      <w:tr>
        <w:trPr>
          <w:trHeight w:val="205"/>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Maximum = 26%</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ind w:left="340"/>
              <w:spacing w:after="0"/>
              <w:rPr>
                <w:sz w:val="20"/>
                <w:szCs w:val="20"/>
                <w:color w:val="auto"/>
              </w:rPr>
            </w:pPr>
            <w:r>
              <w:rPr>
                <w:rFonts w:ascii="Arial" w:cs="Arial" w:eastAsia="Arial" w:hAnsi="Arial"/>
                <w:sz w:val="16"/>
                <w:szCs w:val="16"/>
                <w:color w:val="auto"/>
              </w:rPr>
              <w:t>Target</w:t>
            </w:r>
          </w:p>
        </w:tc>
      </w:tr>
      <w:tr>
        <w:trPr>
          <w:trHeight w:val="196"/>
        </w:trPr>
        <w:tc>
          <w:tcPr>
            <w:tcW w:w="62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2940" w:type="dxa"/>
            <w:vAlign w:val="bottom"/>
            <w:tcBorders>
              <w:top w:val="single" w:sz="8" w:color="auto"/>
            </w:tcBorders>
            <w:gridSpan w:val="2"/>
          </w:tcPr>
          <w:p>
            <w:pPr>
              <w:spacing w:after="0" w:line="180" w:lineRule="exact"/>
              <w:rPr>
                <w:sz w:val="20"/>
                <w:szCs w:val="20"/>
                <w:color w:val="auto"/>
              </w:rPr>
            </w:pPr>
            <w:r>
              <w:rPr>
                <w:rFonts w:ascii="Arial" w:cs="Arial" w:eastAsia="Arial" w:hAnsi="Arial"/>
                <w:sz w:val="16"/>
                <w:szCs w:val="16"/>
                <w:color w:val="auto"/>
              </w:rPr>
              <w:t>Sales Revenue</w:t>
            </w:r>
          </w:p>
        </w:tc>
        <w:tc>
          <w:tcPr>
            <w:tcW w:w="4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15%</w:t>
            </w:r>
          </w:p>
        </w:tc>
        <w:tc>
          <w:tcPr>
            <w:tcW w:w="28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gridSpan w:val="3"/>
          </w:tcPr>
          <w:p>
            <w:pPr>
              <w:ind w:left="300"/>
              <w:spacing w:after="0" w:line="180" w:lineRule="exact"/>
              <w:rPr>
                <w:sz w:val="20"/>
                <w:szCs w:val="20"/>
                <w:color w:val="auto"/>
              </w:rPr>
            </w:pPr>
            <w:r>
              <w:rPr>
                <w:rFonts w:ascii="Arial" w:cs="Arial" w:eastAsia="Arial" w:hAnsi="Arial"/>
                <w:sz w:val="16"/>
                <w:szCs w:val="16"/>
                <w:color w:val="auto"/>
              </w:rPr>
              <w:t>Target = $341,000,000</w:t>
            </w:r>
          </w:p>
        </w:tc>
        <w:tc>
          <w:tcPr>
            <w:tcW w:w="3520" w:type="dxa"/>
            <w:vAlign w:val="bottom"/>
            <w:tcBorders>
              <w:top w:val="single" w:sz="8" w:color="auto"/>
            </w:tcBorders>
            <w:gridSpan w:val="3"/>
          </w:tcPr>
          <w:p>
            <w:pPr>
              <w:ind w:left="1120"/>
              <w:spacing w:after="0" w:line="180" w:lineRule="exact"/>
              <w:rPr>
                <w:sz w:val="20"/>
                <w:szCs w:val="20"/>
                <w:color w:val="auto"/>
              </w:rPr>
            </w:pPr>
            <w:r>
              <w:rPr>
                <w:rFonts w:ascii="Arial" w:cs="Arial" w:eastAsia="Arial" w:hAnsi="Arial"/>
                <w:sz w:val="16"/>
                <w:szCs w:val="16"/>
                <w:color w:val="auto"/>
              </w:rPr>
              <w:t>Result = $355,870,055</w:t>
            </w: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20" w:type="dxa"/>
            <w:vAlign w:val="bottom"/>
            <w:gridSpan w:val="3"/>
          </w:tcPr>
          <w:p>
            <w:pPr>
              <w:ind w:left="300"/>
              <w:spacing w:after="0"/>
              <w:rPr>
                <w:sz w:val="20"/>
                <w:szCs w:val="20"/>
                <w:color w:val="auto"/>
              </w:rPr>
            </w:pPr>
            <w:r>
              <w:rPr>
                <w:rFonts w:ascii="Arial" w:cs="Arial" w:eastAsia="Arial" w:hAnsi="Arial"/>
                <w:sz w:val="16"/>
                <w:szCs w:val="16"/>
                <w:color w:val="auto"/>
              </w:rPr>
              <w:t>Threshold = $326,000,000</w:t>
            </w:r>
          </w:p>
        </w:tc>
        <w:tc>
          <w:tcPr>
            <w:tcW w:w="3520" w:type="dxa"/>
            <w:vAlign w:val="bottom"/>
            <w:gridSpan w:val="3"/>
          </w:tcPr>
          <w:p>
            <w:pPr>
              <w:ind w:left="1120"/>
              <w:spacing w:after="0"/>
              <w:rPr>
                <w:sz w:val="20"/>
                <w:szCs w:val="20"/>
                <w:color w:val="auto"/>
              </w:rPr>
            </w:pPr>
            <w:r>
              <w:rPr>
                <w:rFonts w:ascii="Arial" w:cs="Arial" w:eastAsia="Arial" w:hAnsi="Arial"/>
                <w:sz w:val="16"/>
                <w:szCs w:val="16"/>
                <w:color w:val="auto"/>
              </w:rPr>
              <w:t>Payment = 192.9% of</w:t>
            </w:r>
          </w:p>
        </w:tc>
      </w:tr>
      <w:tr>
        <w:trPr>
          <w:trHeight w:val="209"/>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color w:val="auto"/>
              </w:rPr>
              <w:t>Maximum = $357,000,000</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Target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For FY2012, the target bonus percentages of base salary were 70% for Mr. M. Batten, 50% for Messrs. J. Batten, Eperjesy and Feiertag, and 40% for Mr. Bratel.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above formulas and the Corporation’s performance, the CIP paid at 155% of the target bonus percentages. As a result, Mr. M. Batten received a CIP bonus of $623,875</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($575,000 base salary x 155% x 70%); Mr. J. Batten received a CIP bonus of $255,750 ($330,000 base salary x 155% x 50%); Mr. Eperjesy received a CIP bonus of $234,825</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($303,000 base salary x 155% x 50%); Mr. Feiertag received a CIP bonus of $233,275 ($301,000 base salary x 155% x 50%); and Mr. Bratel received a CIP bonus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$127,720 ($206,000 base salary x 155% x 40%).</w:t>
      </w:r>
    </w:p>
    <w:p>
      <w:pPr>
        <w:spacing w:after="0" w:line="212"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CEO, if the executive’s individual performance goals are either exceeded or not achieved and other factors deemed important by the Committee. The Committee alone makes decisions regarding the Chairman and CEO’s annual incentive award. The Committee made the following discretionary bonus awards under the CIP for FY2102: Mr. J. Batten, $12,788; Mr. Eperjesy, $11,741; Mr. Feiertag, $11,664; and Mr. Bratel, $12,772.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definitions are used in the calculations of “Economic Profit,” a key component of the CIP:</w:t>
      </w:r>
    </w:p>
    <w:p>
      <w:pPr>
        <w:spacing w:after="0" w:line="22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u w:val="single" w:color="auto"/>
          <w:color w:val="auto"/>
        </w:rPr>
        <w:t>Economic Profit</w:t>
      </w:r>
      <w:r>
        <w:rPr>
          <w:rFonts w:ascii="Arial" w:cs="Arial" w:eastAsia="Arial" w:hAnsi="Arial"/>
          <w:sz w:val="16"/>
          <w:szCs w:val="16"/>
          <w:color w:val="auto"/>
        </w:rPr>
        <w:t xml:space="preserve"> is defined as the return on investment in excess of the Cost of Capital. It is calculated by taking Net Operating Profit after Tax (“NOPAT”) less (or as a percentage of) a Capital Charge (Invested Capital x Cost of Capital).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Invested Capital</w:t>
      </w:r>
      <w:r>
        <w:rPr>
          <w:rFonts w:ascii="Arial" w:cs="Arial" w:eastAsia="Arial" w:hAnsi="Arial"/>
          <w:sz w:val="16"/>
          <w:szCs w:val="16"/>
          <w:color w:val="auto"/>
        </w:rPr>
        <w:t xml:space="preserve"> is defined as total assets less non-interest bearing liabilities less accrued retirement benefits.</w:t>
      </w:r>
    </w:p>
    <w:p>
      <w:pPr>
        <w:spacing w:after="0" w:line="224"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u w:val="single" w:color="auto"/>
          <w:color w:val="auto"/>
        </w:rPr>
        <w:t>Cost of Capital</w:t>
      </w:r>
      <w:r>
        <w:rPr>
          <w:rFonts w:ascii="Arial" w:cs="Arial" w:eastAsia="Arial" w:hAnsi="Arial"/>
          <w:sz w:val="16"/>
          <w:szCs w:val="16"/>
          <w:color w:val="auto"/>
        </w:rPr>
        <w:t xml:space="preserve"> is defined as the weighted average expectation of Twin Disc’s sources of capital, debt and equity. For FY2012, the cost of capital has been calculated at 10% (after taxes).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Committee reviewed and approved the performance goals recommended for the FY2013 CIP. The CIP will pay out if certain Economic Profit, inventory, and sales growth performance goals are achieved.</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Committee reviewed the recommendations and approved the target bonus percentages for each officer. The Committee discussed and determined the bonus percentage amount for Mr. M. Batten. For FY2013, the target bonus percentage of base salary will be 70% for Mr. M. Batten, 50% for Messrs. J. Batten, Eperjesy and Feiertag, and 40% for Mr. Bratel.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Incentive Compensation</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Twin Disc, Incorporated 2010 Long-Term Incentive Compensation Plan (“2010 LTI Plan”), which was approved by shareholders at the annual meeting in October 2010,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2"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Because of the limited number of outstanding shares and potential for ownership dilution, the long-term incentive program currently emphasizes the use of restricted stock, performance stock awards and performance stock unit awards, which typically require fewer shares to achieve a competitive, long-term incentive compensation opportunity than would otherwise be required if only stock options were granted.</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granting of performance stock and performance stock units encourages a pay for performance approach, aligning the interests of the executive with the economic goals of the Corporation and the shareholders. In order to promote greater equity ownership by the Named Executive Officers, the ratio of performance stock to performance stock units is usually approximately 2 to 1, except that Mr. M. Batten’s performance awards are heavily weighted in favor of performance stock units in light of his significant ownership interest in the Corporation.</w:t>
      </w:r>
    </w:p>
    <w:p>
      <w:pPr>
        <w:spacing w:after="0" w:line="19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86" w:lineRule="exact"/>
        <w:rPr>
          <w:sz w:val="20"/>
          <w:szCs w:val="20"/>
          <w:color w:val="auto"/>
        </w:rPr>
      </w:pPr>
    </w:p>
    <w:p>
      <w:pPr>
        <w:ind w:right="580"/>
        <w:spacing w:after="0" w:line="351" w:lineRule="auto"/>
        <w:rPr>
          <w:sz w:val="20"/>
          <w:szCs w:val="20"/>
          <w:color w:val="auto"/>
        </w:rPr>
      </w:pPr>
      <w:r>
        <w:rPr>
          <w:rFonts w:ascii="Arial" w:cs="Arial" w:eastAsia="Arial" w:hAnsi="Arial"/>
          <w:sz w:val="14"/>
          <w:szCs w:val="14"/>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ectPr>
          <w:pgSz w:w="11900" w:h="16967" w:orient="portrait"/>
          <w:cols w:equalWidth="0" w:num="1">
            <w:col w:w="11440"/>
          </w:cols>
          <w:pgMar w:left="240" w:top="127" w:right="219" w:bottom="0" w:gutter="0" w:footer="0" w:header="0"/>
        </w:sectPr>
      </w:pPr>
    </w:p>
    <w:bookmarkStart w:id="21" w:name="page22"/>
    <w:bookmarkEnd w:id="21"/>
    <w:p>
      <w:pPr>
        <w:ind w:right="220"/>
        <w:spacing w:after="0" w:line="277" w:lineRule="auto"/>
        <w:rPr>
          <w:sz w:val="20"/>
          <w:szCs w:val="20"/>
          <w:color w:val="auto"/>
        </w:rPr>
      </w:pPr>
      <w:r>
        <w:rPr>
          <w:rFonts w:ascii="Arial" w:cs="Arial" w:eastAsia="Arial" w:hAnsi="Arial"/>
          <w:sz w:val="16"/>
          <w:szCs w:val="16"/>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Committee uses external consultants and survey information as a guideline when considering long-term incentive awards for management. They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18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FY2012, Mr. M. Batten received an award of performance stock units, and all of the other Named Executive Officers received awards of performance stock and performance stock units. In order for the performance stock and units to vest at target levels, the amount of the Corporation’s Economic Profit (cumulative net operating profit after taxes (“NOPAT”) less the Corporation’s cumulative capital charge) for the cumulative three fiscal-year period ending June 30, 2014 must be greater than or equal to $15,000,000. The maximum payout will occur if Economic Profit reaches $18,000,000; a threshold payout will occur if Economic Profit reaches $12,000,000. The maximum payout will be 120% of the shares or units granted. No shares will vest if performance is less than threshold.</w:t>
      </w:r>
    </w:p>
    <w:p>
      <w:pPr>
        <w:spacing w:after="0" w:line="192"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The Corporation’s capital charge is calculated by multiplying invested capital times the cost of capital. Invested capital is defined as total assets less non-interest bearing liabilities, less accrued retirement benefits. Cost of capital is defined as the weighted average expectation of Twin Disc’s sources of capital, debt and equity. For FY2013, the cost of capital has been calculated at 10%, after taxes.</w:t>
      </w:r>
    </w:p>
    <w:p>
      <w:pPr>
        <w:spacing w:after="0" w:line="18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order to incent and retain the Corporation’s executives, shares of restricted stock were also granted to all Named Executive Officers in FY2012. These shares will vest July 28, 2014 provided the executive remains employed with the Corporation until the vesting date.</w:t>
      </w:r>
    </w:p>
    <w:p>
      <w:pPr>
        <w:spacing w:after="0" w:line="176"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In July 2012, the Committee reviewed the performance objective established in July of 2009 for the vesting of performance stock and performance stock units granted in July 2009 under the Twin Disc, Incorporated 2004 Long-Term Incentive Compensation Plan. The objective is listed below:</w:t>
      </w:r>
    </w:p>
    <w:p>
      <w:pPr>
        <w:spacing w:after="0" w:line="176" w:lineRule="exact"/>
        <w:rPr>
          <w:sz w:val="20"/>
          <w:szCs w:val="20"/>
          <w:color w:val="auto"/>
        </w:rPr>
      </w:pPr>
    </w:p>
    <w:p>
      <w:pPr>
        <w:ind w:left="580" w:right="180"/>
        <w:spacing w:after="0" w:line="277" w:lineRule="auto"/>
        <w:rPr>
          <w:sz w:val="20"/>
          <w:szCs w:val="20"/>
          <w:color w:val="auto"/>
        </w:rPr>
      </w:pPr>
      <w:r>
        <w:rPr>
          <w:rFonts w:ascii="Arial" w:cs="Arial" w:eastAsia="Arial" w:hAnsi="Arial"/>
          <w:sz w:val="16"/>
          <w:szCs w:val="16"/>
          <w:color w:val="auto"/>
        </w:rPr>
        <w:t>The Performance Objective is the Company’s cumulative net operating profit after taxes measured as a percentage of the Company’s cumulative capital charge for the cumulative three fiscal year period ending June 30, 2012:</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Performance Objective as</w:t>
            </w:r>
          </w:p>
        </w:tc>
      </w:tr>
      <w:tr>
        <w:trPr>
          <w:trHeight w:val="172"/>
        </w:trPr>
        <w:tc>
          <w:tcPr>
            <w:tcW w:w="4380" w:type="dxa"/>
            <w:vAlign w:val="bottom"/>
          </w:tcPr>
          <w:p>
            <w:pPr>
              <w:spacing w:after="0"/>
              <w:rPr>
                <w:sz w:val="14"/>
                <w:szCs w:val="14"/>
                <w:color w:val="auto"/>
              </w:rPr>
            </w:pPr>
          </w:p>
        </w:tc>
        <w:tc>
          <w:tcPr>
            <w:tcW w:w="1660" w:type="dxa"/>
            <w:vAlign w:val="bottom"/>
            <w:gridSpan w:val="2"/>
          </w:tcPr>
          <w:p>
            <w:pPr>
              <w:spacing w:after="0" w:line="172" w:lineRule="exact"/>
              <w:rPr>
                <w:sz w:val="20"/>
                <w:szCs w:val="20"/>
                <w:color w:val="auto"/>
              </w:rPr>
            </w:pPr>
            <w:r>
              <w:rPr>
                <w:rFonts w:ascii="Arial" w:cs="Arial" w:eastAsia="Arial" w:hAnsi="Arial"/>
                <w:sz w:val="16"/>
                <w:szCs w:val="16"/>
                <w:color w:val="auto"/>
              </w:rPr>
              <w:t>of June 30, 2012</w:t>
            </w:r>
          </w:p>
        </w:tc>
      </w:tr>
      <w:tr>
        <w:trPr>
          <w:trHeight w:val="388"/>
        </w:trPr>
        <w:tc>
          <w:tcPr>
            <w:tcW w:w="4380" w:type="dxa"/>
            <w:vAlign w:val="bottom"/>
          </w:tcPr>
          <w:p>
            <w:pPr>
              <w:spacing w:after="0"/>
              <w:rPr>
                <w:sz w:val="20"/>
                <w:szCs w:val="20"/>
                <w:color w:val="auto"/>
              </w:rPr>
            </w:pPr>
            <w:r>
              <w:rPr>
                <w:rFonts w:ascii="Arial" w:cs="Arial" w:eastAsia="Arial" w:hAnsi="Arial"/>
                <w:sz w:val="16"/>
                <w:szCs w:val="16"/>
                <w:color w:val="auto"/>
              </w:rPr>
              <w:t>Maximum</w:t>
            </w:r>
          </w:p>
        </w:tc>
        <w:tc>
          <w:tcPr>
            <w:tcW w:w="10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120%</w:t>
            </w:r>
          </w:p>
        </w:tc>
        <w:tc>
          <w:tcPr>
            <w:tcW w:w="580" w:type="dxa"/>
            <w:vAlign w:val="bottom"/>
          </w:tcPr>
          <w:p>
            <w:pPr>
              <w:spacing w:after="0"/>
              <w:rPr>
                <w:sz w:val="24"/>
                <w:szCs w:val="24"/>
                <w:color w:val="auto"/>
              </w:rPr>
            </w:pPr>
          </w:p>
        </w:tc>
      </w:tr>
      <w:tr>
        <w:trPr>
          <w:trHeight w:val="192"/>
        </w:trPr>
        <w:tc>
          <w:tcPr>
            <w:tcW w:w="4380" w:type="dxa"/>
            <w:vAlign w:val="bottom"/>
          </w:tcPr>
          <w:p>
            <w:pPr>
              <w:spacing w:after="0"/>
              <w:rPr>
                <w:sz w:val="20"/>
                <w:szCs w:val="20"/>
                <w:color w:val="auto"/>
              </w:rPr>
            </w:pPr>
            <w:r>
              <w:rPr>
                <w:rFonts w:ascii="Arial" w:cs="Arial" w:eastAsia="Arial" w:hAnsi="Arial"/>
                <w:sz w:val="16"/>
                <w:szCs w:val="16"/>
                <w:color w:val="auto"/>
              </w:rPr>
              <w:t>Target</w:t>
            </w:r>
          </w:p>
        </w:tc>
        <w:tc>
          <w:tcPr>
            <w:tcW w:w="1080" w:type="dxa"/>
            <w:vAlign w:val="bottom"/>
          </w:tcPr>
          <w:p>
            <w:pPr>
              <w:spacing w:after="0"/>
              <w:rPr>
                <w:sz w:val="20"/>
                <w:szCs w:val="20"/>
                <w:color w:val="auto"/>
              </w:rPr>
            </w:pPr>
            <w:r>
              <w:rPr>
                <w:rFonts w:ascii="Arial" w:cs="Arial" w:eastAsia="Arial" w:hAnsi="Arial"/>
                <w:sz w:val="16"/>
                <w:szCs w:val="16"/>
                <w:color w:val="auto"/>
              </w:rPr>
              <w:t>100%</w:t>
            </w:r>
          </w:p>
        </w:tc>
        <w:tc>
          <w:tcPr>
            <w:tcW w:w="580" w:type="dxa"/>
            <w:vAlign w:val="bottom"/>
          </w:tcPr>
          <w:p>
            <w:pPr>
              <w:spacing w:after="0"/>
              <w:rPr>
                <w:sz w:val="16"/>
                <w:szCs w:val="16"/>
                <w:color w:val="auto"/>
              </w:rPr>
            </w:pPr>
          </w:p>
        </w:tc>
      </w:tr>
      <w:tr>
        <w:trPr>
          <w:trHeight w:val="205"/>
        </w:trPr>
        <w:tc>
          <w:tcPr>
            <w:tcW w:w="4380" w:type="dxa"/>
            <w:vAlign w:val="bottom"/>
          </w:tcPr>
          <w:p>
            <w:pPr>
              <w:spacing w:after="0"/>
              <w:rPr>
                <w:sz w:val="20"/>
                <w:szCs w:val="20"/>
                <w:color w:val="auto"/>
              </w:rPr>
            </w:pPr>
            <w:r>
              <w:rPr>
                <w:rFonts w:ascii="Arial" w:cs="Arial" w:eastAsia="Arial" w:hAnsi="Arial"/>
                <w:sz w:val="16"/>
                <w:szCs w:val="16"/>
                <w:color w:val="auto"/>
              </w:rPr>
              <w:t>Threshold</w:t>
            </w:r>
          </w:p>
        </w:tc>
        <w:tc>
          <w:tcPr>
            <w:tcW w:w="1080" w:type="dxa"/>
            <w:vAlign w:val="bottom"/>
          </w:tcPr>
          <w:p>
            <w:pPr>
              <w:spacing w:after="0"/>
              <w:rPr>
                <w:sz w:val="20"/>
                <w:szCs w:val="20"/>
                <w:color w:val="auto"/>
              </w:rPr>
            </w:pPr>
            <w:r>
              <w:rPr>
                <w:rFonts w:ascii="Arial" w:cs="Arial" w:eastAsia="Arial" w:hAnsi="Arial"/>
                <w:sz w:val="16"/>
                <w:szCs w:val="16"/>
                <w:color w:val="auto"/>
              </w:rPr>
              <w:t>80%</w:t>
            </w:r>
          </w:p>
        </w:tc>
        <w:tc>
          <w:tcPr>
            <w:tcW w:w="580" w:type="dxa"/>
            <w:vAlign w:val="bottom"/>
          </w:tcPr>
          <w:p>
            <w:pPr>
              <w:spacing w:after="0"/>
              <w:rPr>
                <w:sz w:val="17"/>
                <w:szCs w:val="17"/>
                <w:color w:val="auto"/>
              </w:rPr>
            </w:pPr>
          </w:p>
        </w:tc>
      </w:tr>
    </w:tbl>
    <w:p>
      <w:pPr>
        <w:spacing w:after="0" w:line="180"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The Committee determined, subject to audit, that the Company’s cumulative net operating profit after taxes measured as a percentage of the cumulative capital charge for the cumulative three year period ending June 30, 2012 achieved a percentage of 134%. As a result, both the performance stock and performance stock units granted to Named Executive Officers in July 2009 vested at the maximum amount.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Qualified Retirement Plans</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u w:val="single" w:color="auto"/>
          <w:color w:val="auto"/>
        </w:rPr>
        <w:t>The Twin Disc, Incorporated Retirement Savings Plan for Salaried Employees</w:t>
      </w:r>
      <w:r>
        <w:rPr>
          <w:rFonts w:ascii="Arial" w:cs="Arial" w:eastAsia="Arial" w:hAnsi="Arial"/>
          <w:sz w:val="16"/>
          <w:szCs w:val="16"/>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w:t>
      </w:r>
    </w:p>
    <w:p>
      <w:pPr>
        <w:spacing w:after="0" w:line="186"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Savings Plan does not allow employee contributions. Employer contributions, which are made annually, are immediately 100% vested.</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u w:val="single" w:color="auto"/>
          <w:color w:val="auto"/>
        </w:rPr>
        <w:t>The Twin Disc, Incorporated Retirement Plan for Salaried Employees</w:t>
      </w:r>
      <w:r>
        <w:rPr>
          <w:rFonts w:ascii="Arial" w:cs="Arial" w:eastAsia="Arial" w:hAnsi="Arial"/>
          <w:sz w:val="16"/>
          <w:szCs w:val="16"/>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and Mr. Bratel are the only Named Executive Officers eligible for an accrued benefit under the Retirement Plan with 27 years and 9.5 years, respectively, of pre-January 1, 1997 credited service.</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u w:val="single" w:color="auto"/>
          <w:color w:val="auto"/>
        </w:rPr>
        <w:t>The Twin Disc, Incorporated – The Accelerator 401(k) Savings Plan (“401(k) Plan”)</w:t>
      </w:r>
      <w:r>
        <w:rPr>
          <w:rFonts w:ascii="Arial" w:cs="Arial" w:eastAsia="Arial" w:hAnsi="Arial"/>
          <w:sz w:val="16"/>
          <w:szCs w:val="16"/>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Supplemental Executive Retirement Plan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extends a supplemental retirement plan, called the Twin Disc, Incorporated, Supplemental Executive Retirement Plan (“SERP”), to qualified</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officers. Historically the SERP has provided benefits in excess of what the SERP participants would have received under the Company’s defined benefit pension plan, but for certain limits under the Internal Revenue Code. For those who were participants in the plan before January 1, 1998 (only Mr. M. Batten), the SERP benefit was calculated as an annual benefit approximating 50% of highest rate of pay (salary plus bonus) attained during a specified period, minus amounts accrued under the Corporation’s qualified defined benefit plan. The plan also preserved the level of benefits that had accrued prior to 1998. For those who became participants after January 1, 1998 (including Mr. J. Batten, Mr.</w:t>
      </w:r>
    </w:p>
    <w:p>
      <w:pPr>
        <w:sectPr>
          <w:pgSz w:w="11900" w:h="16838" w:orient="portrait"/>
          <w:cols w:equalWidth="0" w:num="1">
            <w:col w:w="11400"/>
          </w:cols>
          <w:pgMar w:left="240" w:top="343" w:right="259" w:bottom="0" w:gutter="0" w:footer="0" w:header="0"/>
        </w:sectPr>
      </w:pPr>
    </w:p>
    <w:bookmarkStart w:id="22" w:name="page23"/>
    <w:bookmarkEnd w:id="22"/>
    <w:p>
      <w:pPr>
        <w:ind w:right="440"/>
        <w:spacing w:after="0" w:line="264" w:lineRule="auto"/>
        <w:rPr>
          <w:sz w:val="20"/>
          <w:szCs w:val="20"/>
          <w:color w:val="auto"/>
        </w:rPr>
      </w:pPr>
      <w:r>
        <w:rPr>
          <w:rFonts w:ascii="Arial" w:cs="Arial" w:eastAsia="Arial" w:hAnsi="Arial"/>
          <w:sz w:val="16"/>
          <w:szCs w:val="16"/>
          <w:color w:val="auto"/>
        </w:rPr>
        <w:t>Eperjesy, Mr. Feiertag and Mr. Bratel) the SERP benefit was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w:t>
      </w:r>
    </w:p>
    <w:p>
      <w:pPr>
        <w:spacing w:after="0" w:line="186"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On July 29, 2010, the Corporation amended and restated the SERP to reflect changes to the qualified retirement plans offered to its officers. As mentioned above, on August 1, 2009 the Corporation froze its defined benefit plan and adopted a new defined contribution plan that covers its Named Executive Officers. The purpose of the SERP restatement was to refer to both the frozen defined benefit plan and the new defined contribution plan. Because the new defined contribution plan is an individual account plan, the SERP benefits of all Named Executive Officers except Mr. M. Batten were restated as individual accounts, based on the present value of their SERP benefits as of August 1, 2009. Mr. M. Batten is the only Named Executive Officer whose benefit under the Company’s frozen defined benefit plan includes amounts accrued under the frozen pension formula, and his SERP benefit continues to be expressed as a more traditional pension formula. The restated SERP also revises the formula to provide Mr. M. Batten a SERP benefit that is at least equal to the present value of his SERP benefit as of July 1, 2010, adjusted for certain interest credits through his retirement.</w:t>
      </w:r>
    </w:p>
    <w:p>
      <w:pPr>
        <w:spacing w:after="0" w:line="167"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Executive Life Insurance</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Corporation provides an endorsement split-dollar life insurance benefit to the US-based Named Executive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Change in Control Agreements</w:t>
      </w:r>
    </w:p>
    <w:p>
      <w:pPr>
        <w:spacing w:after="0" w:line="224"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The Corporation has change in control agreements with each of its executive officers. If a change in control occurs (as defined in the agreements) and the executive thereafter terminates employment under circumstances specified in the agreements, the executive is entitled to certain severance benefits. Severance benefits for Mr. M. Batten consist of the sum of his annual base salary (as defined in the agreement) in effect immediately prior to the circumstances giving rise to his termination, plus his most recent annual bonus, times a multiple of 2.5. Severance benefits for other Named Executive Officers would consist of the sum of the executive’s annual base salary (as defined in the agreements) in effect immediately prior to the circumstances giving rise to the executive’s termination, plus the executive’s most recent annual bonus, times a multiple which is the lesser of 2.0 (1.5 for Mr. Bratel) or the number of whole and fractional years between the termination date and the executive’s normal retirement date.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Other Personal Benefits and Perquisites</w:t>
      </w:r>
    </w:p>
    <w:p>
      <w:pPr>
        <w:spacing w:after="0" w:line="224" w:lineRule="exact"/>
        <w:rPr>
          <w:sz w:val="20"/>
          <w:szCs w:val="20"/>
          <w:color w:val="auto"/>
        </w:rPr>
      </w:pPr>
    </w:p>
    <w:p>
      <w:pPr>
        <w:ind w:right="40"/>
        <w:spacing w:after="0" w:line="319" w:lineRule="auto"/>
        <w:rPr>
          <w:sz w:val="20"/>
          <w:szCs w:val="20"/>
          <w:color w:val="auto"/>
        </w:rPr>
      </w:pPr>
      <w:r>
        <w:rPr>
          <w:rFonts w:ascii="Arial" w:cs="Arial" w:eastAsia="Arial" w:hAnsi="Arial"/>
          <w:sz w:val="14"/>
          <w:szCs w:val="14"/>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 Perquisites are included in the Summary Compensation Table and footnoted if their value exceeds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467360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Summary Compensation Table</w:t>
      </w:r>
    </w:p>
    <w:p>
      <w:pPr>
        <w:spacing w:after="0" w:line="228"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following table summarizes the “total compensation” of the Corporation’s Chief Executive Officer, Chief Financial Officer, and its three most highly compensated executive officers for the fiscal year ended June 30, 2012.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6445885</wp:posOffset>
            </wp:positionH>
            <wp:positionV relativeFrom="paragraph">
              <wp:posOffset>102870</wp:posOffset>
            </wp:positionV>
            <wp:extent cx="826135" cy="1024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6135" cy="1024890"/>
                    </a:xfrm>
                    <a:prstGeom prst="rect">
                      <a:avLst/>
                    </a:prstGeom>
                    <a:noFill/>
                  </pic:spPr>
                </pic:pic>
              </a:graphicData>
            </a:graphic>
          </wp:anchor>
        </w:drawing>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20" w:type="dxa"/>
            <w:vAlign w:val="bottom"/>
            <w:tcBorders>
              <w:top w:val="single" w:sz="8" w:color="auto"/>
              <w:left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(4)</w:t>
            </w:r>
          </w:p>
        </w:tc>
        <w:tc>
          <w:tcPr>
            <w:tcW w:w="114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Change in Pension</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Value and</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Nonqualified</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Deferred</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(5)</w:t>
            </w: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8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Non-Equity</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Compensation</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All Other</w:t>
            </w:r>
          </w:p>
        </w:tc>
        <w:tc>
          <w:tcPr>
            <w:tcW w:w="1240" w:type="dxa"/>
            <w:vAlign w:val="bottom"/>
          </w:tcPr>
          <w:p>
            <w:pPr>
              <w:spacing w:after="0"/>
              <w:rPr>
                <w:sz w:val="16"/>
                <w:szCs w:val="16"/>
                <w:color w:val="auto"/>
              </w:rPr>
            </w:pPr>
          </w:p>
        </w:tc>
      </w:tr>
      <w:tr>
        <w:trPr>
          <w:trHeight w:val="192"/>
        </w:trPr>
        <w:tc>
          <w:tcPr>
            <w:tcW w:w="202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w w:val="98"/>
              </w:rPr>
              <w:t>Name and Principal Position</w:t>
            </w:r>
          </w:p>
        </w:tc>
        <w:tc>
          <w:tcPr>
            <w:tcW w:w="7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right"/>
              <w:ind w:right="280"/>
              <w:spacing w:after="0"/>
              <w:rPr>
                <w:sz w:val="20"/>
                <w:szCs w:val="20"/>
                <w:color w:val="auto"/>
              </w:rPr>
            </w:pPr>
            <w:r>
              <w:rPr>
                <w:rFonts w:ascii="Arial" w:cs="Arial" w:eastAsia="Arial" w:hAnsi="Arial"/>
                <w:sz w:val="16"/>
                <w:szCs w:val="16"/>
                <w:color w:val="auto"/>
              </w:rPr>
              <w:t>(1)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Stock</w:t>
            </w:r>
          </w:p>
        </w:tc>
        <w:tc>
          <w:tcPr>
            <w:tcW w:w="8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Option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Incentive Plan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Earnings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Compens-</w:t>
            </w:r>
          </w:p>
        </w:tc>
        <w:tc>
          <w:tcPr>
            <w:tcW w:w="1240" w:type="dxa"/>
            <w:vAlign w:val="bottom"/>
          </w:tcPr>
          <w:p>
            <w:pPr>
              <w:spacing w:after="0"/>
              <w:rPr>
                <w:sz w:val="16"/>
                <w:szCs w:val="16"/>
                <w:color w:val="auto"/>
              </w:rPr>
            </w:pPr>
          </w:p>
        </w:tc>
      </w:tr>
      <w:tr>
        <w:trPr>
          <w:trHeight w:val="209"/>
        </w:trPr>
        <w:tc>
          <w:tcPr>
            <w:tcW w:w="2020" w:type="dxa"/>
            <w:vAlign w:val="bottom"/>
            <w:tcBorders>
              <w:left w:val="single" w:sz="8" w:color="auto"/>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Year</w:t>
            </w:r>
          </w:p>
        </w:tc>
        <w:tc>
          <w:tcPr>
            <w:tcW w:w="88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color w:val="auto"/>
              </w:rPr>
              <w:t>Salary</w:t>
            </w:r>
          </w:p>
        </w:tc>
        <w:tc>
          <w:tcPr>
            <w:tcW w:w="88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color w:val="auto"/>
              </w:rPr>
              <w:t>Bonus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Awards</w:t>
            </w:r>
          </w:p>
        </w:tc>
        <w:tc>
          <w:tcPr>
            <w:tcW w:w="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Awards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Compensation</w:t>
            </w:r>
          </w:p>
        </w:tc>
        <w:tc>
          <w:tcPr>
            <w:tcW w:w="12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ation</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Total</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Michael E. Batten</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$567,192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$658,215</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$623,875</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$232,495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$65,969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$2,147,746</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Chairman and Chief</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$546,000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$1,033,518</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$649,740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$266,250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$71,804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$2,567,312</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Executive Officer</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$477,731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$290,104</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$91,829</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$54,984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$914,648</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John H. Batten</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$321,923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$12,788</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$403,766</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$255,750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$4,726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$74,976</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$1,073,929</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President and Chief</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$581,808</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$255,000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$58,303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$1,229,532</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Operating Officer</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$279,808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$157,165</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$28,365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$48,309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$513,647</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Christopher J. Eperjesy</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$298,423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$11,741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$293,150</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$234,825</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$67,406</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$908,531</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Vice President – Finance,</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$286,000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$417,354</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$243,100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$3,297</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$57,825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$1,031,826</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CFO and Treasurer</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$269,654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$108,402</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$19,531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$45,391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$442,978</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James E. Feiertag</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$296,961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$11,664</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$281,324</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$233,275</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$4,142</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$90,363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$917,729</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$286,000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$24,250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$404,414</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$243,100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$73,434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$1,035,619</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$269,654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$108,402</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$20,221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$63,136</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$461,413</w:t>
            </w:r>
          </w:p>
        </w:tc>
      </w:tr>
      <w:tr>
        <w:trPr>
          <w:trHeight w:val="196"/>
        </w:trPr>
        <w:tc>
          <w:tcPr>
            <w:tcW w:w="20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Dean J. Bratel</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$201,692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$12,772</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$165,295</w:t>
            </w: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$127,720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$15,754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$56,627</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$579,860</w:t>
            </w: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Vice President –</w:t>
            </w: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r>
        <w:trPr>
          <w:trHeight w:val="196"/>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Engineering</w:t>
            </w:r>
          </w:p>
        </w:tc>
        <w:tc>
          <w:tcPr>
            <w:tcW w:w="7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r>
    </w:tbl>
    <w:p>
      <w:pPr>
        <w:spacing w:after="0" w:line="204" w:lineRule="exact"/>
        <w:rPr>
          <w:sz w:val="20"/>
          <w:szCs w:val="20"/>
          <w:color w:val="auto"/>
        </w:rPr>
      </w:pPr>
    </w:p>
    <w:p>
      <w:pPr>
        <w:ind w:left="280" w:right="20" w:hanging="262"/>
        <w:spacing w:after="0" w:line="277"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Discretionary bonuses awarded pursuant to the FY2012 and FY2011 Corporate Incentive Plans, approved by the Compensation Committee on July 26, 2012 and July 28, 2011, respectively.</w:t>
      </w:r>
    </w:p>
    <w:p>
      <w:pPr>
        <w:spacing w:after="0" w:line="175" w:lineRule="exact"/>
        <w:rPr>
          <w:rFonts w:ascii="Arial" w:cs="Arial" w:eastAsia="Arial" w:hAnsi="Arial"/>
          <w:sz w:val="16"/>
          <w:szCs w:val="16"/>
          <w:color w:val="auto"/>
        </w:rPr>
      </w:pPr>
    </w:p>
    <w:p>
      <w:pPr>
        <w:jc w:val="both"/>
        <w:ind w:left="280" w:hanging="262"/>
        <w:spacing w:after="0" w:line="256"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grant date fair value for each Named Executive Officer as reported in our audited financial statements. This value was computed in accordance with Financial Accounting Standards Board ASC Topic 718, excluding the effect of estimated forfeitures. The performance awards are calculated as of the grant date, based on the most probable outcomes of the respective performance goals. The assumptions made in the valuations are discussed in Footnote K to our 2012 financial statements. The grant date fair values of the performance-based awards granted in fiscal 2012, assuming the maximum performance goal is achieved, are as follows: Mr. M. Batten, $394,944; Mr. J. Batten, $242,289; Mr. Eperjesy, $175,897 Mr. Feiertag, $168,817; and Mr. Bratel, $99,236. These calculations are based on the closing share price on the date of grant of $37.07.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020" w:type="dxa"/>
            <w:vAlign w:val="bottom"/>
          </w:tcPr>
          <w:p>
            <w:pPr>
              <w:spacing w:after="0"/>
              <w:rPr>
                <w:sz w:val="20"/>
                <w:szCs w:val="20"/>
                <w:color w:val="auto"/>
              </w:rPr>
            </w:pPr>
            <w:r>
              <w:rPr>
                <w:rFonts w:ascii="Arial" w:cs="Arial" w:eastAsia="Arial" w:hAnsi="Arial"/>
                <w:sz w:val="16"/>
                <w:szCs w:val="16"/>
                <w:color w:val="auto"/>
              </w:rPr>
              <w:t>(2) cont.</w:t>
            </w:r>
          </w:p>
        </w:tc>
        <w:tc>
          <w:tcPr>
            <w:tcW w:w="10420" w:type="dxa"/>
            <w:vAlign w:val="bottom"/>
            <w:gridSpan w:val="5"/>
          </w:tcPr>
          <w:p>
            <w:pPr>
              <w:ind w:left="120"/>
              <w:spacing w:after="0"/>
              <w:rPr>
                <w:sz w:val="20"/>
                <w:szCs w:val="20"/>
                <w:color w:val="auto"/>
              </w:rPr>
            </w:pPr>
            <w:r>
              <w:rPr>
                <w:rFonts w:ascii="Arial" w:cs="Arial" w:eastAsia="Arial" w:hAnsi="Arial"/>
                <w:sz w:val="16"/>
                <w:szCs w:val="16"/>
                <w:color w:val="auto"/>
                <w:w w:val="95"/>
              </w:rPr>
              <w:t>The following table presents separately the compensation expense recognized in FY2012, 2011 and 2010 for outstanding awards of performance stock,</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0420" w:type="dxa"/>
            <w:vAlign w:val="bottom"/>
            <w:gridSpan w:val="5"/>
          </w:tcPr>
          <w:p>
            <w:pPr>
              <w:ind w:left="120"/>
              <w:spacing w:after="0"/>
              <w:rPr>
                <w:sz w:val="20"/>
                <w:szCs w:val="20"/>
                <w:color w:val="auto"/>
              </w:rPr>
            </w:pPr>
            <w:r>
              <w:rPr>
                <w:rFonts w:ascii="Arial" w:cs="Arial" w:eastAsia="Arial" w:hAnsi="Arial"/>
                <w:sz w:val="16"/>
                <w:szCs w:val="16"/>
                <w:color w:val="auto"/>
                <w:w w:val="91"/>
              </w:rPr>
              <w:t>performance stock units and restricted stock for Messrs. M. Batten, J. Batten, Eperjesy and Feiertag, and the compensation expense recognized in FY2012 for</w:t>
            </w: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7720" w:type="dxa"/>
            <w:vAlign w:val="bottom"/>
            <w:gridSpan w:val="4"/>
          </w:tcPr>
          <w:p>
            <w:pPr>
              <w:ind w:left="120"/>
              <w:spacing w:after="0"/>
              <w:rPr>
                <w:sz w:val="20"/>
                <w:szCs w:val="20"/>
                <w:color w:val="auto"/>
              </w:rPr>
            </w:pPr>
            <w:r>
              <w:rPr>
                <w:rFonts w:ascii="Arial" w:cs="Arial" w:eastAsia="Arial" w:hAnsi="Arial"/>
                <w:sz w:val="16"/>
                <w:szCs w:val="16"/>
                <w:color w:val="auto"/>
              </w:rPr>
              <w:t>outstanding awards of performance stock, performance stock units and restricted stock for Mr. Bratel:</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700" w:type="dxa"/>
            <w:vAlign w:val="bottom"/>
            <w:vMerge w:val="restart"/>
          </w:tcPr>
          <w:p>
            <w:pPr>
              <w:jc w:val="right"/>
              <w:ind w:right="760"/>
              <w:spacing w:after="0"/>
              <w:rPr>
                <w:sz w:val="20"/>
                <w:szCs w:val="20"/>
                <w:color w:val="auto"/>
              </w:rPr>
            </w:pPr>
            <w:r>
              <w:rPr>
                <w:rFonts w:ascii="Arial" w:cs="Arial" w:eastAsia="Arial" w:hAnsi="Arial"/>
                <w:sz w:val="16"/>
                <w:szCs w:val="16"/>
                <w:color w:val="auto"/>
              </w:rPr>
              <w:t>Restricted Stock</w:t>
            </w: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1260" w:type="dxa"/>
            <w:vAlign w:val="bottom"/>
            <w:tcBorders>
              <w:bottom w:val="single" w:sz="8" w:color="auto"/>
              <w:right w:val="single" w:sz="8" w:color="auto"/>
            </w:tcBorders>
          </w:tcPr>
          <w:p>
            <w:pPr>
              <w:jc w:val="right"/>
              <w:ind w:right="420"/>
              <w:spacing w:after="0"/>
              <w:rPr>
                <w:sz w:val="20"/>
                <w:szCs w:val="20"/>
                <w:color w:val="auto"/>
              </w:rPr>
            </w:pPr>
            <w:r>
              <w:rPr>
                <w:rFonts w:ascii="Arial" w:cs="Arial" w:eastAsia="Arial" w:hAnsi="Arial"/>
                <w:sz w:val="16"/>
                <w:szCs w:val="16"/>
                <w:color w:val="auto"/>
              </w:rPr>
              <w:t>Year</w:t>
            </w:r>
          </w:p>
        </w:tc>
        <w:tc>
          <w:tcPr>
            <w:tcW w:w="2060" w:type="dxa"/>
            <w:vAlign w:val="bottom"/>
            <w:tcBorders>
              <w:bottom w:val="single" w:sz="8" w:color="auto"/>
              <w:right w:val="single" w:sz="8" w:color="auto"/>
            </w:tcBorders>
          </w:tcPr>
          <w:p>
            <w:pPr>
              <w:jc w:val="right"/>
              <w:ind w:right="360"/>
              <w:spacing w:after="0"/>
              <w:rPr>
                <w:sz w:val="20"/>
                <w:szCs w:val="20"/>
                <w:color w:val="auto"/>
              </w:rPr>
            </w:pPr>
            <w:r>
              <w:rPr>
                <w:rFonts w:ascii="Arial" w:cs="Arial" w:eastAsia="Arial" w:hAnsi="Arial"/>
                <w:sz w:val="16"/>
                <w:szCs w:val="16"/>
                <w:color w:val="auto"/>
              </w:rPr>
              <w:t>Performance Stock</w:t>
            </w:r>
          </w:p>
        </w:tc>
        <w:tc>
          <w:tcPr>
            <w:tcW w:w="28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Performance Stock Units</w:t>
            </w: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Michael E. Batten</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($389,048)</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$306,691</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$2,555,662</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$188,108</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$90,618</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w w:val="94"/>
              </w:rPr>
              <w:t>John H. Batten</w:t>
            </w: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$212,429</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($61,922)</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$192,862</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$223,199</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$430,581</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$135,257</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$66,595</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Christopher J. Eperjesy</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$148,132</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($42,364)</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$141,314</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$153,942</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$296,992</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$103,638</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$51,269</w:t>
            </w:r>
          </w:p>
        </w:tc>
        <w:tc>
          <w:tcPr>
            <w:tcW w:w="0" w:type="dxa"/>
            <w:vAlign w:val="bottom"/>
          </w:tcPr>
          <w:p>
            <w:pPr>
              <w:spacing w:after="0"/>
              <w:rPr>
                <w:sz w:val="1"/>
                <w:szCs w:val="1"/>
                <w:color w:val="auto"/>
              </w:rPr>
            </w:pPr>
          </w:p>
        </w:tc>
      </w:tr>
      <w:tr>
        <w:trPr>
          <w:trHeight w:val="196"/>
        </w:trPr>
        <w:tc>
          <w:tcPr>
            <w:tcW w:w="256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James E. Feiertag</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$146,827</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($42,647)</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$135,002</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$153,942</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$296,992</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$99,666</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$51,269</w:t>
            </w:r>
          </w:p>
        </w:tc>
        <w:tc>
          <w:tcPr>
            <w:tcW w:w="0" w:type="dxa"/>
            <w:vAlign w:val="bottom"/>
          </w:tcPr>
          <w:p>
            <w:pPr>
              <w:spacing w:after="0"/>
              <w:rPr>
                <w:sz w:val="1"/>
                <w:szCs w:val="1"/>
                <w:color w:val="auto"/>
              </w:rPr>
            </w:pPr>
          </w:p>
        </w:tc>
      </w:tr>
      <w:tr>
        <w:trPr>
          <w:trHeight w:val="196"/>
        </w:trPr>
        <w:tc>
          <w:tcPr>
            <w:tcW w:w="10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w w:val="98"/>
              </w:rPr>
              <w:t>Dean J. Bratel</w:t>
            </w:r>
          </w:p>
        </w:tc>
        <w:tc>
          <w:tcPr>
            <w:tcW w:w="15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2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$73,831</w:t>
            </w:r>
          </w:p>
        </w:tc>
        <w:tc>
          <w:tcPr>
            <w:tcW w:w="2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($19,756)</w:t>
            </w:r>
          </w:p>
        </w:tc>
        <w:tc>
          <w:tcPr>
            <w:tcW w:w="2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5522595</wp:posOffset>
            </wp:positionH>
            <wp:positionV relativeFrom="paragraph">
              <wp:posOffset>-1941830</wp:posOffset>
            </wp:positionV>
            <wp:extent cx="1749425" cy="17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9425" cy="170180"/>
                    </a:xfrm>
                    <a:prstGeom prst="rect">
                      <a:avLst/>
                    </a:prstGeom>
                    <a:noFill/>
                  </pic:spPr>
                </pic:pic>
              </a:graphicData>
            </a:graphic>
          </wp:anchor>
        </w:drawing>
      </w:r>
    </w:p>
    <w:p>
      <w:pPr>
        <w:spacing w:after="0" w:line="184" w:lineRule="exact"/>
        <w:rPr>
          <w:sz w:val="20"/>
          <w:szCs w:val="20"/>
          <w:color w:val="auto"/>
        </w:rPr>
      </w:pPr>
    </w:p>
    <w:p>
      <w:pPr>
        <w:ind w:left="280" w:right="20" w:hanging="262"/>
        <w:spacing w:after="0" w:line="295"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cash bonuses earned in connection with achievement of specific performance targets under the Corporate Incentive Plan, described under the “Annual Incentive Compensation” portion of the Compensation Discussion and Analysis, above. The Corporate Incentive Plan was suspended for FY2010 with no bonuses payable.</w:t>
      </w:r>
    </w:p>
    <w:p>
      <w:pPr>
        <w:spacing w:after="0" w:line="1" w:lineRule="exact"/>
        <w:rPr>
          <w:rFonts w:ascii="Arial" w:cs="Arial" w:eastAsia="Arial" w:hAnsi="Arial"/>
          <w:sz w:val="14"/>
          <w:szCs w:val="14"/>
          <w:color w:val="auto"/>
        </w:rPr>
      </w:pPr>
    </w:p>
    <w:p>
      <w:pPr>
        <w:ind w:left="280" w:hanging="262"/>
        <w:spacing w:after="0"/>
        <w:tabs>
          <w:tab w:leader="none" w:pos="2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figures for FY2012 include a change in qualified pension value amount for Mr. M. Batten ($130,800), Mr. J. Batten ($4,726), Mr. Eperjesy ($2,986), Mr. Feiertag</w:t>
      </w:r>
    </w:p>
    <w:p>
      <w:pPr>
        <w:sectPr>
          <w:pgSz w:w="11900" w:h="16838" w:orient="portrait"/>
          <w:cols w:equalWidth="0" w:num="1">
            <w:col w:w="11440"/>
          </w:cols>
          <w:pgMar w:left="240" w:top="471" w:right="219" w:bottom="0" w:gutter="0" w:footer="0" w:header="0"/>
        </w:sectPr>
      </w:pPr>
    </w:p>
    <w:bookmarkStart w:id="24" w:name="page25"/>
    <w:bookmarkEnd w:id="24"/>
    <w:p>
      <w:pPr>
        <w:ind w:left="280"/>
        <w:spacing w:after="0"/>
        <w:rPr>
          <w:sz w:val="20"/>
          <w:szCs w:val="20"/>
          <w:color w:val="auto"/>
        </w:rPr>
      </w:pPr>
      <w:r>
        <w:rPr>
          <w:rFonts w:ascii="Arial" w:cs="Arial" w:eastAsia="Arial" w:hAnsi="Arial"/>
          <w:sz w:val="16"/>
          <w:szCs w:val="16"/>
          <w:color w:val="auto"/>
        </w:rPr>
        <w:t>($4,142), and Mr. Bratel ($15,754). The remainder of Mr. M. Batten’s total represents a change in his nonqualified supplemental pension plan value.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(5) All Other Compensation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6423025</wp:posOffset>
            </wp:positionH>
            <wp:positionV relativeFrom="paragraph">
              <wp:posOffset>129540</wp:posOffset>
            </wp:positionV>
            <wp:extent cx="848995" cy="414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8995" cy="414655"/>
                    </a:xfrm>
                    <a:prstGeom prst="rect">
                      <a:avLst/>
                    </a:prstGeom>
                    <a:noFill/>
                  </pic:spPr>
                </pic:pic>
              </a:graphicData>
            </a:graphic>
          </wp:anchor>
        </w:drawing>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280" w:type="dxa"/>
            <w:vAlign w:val="bottom"/>
            <w:tcBorders>
              <w:top w:val="single" w:sz="8" w:color="auto"/>
              <w:left w:val="single" w:sz="8" w:color="auto"/>
              <w:right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401(k)</w:t>
            </w:r>
          </w:p>
        </w:tc>
        <w:tc>
          <w:tcPr>
            <w:tcW w:w="12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8"/>
              </w:rPr>
              <w:t>Retirement Savings</w:t>
            </w:r>
          </w:p>
        </w:tc>
        <w:tc>
          <w:tcPr>
            <w:tcW w:w="1720" w:type="dxa"/>
            <w:vAlign w:val="bottom"/>
            <w:tcBorders>
              <w:top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auto"/>
              </w:rPr>
              <w:t>Defined Contribution</w:t>
            </w:r>
          </w:p>
        </w:tc>
        <w:tc>
          <w:tcPr>
            <w:tcW w:w="114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92"/>
        </w:trPr>
        <w:tc>
          <w:tcPr>
            <w:tcW w:w="128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Company</w:t>
            </w: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6"/>
              </w:rPr>
              <w:t>Plan Contribution</w:t>
            </w:r>
          </w:p>
        </w:tc>
        <w:tc>
          <w:tcPr>
            <w:tcW w:w="1720" w:type="dxa"/>
            <w:vAlign w:val="bottom"/>
            <w:tcBorders>
              <w:right w:val="single" w:sz="8" w:color="auto"/>
            </w:tcBorders>
          </w:tcPr>
          <w:p>
            <w:pPr>
              <w:jc w:val="right"/>
              <w:ind w:right="600"/>
              <w:spacing w:after="0"/>
              <w:rPr>
                <w:sz w:val="20"/>
                <w:szCs w:val="20"/>
                <w:color w:val="auto"/>
              </w:rPr>
            </w:pPr>
            <w:r>
              <w:rPr>
                <w:rFonts w:ascii="Arial" w:cs="Arial" w:eastAsia="Arial" w:hAnsi="Arial"/>
                <w:sz w:val="16"/>
                <w:szCs w:val="16"/>
                <w:color w:val="auto"/>
              </w:rPr>
              <w:t>SERP</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1"/>
              </w:rPr>
              <w:t>Personal Use of</w:t>
            </w:r>
          </w:p>
        </w:tc>
        <w:tc>
          <w:tcPr>
            <w:tcW w:w="10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9"/>
        </w:trPr>
        <w:tc>
          <w:tcPr>
            <w:tcW w:w="128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Name</w:t>
            </w:r>
          </w:p>
        </w:tc>
        <w:tc>
          <w:tcPr>
            <w:tcW w:w="72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6"/>
                <w:szCs w:val="16"/>
                <w:color w:val="auto"/>
              </w:rPr>
              <w:t>Year</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Match</w:t>
            </w:r>
          </w:p>
        </w:tc>
        <w:tc>
          <w:tcPr>
            <w:tcW w:w="128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200"/>
              <w:spacing w:after="0"/>
              <w:rPr>
                <w:sz w:val="20"/>
                <w:szCs w:val="20"/>
                <w:color w:val="auto"/>
              </w:rPr>
            </w:pPr>
            <w:r>
              <w:rPr>
                <w:rFonts w:ascii="Arial" w:cs="Arial" w:eastAsia="Arial" w:hAnsi="Arial"/>
                <w:sz w:val="16"/>
                <w:szCs w:val="16"/>
                <w:color w:val="auto"/>
              </w:rPr>
              <w:t>Co. Plane</w:t>
            </w:r>
          </w:p>
        </w:tc>
        <w:tc>
          <w:tcPr>
            <w:tcW w:w="100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6"/>
                <w:szCs w:val="16"/>
                <w:color w:val="auto"/>
              </w:rPr>
              <w:t>Dues</w:t>
            </w:r>
          </w:p>
        </w:tc>
        <w:tc>
          <w:tcPr>
            <w:tcW w:w="114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w w:val="99"/>
              </w:rPr>
              <w:t>Life Insurance</w:t>
            </w: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420"/>
              <w:spacing w:after="0"/>
              <w:rPr>
                <w:sz w:val="20"/>
                <w:szCs w:val="20"/>
                <w:color w:val="auto"/>
              </w:rPr>
            </w:pPr>
            <w:r>
              <w:rPr>
                <w:rFonts w:ascii="Arial" w:cs="Arial" w:eastAsia="Arial" w:hAnsi="Arial"/>
                <w:sz w:val="16"/>
                <w:szCs w:val="16"/>
                <w:color w:val="auto"/>
              </w:rPr>
              <w:t>Total</w:t>
            </w:r>
          </w:p>
        </w:tc>
      </w:tr>
      <w:tr>
        <w:trPr>
          <w:trHeight w:val="196"/>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$7,713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$15,925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$2,791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$29,502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$65,969</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$15,925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$10,649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$5,544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$29,502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$1,946</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$71,804</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$6,462</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$9,131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$29,502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$54,984</w:t>
            </w:r>
          </w:p>
        </w:tc>
      </w:tr>
      <w:tr>
        <w:trPr>
          <w:trHeight w:val="196"/>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J.H. Batten</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$7,800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$13,475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$19,081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$1,734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$74,976</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$7,665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$13,475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$58,303</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$7,035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$4,019</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$4,688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$29,000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$48,309</w:t>
            </w:r>
          </w:p>
        </w:tc>
      </w:tr>
      <w:tr>
        <w:trPr>
          <w:trHeight w:val="196"/>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C.J. Eperjesy</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$11,025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$14,052</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$32,350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$67,406</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$7,590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$11,025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$2,522</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$32,350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$57,825</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$5,587</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$32,350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$45,391</w:t>
            </w:r>
          </w:p>
        </w:tc>
      </w:tr>
      <w:tr>
        <w:trPr>
          <w:trHeight w:val="196"/>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J.E. Feiertag</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$7,575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$13,475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$17,475</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$48,242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$2,834</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$90,363</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$7,605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$13,475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$48,242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$2,113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$73,434</w:t>
            </w:r>
          </w:p>
        </w:tc>
      </w:tr>
      <w:tr>
        <w:trPr>
          <w:trHeight w:val="196"/>
        </w:trPr>
        <w:tc>
          <w:tcPr>
            <w:tcW w:w="128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$7,095</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$48,242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$2,113</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$63,136</w:t>
            </w:r>
          </w:p>
        </w:tc>
      </w:tr>
      <w:tr>
        <w:trPr>
          <w:trHeight w:val="196"/>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D.J. Bratel</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$6,051</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$15,925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$6,233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$26,660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$56,627</w:t>
            </w:r>
          </w:p>
        </w:tc>
      </w:tr>
    </w:tbl>
    <w:p>
      <w:pPr>
        <w:spacing w:after="0" w:line="204" w:lineRule="exact"/>
        <w:rPr>
          <w:sz w:val="20"/>
          <w:szCs w:val="20"/>
          <w:color w:val="auto"/>
        </w:rPr>
      </w:pPr>
    </w:p>
    <w:p>
      <w:pPr>
        <w:ind w:left="280" w:right="20"/>
        <w:spacing w:after="0" w:line="289" w:lineRule="auto"/>
        <w:rPr>
          <w:sz w:val="20"/>
          <w:szCs w:val="20"/>
          <w:color w:val="auto"/>
        </w:rPr>
      </w:pPr>
      <w:r>
        <w:rPr>
          <w:rFonts w:ascii="Arial" w:cs="Arial" w:eastAsia="Arial" w:hAnsi="Arial"/>
          <w:sz w:val="15"/>
          <w:szCs w:val="15"/>
          <w:color w:val="auto"/>
        </w:rPr>
        <w:t>The Corporation’s Supplemental Executive Retirement Plan (“SERP”) was restated during FY2011 to provide a defined contribution formula for the benefits of Messrs. J. Batten, Eperjesy, Feiertag and Bratel. Mr. M. Batten’s benefit under the SERP continues to be expressed under a defined benefit formula, and the changes in his SERP benefit are reported in the “Change in Pension Value and Nonqualified Deferred Compensation Earnings” column in the Summary Compensation Table.</w:t>
      </w:r>
    </w:p>
    <w:p>
      <w:pPr>
        <w:spacing w:after="0" w:line="170" w:lineRule="exact"/>
        <w:rPr>
          <w:sz w:val="20"/>
          <w:szCs w:val="20"/>
          <w:color w:val="auto"/>
        </w:rPr>
      </w:pPr>
    </w:p>
    <w:p>
      <w:pPr>
        <w:ind w:left="280" w:right="580"/>
        <w:spacing w:after="0" w:line="277" w:lineRule="auto"/>
        <w:rPr>
          <w:sz w:val="20"/>
          <w:szCs w:val="20"/>
          <w:color w:val="auto"/>
        </w:rPr>
      </w:pPr>
      <w:r>
        <w:rPr>
          <w:rFonts w:ascii="Arial" w:cs="Arial" w:eastAsia="Arial" w:hAnsi="Arial"/>
          <w:sz w:val="16"/>
          <w:szCs w:val="16"/>
          <w:color w:val="auto"/>
        </w:rPr>
        <w:t>Amounts listed in the “Other” column for Messrs. M. Batten, J. Batten, Eperjesy, Feiertag and Bratel for FY2012, FY2011, and FY2010 represent premiums paid for supplemental long-term disability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467995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09"/>
        </w:trPr>
        <w:tc>
          <w:tcPr>
            <w:tcW w:w="2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Grants of Plan-Based Awards</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8"/>
        </w:trPr>
        <w:tc>
          <w:tcPr>
            <w:tcW w:w="8300" w:type="dxa"/>
            <w:vAlign w:val="bottom"/>
            <w:tcBorders>
              <w:bottom w:val="single" w:sz="8" w:color="auto"/>
            </w:tcBorders>
            <w:gridSpan w:val="10"/>
          </w:tcPr>
          <w:p>
            <w:pPr>
              <w:spacing w:after="0"/>
              <w:rPr>
                <w:sz w:val="20"/>
                <w:szCs w:val="20"/>
                <w:color w:val="auto"/>
              </w:rPr>
            </w:pPr>
            <w:r>
              <w:rPr>
                <w:rFonts w:ascii="Arial" w:cs="Arial" w:eastAsia="Arial" w:hAnsi="Arial"/>
                <w:sz w:val="16"/>
                <w:szCs w:val="16"/>
                <w:color w:val="auto"/>
                <w:w w:val="98"/>
              </w:rPr>
              <w:t>The following table provides information on incentive awards granted to our Named Executive Officers during FY2012.</w:t>
            </w:r>
          </w:p>
        </w:tc>
        <w:tc>
          <w:tcPr>
            <w:tcW w:w="1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158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64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Estimated Future Cash Incentive</w:t>
            </w:r>
          </w:p>
        </w:tc>
        <w:tc>
          <w:tcPr>
            <w:tcW w:w="22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Estimated Future Share or Unit</w:t>
            </w:r>
          </w:p>
        </w:tc>
        <w:tc>
          <w:tcPr>
            <w:tcW w:w="9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Payouts Under Non-Equity Incentive</w:t>
            </w:r>
          </w:p>
        </w:tc>
        <w:tc>
          <w:tcPr>
            <w:tcW w:w="22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Payouts Under Equity Incentive</w:t>
            </w:r>
          </w:p>
        </w:tc>
        <w:tc>
          <w:tcPr>
            <w:tcW w:w="9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3"/>
        </w:trPr>
        <w:tc>
          <w:tcPr>
            <w:tcW w:w="158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1"/>
              </w:rPr>
              <w:t>Plan Awards</w:t>
            </w:r>
          </w:p>
        </w:tc>
        <w:tc>
          <w:tcPr>
            <w:tcW w:w="86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Plan Awards</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158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All other stock</w:t>
            </w:r>
          </w:p>
        </w:tc>
        <w:tc>
          <w:tcPr>
            <w:tcW w:w="10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5"/>
              </w:rPr>
              <w:t>All other option</w:t>
            </w:r>
          </w:p>
        </w:tc>
        <w:tc>
          <w:tcPr>
            <w:tcW w:w="8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89"/>
              </w:rPr>
              <w:t>Exercise or</w:t>
            </w:r>
          </w:p>
        </w:tc>
        <w:tc>
          <w:tcPr>
            <w:tcW w:w="1220" w:type="dxa"/>
            <w:vAlign w:val="bottom"/>
            <w:tcBorders>
              <w:right w:val="single" w:sz="8" w:color="auto"/>
            </w:tcBorders>
          </w:tcPr>
          <w:p>
            <w:pPr>
              <w:spacing w:after="0"/>
              <w:rPr>
                <w:sz w:val="15"/>
                <w:szCs w:val="15"/>
                <w:color w:val="auto"/>
              </w:rPr>
            </w:pP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ind w:right="180"/>
              <w:spacing w:after="0"/>
              <w:rPr>
                <w:sz w:val="20"/>
                <w:szCs w:val="20"/>
                <w:color w:val="auto"/>
              </w:rPr>
            </w:pPr>
            <w:r>
              <w:rPr>
                <w:rFonts w:ascii="Arial" w:cs="Arial" w:eastAsia="Arial" w:hAnsi="Arial"/>
                <w:sz w:val="16"/>
                <w:szCs w:val="16"/>
                <w:color w:val="auto"/>
              </w:rPr>
              <w:t>awards;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awards; Number</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base price of</w:t>
            </w:r>
          </w:p>
        </w:tc>
        <w:tc>
          <w:tcPr>
            <w:tcW w:w="1220" w:type="dxa"/>
            <w:vAlign w:val="bottom"/>
            <w:tcBorders>
              <w:right w:val="single" w:sz="8" w:color="auto"/>
            </w:tcBorders>
          </w:tcPr>
          <w:p>
            <w:pPr>
              <w:spacing w:after="0"/>
              <w:rPr>
                <w:sz w:val="16"/>
                <w:szCs w:val="16"/>
                <w:color w:val="auto"/>
              </w:rPr>
            </w:pP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of securities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option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Grant Date Fair</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98"/>
              </w:rPr>
              <w:t>Threshold</w:t>
            </w:r>
          </w:p>
        </w:tc>
        <w:tc>
          <w:tcPr>
            <w:tcW w:w="840" w:type="dxa"/>
            <w:vAlign w:val="bottom"/>
            <w:tcBorders>
              <w:right w:val="single" w:sz="8" w:color="auto"/>
            </w:tcBorders>
          </w:tcPr>
          <w:p>
            <w:pPr>
              <w:jc w:val="right"/>
              <w:ind w:right="160"/>
              <w:spacing w:after="0"/>
              <w:rPr>
                <w:sz w:val="20"/>
                <w:szCs w:val="20"/>
                <w:color w:val="auto"/>
              </w:rPr>
            </w:pPr>
            <w:r>
              <w:rPr>
                <w:rFonts w:ascii="Arial" w:cs="Arial" w:eastAsia="Arial" w:hAnsi="Arial"/>
                <w:sz w:val="16"/>
                <w:szCs w:val="16"/>
                <w:color w:val="auto"/>
              </w:rPr>
              <w:t>Target</w:t>
            </w:r>
          </w:p>
        </w:tc>
        <w:tc>
          <w:tcPr>
            <w:tcW w:w="100" w:type="dxa"/>
            <w:vAlign w:val="bottom"/>
          </w:tcPr>
          <w:p>
            <w:pPr>
              <w:spacing w:after="0"/>
              <w:rPr>
                <w:sz w:val="16"/>
                <w:szCs w:val="16"/>
                <w:color w:val="auto"/>
              </w:rPr>
            </w:pPr>
          </w:p>
        </w:tc>
        <w:tc>
          <w:tcPr>
            <w:tcW w:w="86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w w:val="98"/>
              </w:rPr>
              <w:t>Maximum</w:t>
            </w:r>
          </w:p>
        </w:tc>
        <w:tc>
          <w:tcPr>
            <w:tcW w:w="8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Threshold</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Target</w:t>
            </w:r>
          </w:p>
        </w:tc>
        <w:tc>
          <w:tcPr>
            <w:tcW w:w="84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Maximum</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85"/>
              </w:rPr>
              <w:t>shares of stock</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underlying</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awards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Value of Stock and</w:t>
            </w:r>
          </w:p>
        </w:tc>
      </w:tr>
      <w:tr>
        <w:trPr>
          <w:trHeight w:val="209"/>
        </w:trPr>
        <w:tc>
          <w:tcPr>
            <w:tcW w:w="1580" w:type="dxa"/>
            <w:vAlign w:val="bottom"/>
            <w:tcBorders>
              <w:left w:val="single" w:sz="8" w:color="auto"/>
              <w:bottom w:val="single" w:sz="8" w:color="auto"/>
              <w:right w:val="single" w:sz="8" w:color="auto"/>
            </w:tcBorders>
          </w:tcPr>
          <w:p>
            <w:pPr>
              <w:jc w:val="right"/>
              <w:ind w:right="520"/>
              <w:spacing w:after="0"/>
              <w:rPr>
                <w:sz w:val="20"/>
                <w:szCs w:val="20"/>
                <w:color w:val="auto"/>
              </w:rPr>
            </w:pPr>
            <w:r>
              <w:rPr>
                <w:rFonts w:ascii="Arial" w:cs="Arial" w:eastAsia="Arial" w:hAnsi="Arial"/>
                <w:sz w:val="16"/>
                <w:szCs w:val="16"/>
                <w:color w:val="auto"/>
              </w:rPr>
              <w:t>Name</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4"/>
              </w:rPr>
              <w:t>Grant Date</w:t>
            </w:r>
          </w:p>
        </w:tc>
        <w:tc>
          <w:tcPr>
            <w:tcW w:w="84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or units (3)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options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($/Sh)</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Option Awards (4)</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M.E. Batten</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388"/>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Cash Incentive</w:t>
            </w: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$201,250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$402,500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$805,000</w:t>
            </w:r>
          </w:p>
        </w:tc>
        <w:tc>
          <w:tcPr>
            <w:tcW w:w="8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rPr>
              <w:t>Performance Stock</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Performance Stock Unit</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7,102</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8,878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10,654</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$329,107</w:t>
            </w:r>
          </w:p>
        </w:tc>
      </w:tr>
      <w:tr>
        <w:trPr>
          <w:trHeight w:val="196"/>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Restricted Stock Award</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8,878</w:t>
            </w: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$329,107</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J. H. Batten</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388"/>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Cash Incentive</w:t>
            </w: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$82,500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$330,000</w:t>
            </w:r>
          </w:p>
        </w:tc>
        <w:tc>
          <w:tcPr>
            <w:tcW w:w="8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rPr>
              <w:t>Performance Stock</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3,050</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3,812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4,575</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$141,311</w:t>
            </w: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Performance Stock Unit</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7/18/11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$60,572</w:t>
            </w:r>
          </w:p>
        </w:tc>
      </w:tr>
      <w:tr>
        <w:trPr>
          <w:trHeight w:val="196"/>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Restricted Stock Award</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5,446</w:t>
            </w: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$201,883</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C.J. Eperjesy</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388"/>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Cash Incentive</w:t>
            </w: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$75,750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$151,500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$303,000</w:t>
            </w:r>
          </w:p>
        </w:tc>
        <w:tc>
          <w:tcPr>
            <w:tcW w:w="8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rPr>
              <w:t>Performance Stock</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(1)</w:t>
            </w:r>
          </w:p>
        </w:tc>
        <w:tc>
          <w:tcPr>
            <w:tcW w:w="84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2,768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3,322</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$102,610</w:t>
            </w: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Performance Stock Unit</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$43,965</w:t>
            </w:r>
          </w:p>
        </w:tc>
      </w:tr>
      <w:tr>
        <w:trPr>
          <w:trHeight w:val="196"/>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Restricted Stock Award</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$146,575</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J.E. Feiertag</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388"/>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Cash Incentive</w:t>
            </w: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$75,250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$150,500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$301,000</w:t>
            </w:r>
          </w:p>
        </w:tc>
        <w:tc>
          <w:tcPr>
            <w:tcW w:w="8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rPr>
              <w:t>Performance Stock</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2,125</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2,656</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3,188</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$98,458</w:t>
            </w: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Performance Stock Unit</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$42,186</w:t>
            </w:r>
          </w:p>
        </w:tc>
      </w:tr>
      <w:tr>
        <w:trPr>
          <w:trHeight w:val="196"/>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Restricted Stock Award</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3,795</w:t>
            </w: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$140,681</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D.J. Bratel</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388"/>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Cash Incentive</w:t>
            </w:r>
          </w:p>
        </w:tc>
        <w:tc>
          <w:tcPr>
            <w:tcW w:w="8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$41,200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$82,400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$164,800</w:t>
            </w:r>
          </w:p>
        </w:tc>
        <w:tc>
          <w:tcPr>
            <w:tcW w:w="8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rPr>
              <w:t>Performance Stock</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$57,866</w:t>
            </w:r>
          </w:p>
        </w:tc>
      </w:tr>
      <w:tr>
        <w:trPr>
          <w:trHeight w:val="180"/>
        </w:trPr>
        <w:tc>
          <w:tcPr>
            <w:tcW w:w="1580" w:type="dxa"/>
            <w:vAlign w:val="bottom"/>
            <w:tcBorders>
              <w:left w:val="single" w:sz="8" w:color="auto"/>
              <w:right w:val="single" w:sz="8" w:color="auto"/>
            </w:tcBorders>
          </w:tcPr>
          <w:p>
            <w:pPr>
              <w:jc w:val="right"/>
              <w:spacing w:after="0" w:line="180" w:lineRule="exact"/>
              <w:rPr>
                <w:sz w:val="20"/>
                <w:szCs w:val="20"/>
                <w:color w:val="auto"/>
              </w:rPr>
            </w:pPr>
            <w:r>
              <w:rPr>
                <w:rFonts w:ascii="Arial" w:cs="Arial" w:eastAsia="Arial" w:hAnsi="Arial"/>
                <w:sz w:val="16"/>
                <w:szCs w:val="16"/>
                <w:color w:val="auto"/>
                <w:w w:val="91"/>
              </w:rPr>
              <w:t>Performance Stock Unit</w:t>
            </w: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9"/>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Awards (2)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9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$24,800</w:t>
            </w:r>
          </w:p>
        </w:tc>
      </w:tr>
      <w:tr>
        <w:trPr>
          <w:trHeight w:val="196"/>
        </w:trPr>
        <w:tc>
          <w:tcPr>
            <w:tcW w:w="158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Restricted Stock Award</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7/28/11</w:t>
            </w:r>
          </w:p>
        </w:tc>
        <w:tc>
          <w:tcPr>
            <w:tcW w:w="8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2,229</w:t>
            </w:r>
          </w:p>
        </w:tc>
        <w:tc>
          <w:tcPr>
            <w:tcW w:w="108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$82,629</w:t>
            </w:r>
          </w:p>
        </w:tc>
      </w:tr>
      <w:tr>
        <w:trPr>
          <w:trHeight w:val="585"/>
        </w:trPr>
        <w:tc>
          <w:tcPr>
            <w:tcW w:w="15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6461125</wp:posOffset>
            </wp:positionH>
            <wp:positionV relativeFrom="paragraph">
              <wp:posOffset>-6795770</wp:posOffset>
            </wp:positionV>
            <wp:extent cx="810895" cy="536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53657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6" w:name="page27"/>
    <w:bookmarkEnd w:id="26"/>
    <w:p>
      <w:pPr>
        <w:ind w:left="580" w:right="20" w:hanging="296"/>
        <w:spacing w:after="0" w:line="258"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stock awards with performance-based vesting criteria, as discussed in the “Long-Term Compensation” section of the Compensation Discussion and Analysis; eligible for vesting in 2014.</w:t>
      </w:r>
    </w:p>
    <w:p>
      <w:pPr>
        <w:spacing w:after="0" w:line="1" w:lineRule="exact"/>
        <w:rPr>
          <w:rFonts w:ascii="Arial" w:cs="Arial" w:eastAsia="Arial" w:hAnsi="Arial"/>
          <w:sz w:val="16"/>
          <w:szCs w:val="16"/>
          <w:color w:val="auto"/>
        </w:rPr>
      </w:pPr>
    </w:p>
    <w:p>
      <w:pPr>
        <w:ind w:left="580" w:right="300" w:hanging="296"/>
        <w:spacing w:after="0" w:line="250"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2014.</w:t>
      </w:r>
    </w:p>
    <w:p>
      <w:pPr>
        <w:spacing w:after="0" w:line="1"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restricted stock with a vesting date of July 28, 2014. This stock will vest if the executive remains employed through the vesting date.</w:t>
      </w:r>
    </w:p>
    <w:p>
      <w:pPr>
        <w:spacing w:after="0" w:line="8" w:lineRule="exact"/>
        <w:rPr>
          <w:rFonts w:ascii="Arial" w:cs="Arial" w:eastAsia="Arial" w:hAnsi="Arial"/>
          <w:sz w:val="16"/>
          <w:szCs w:val="16"/>
          <w:color w:val="auto"/>
        </w:rPr>
      </w:pPr>
    </w:p>
    <w:p>
      <w:pPr>
        <w:ind w:left="580" w:right="480" w:hanging="296"/>
        <w:spacing w:after="0" w:line="256"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grant date fair values are calculated using the closing price of Twin Disc shares on the July 28, 2011 grant date ($37.07). The grant date fair values for the performance stock and performance stock unit awards are based on the assumption that the target performance objectives for these awards would be met, the most probable outcome as of the grant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28"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The following table summarizes the number of shares covered by exercisable and unexercisable options, as well as the number of restricted stock, performance stock and performance stock unit awards held by our Named Executive Officers on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106680</wp:posOffset>
            </wp:positionV>
            <wp:extent cx="2947035" cy="17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47035" cy="17018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5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Option Awards</w:t>
            </w:r>
          </w:p>
        </w:tc>
        <w:tc>
          <w:tcPr>
            <w:tcW w:w="9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gridSpan w:val="2"/>
          </w:tcPr>
          <w:p>
            <w:pPr>
              <w:jc w:val="right"/>
              <w:ind w:right="560"/>
              <w:spacing w:after="0"/>
              <w:rPr>
                <w:sz w:val="20"/>
                <w:szCs w:val="20"/>
                <w:color w:val="auto"/>
              </w:rPr>
            </w:pPr>
            <w:r>
              <w:rPr>
                <w:rFonts w:ascii="Arial" w:cs="Arial" w:eastAsia="Arial" w:hAnsi="Arial"/>
                <w:sz w:val="16"/>
                <w:szCs w:val="16"/>
                <w:color w:val="auto"/>
              </w:rPr>
              <w:t>Stock Awards</w:t>
            </w:r>
          </w:p>
        </w:tc>
        <w:tc>
          <w:tcPr>
            <w:tcW w:w="1220" w:type="dxa"/>
            <w:vAlign w:val="bottom"/>
          </w:tcPr>
          <w:p>
            <w:pPr>
              <w:spacing w:after="0"/>
              <w:rPr>
                <w:sz w:val="18"/>
                <w:szCs w:val="18"/>
                <w:color w:val="auto"/>
              </w:rPr>
            </w:pPr>
          </w:p>
        </w:tc>
      </w:tr>
      <w:tr>
        <w:trPr>
          <w:trHeight w:val="180"/>
        </w:trPr>
        <w:tc>
          <w:tcPr>
            <w:tcW w:w="1580" w:type="dxa"/>
            <w:vAlign w:val="bottom"/>
            <w:tcBorders>
              <w:left w:val="single" w:sz="8" w:color="auto"/>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3"/>
              </w:rPr>
              <w:t>Equity Incentive</w:t>
            </w:r>
          </w:p>
        </w:tc>
        <w:tc>
          <w:tcPr>
            <w:tcW w:w="9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3"/>
              </w:rPr>
              <w:t>Equity Incentive</w:t>
            </w:r>
          </w:p>
        </w:tc>
        <w:tc>
          <w:tcPr>
            <w:tcW w:w="12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5"/>
              </w:rPr>
              <w:t>Equity Incentive</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Plan Awards:</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Plan Awards: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Plan Awards:</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Number of</w:t>
            </w:r>
          </w:p>
        </w:tc>
        <w:tc>
          <w:tcPr>
            <w:tcW w:w="1060" w:type="dxa"/>
            <w:vAlign w:val="bottom"/>
          </w:tcPr>
          <w:p>
            <w:pPr>
              <w:jc w:val="center"/>
              <w:ind w:left="40"/>
              <w:spacing w:after="0"/>
              <w:rPr>
                <w:sz w:val="20"/>
                <w:szCs w:val="20"/>
                <w:color w:val="auto"/>
              </w:rPr>
            </w:pPr>
            <w:r>
              <w:rPr>
                <w:rFonts w:ascii="Arial" w:cs="Arial" w:eastAsia="Arial" w:hAnsi="Arial"/>
                <w:sz w:val="16"/>
                <w:szCs w:val="16"/>
                <w:color w:val="auto"/>
                <w:w w:val="93"/>
              </w:rPr>
              <w:t>Number of</w:t>
            </w: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Number of</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Number of</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Market or Payout</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Securities</w:t>
            </w:r>
          </w:p>
        </w:tc>
        <w:tc>
          <w:tcPr>
            <w:tcW w:w="1060" w:type="dxa"/>
            <w:vAlign w:val="bottom"/>
          </w:tcPr>
          <w:p>
            <w:pPr>
              <w:jc w:val="center"/>
              <w:ind w:left="40"/>
              <w:spacing w:after="0"/>
              <w:rPr>
                <w:sz w:val="20"/>
                <w:szCs w:val="20"/>
                <w:color w:val="auto"/>
              </w:rPr>
            </w:pPr>
            <w:r>
              <w:rPr>
                <w:rFonts w:ascii="Arial" w:cs="Arial" w:eastAsia="Arial" w:hAnsi="Arial"/>
                <w:sz w:val="16"/>
                <w:szCs w:val="16"/>
                <w:color w:val="auto"/>
                <w:w w:val="88"/>
              </w:rPr>
              <w:t>Securities</w:t>
            </w: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Securities</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Value of</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Unearned Shares,</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Value of Unearned</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Underlying</w:t>
            </w:r>
          </w:p>
        </w:tc>
        <w:tc>
          <w:tcPr>
            <w:tcW w:w="1060" w:type="dxa"/>
            <w:vAlign w:val="bottom"/>
          </w:tcPr>
          <w:p>
            <w:pPr>
              <w:jc w:val="center"/>
              <w:ind w:left="40"/>
              <w:spacing w:after="0"/>
              <w:rPr>
                <w:sz w:val="20"/>
                <w:szCs w:val="20"/>
                <w:color w:val="auto"/>
              </w:rPr>
            </w:pPr>
            <w:r>
              <w:rPr>
                <w:rFonts w:ascii="Arial" w:cs="Arial" w:eastAsia="Arial" w:hAnsi="Arial"/>
                <w:sz w:val="16"/>
                <w:szCs w:val="16"/>
                <w:color w:val="auto"/>
                <w:w w:val="96"/>
              </w:rPr>
              <w:t>Underlying</w:t>
            </w: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Underlying</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Shares or Units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Shares or Units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Units or Other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Shares, Units or</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Unexercised</w:t>
            </w:r>
          </w:p>
        </w:tc>
        <w:tc>
          <w:tcPr>
            <w:tcW w:w="1060" w:type="dxa"/>
            <w:vAlign w:val="bottom"/>
          </w:tcPr>
          <w:p>
            <w:pPr>
              <w:jc w:val="center"/>
              <w:ind w:left="60"/>
              <w:spacing w:after="0"/>
              <w:rPr>
                <w:sz w:val="20"/>
                <w:szCs w:val="20"/>
                <w:color w:val="auto"/>
              </w:rPr>
            </w:pPr>
            <w:r>
              <w:rPr>
                <w:rFonts w:ascii="Arial" w:cs="Arial" w:eastAsia="Arial" w:hAnsi="Arial"/>
                <w:sz w:val="16"/>
                <w:szCs w:val="16"/>
                <w:color w:val="auto"/>
                <w:w w:val="89"/>
              </w:rPr>
              <w:t>Unexercised</w:t>
            </w: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Unexercised</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Option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of Stock That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of Stock That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Rights That Have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Other Rights That</w:t>
            </w:r>
          </w:p>
        </w:tc>
      </w:tr>
      <w:tr>
        <w:trPr>
          <w:trHeight w:val="192"/>
        </w:trPr>
        <w:tc>
          <w:tcPr>
            <w:tcW w:w="15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Options</w:t>
            </w:r>
          </w:p>
        </w:tc>
        <w:tc>
          <w:tcPr>
            <w:tcW w:w="1060" w:type="dxa"/>
            <w:vAlign w:val="bottom"/>
          </w:tcPr>
          <w:p>
            <w:pPr>
              <w:jc w:val="center"/>
              <w:ind w:left="40"/>
              <w:spacing w:after="0"/>
              <w:rPr>
                <w:sz w:val="20"/>
                <w:szCs w:val="20"/>
                <w:color w:val="auto"/>
              </w:rPr>
            </w:pPr>
            <w:r>
              <w:rPr>
                <w:rFonts w:ascii="Arial" w:cs="Arial" w:eastAsia="Arial" w:hAnsi="Arial"/>
                <w:sz w:val="16"/>
                <w:szCs w:val="16"/>
                <w:color w:val="auto"/>
                <w:w w:val="90"/>
              </w:rPr>
              <w:t>Options</w:t>
            </w:r>
          </w:p>
        </w:tc>
        <w:tc>
          <w:tcPr>
            <w:tcW w:w="1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Unearned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Option</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Expiration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Have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Have Not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Not Vested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Have Not Vested</w:t>
            </w:r>
          </w:p>
        </w:tc>
      </w:tr>
      <w:tr>
        <w:trPr>
          <w:trHeight w:val="209"/>
        </w:trPr>
        <w:tc>
          <w:tcPr>
            <w:tcW w:w="1580" w:type="dxa"/>
            <w:vAlign w:val="bottom"/>
            <w:tcBorders>
              <w:left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6"/>
                <w:szCs w:val="16"/>
                <w:color w:val="auto"/>
              </w:rPr>
              <w:t>Name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Exercisable</w:t>
            </w:r>
          </w:p>
        </w:tc>
        <w:tc>
          <w:tcPr>
            <w:tcW w:w="106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color w:val="auto"/>
                <w:w w:val="88"/>
              </w:rPr>
              <w:t>Unexercisable</w:t>
            </w:r>
          </w:p>
        </w:tc>
        <w:tc>
          <w:tcPr>
            <w:tcW w:w="1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Options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Exercise Price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Date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Not Vested</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Vested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32,000</w:t>
            </w: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$3.6125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8/2/12</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w:t>
            </w:r>
          </w:p>
        </w:tc>
        <w:tc>
          <w:tcPr>
            <w:tcW w:w="10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141,733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$2,620,643</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J.H. Batten</w:t>
            </w:r>
          </w:p>
        </w:tc>
        <w:tc>
          <w:tcPr>
            <w:tcW w:w="10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79,288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$1,466,035</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C.J. Eperjesy</w:t>
            </w:r>
          </w:p>
        </w:tc>
        <w:tc>
          <w:tcPr>
            <w:tcW w:w="10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56,324</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$1,041,431</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J.E. Feiertag</w:t>
            </w:r>
          </w:p>
        </w:tc>
        <w:tc>
          <w:tcPr>
            <w:tcW w:w="10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55,005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$1,017,042</w:t>
            </w:r>
          </w:p>
        </w:tc>
      </w:tr>
      <w:tr>
        <w:trPr>
          <w:trHeight w:val="196"/>
        </w:trPr>
        <w:tc>
          <w:tcPr>
            <w:tcW w:w="15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D.J. Bratel</w:t>
            </w:r>
          </w:p>
        </w:tc>
        <w:tc>
          <w:tcPr>
            <w:tcW w:w="10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29,785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$550,725</w:t>
            </w:r>
          </w:p>
        </w:tc>
      </w:tr>
    </w:tbl>
    <w:p>
      <w:pPr>
        <w:spacing w:after="0" w:line="204" w:lineRule="exact"/>
        <w:rPr>
          <w:sz w:val="20"/>
          <w:szCs w:val="20"/>
          <w:color w:val="auto"/>
        </w:rPr>
      </w:pPr>
    </w:p>
    <w:p>
      <w:pPr>
        <w:jc w:val="both"/>
        <w:ind w:left="280" w:right="20" w:hanging="262"/>
        <w:spacing w:after="0" w:line="273" w:lineRule="auto"/>
        <w:tabs>
          <w:tab w:leader="none" w:pos="2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Reflects the number of non-vested restricted stock awards, performance stock awards and performance stock unit awards which are scheduled to vest at various times between July 2012 and June 2014. For awards granted in fiscal 2010, 2011 and 2012 with Threshold/Target/Maximum payout levels, the figures presented assume the Maximum level of achievement for those awards granted in 2010 and 2011, and the Target level of achievement for the awards granted in 2012.</w:t>
      </w:r>
    </w:p>
    <w:p>
      <w:pPr>
        <w:ind w:left="280" w:hanging="262"/>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Values were calculated using $18.49 per share, the closing price of the Corporation’s common stock as of June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506095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Options Exercised and Stock Vested</w:t>
      </w:r>
    </w:p>
    <w:p>
      <w:pPr>
        <w:spacing w:after="0" w:line="22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following table sets forth information regarding each exercise of stock options and vesting of restricted stock and performance stock that occurred during FY2012 for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106680</wp:posOffset>
            </wp:positionV>
            <wp:extent cx="3305175" cy="170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5175" cy="17018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6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4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Option Awards</w:t>
            </w:r>
          </w:p>
        </w:tc>
        <w:tc>
          <w:tcPr>
            <w:tcW w:w="3020" w:type="dxa"/>
            <w:vAlign w:val="bottom"/>
            <w:gridSpan w:val="2"/>
          </w:tcPr>
          <w:p>
            <w:pPr>
              <w:ind w:left="2120"/>
              <w:spacing w:after="0"/>
              <w:rPr>
                <w:sz w:val="20"/>
                <w:szCs w:val="20"/>
                <w:color w:val="auto"/>
              </w:rPr>
            </w:pPr>
            <w:r>
              <w:rPr>
                <w:rFonts w:ascii="Arial" w:cs="Arial" w:eastAsia="Arial" w:hAnsi="Arial"/>
                <w:sz w:val="16"/>
                <w:szCs w:val="16"/>
                <w:color w:val="auto"/>
                <w:w w:val="89"/>
              </w:rPr>
              <w:t>Stock Awards</w:t>
            </w:r>
          </w:p>
        </w:tc>
        <w:tc>
          <w:tcPr>
            <w:tcW w:w="2140" w:type="dxa"/>
            <w:vAlign w:val="bottom"/>
          </w:tcPr>
          <w:p>
            <w:pPr>
              <w:spacing w:after="0"/>
              <w:rPr>
                <w:sz w:val="18"/>
                <w:szCs w:val="18"/>
                <w:color w:val="auto"/>
              </w:rPr>
            </w:pPr>
          </w:p>
        </w:tc>
      </w:tr>
      <w:tr>
        <w:trPr>
          <w:trHeight w:val="180"/>
        </w:trPr>
        <w:tc>
          <w:tcPr>
            <w:tcW w:w="1620" w:type="dxa"/>
            <w:vAlign w:val="bottom"/>
            <w:tcBorders>
              <w:left w:val="single" w:sz="8" w:color="auto"/>
              <w:right w:val="single" w:sz="8" w:color="auto"/>
            </w:tcBorders>
          </w:tcPr>
          <w:p>
            <w:pPr>
              <w:spacing w:after="0"/>
              <w:rPr>
                <w:sz w:val="15"/>
                <w:szCs w:val="15"/>
                <w:color w:val="auto"/>
              </w:rPr>
            </w:pPr>
          </w:p>
        </w:tc>
        <w:tc>
          <w:tcPr>
            <w:tcW w:w="25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1"/>
              </w:rPr>
              <w:t>Number of Shares Acquired on</w:t>
            </w:r>
          </w:p>
        </w:tc>
        <w:tc>
          <w:tcPr>
            <w:tcW w:w="20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r>
      <w:tr>
        <w:trPr>
          <w:trHeight w:val="209"/>
        </w:trPr>
        <w:tc>
          <w:tcPr>
            <w:tcW w:w="16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Name</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Exercise</w:t>
            </w:r>
          </w:p>
        </w:tc>
        <w:tc>
          <w:tcPr>
            <w:tcW w:w="208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auto"/>
                <w:w w:val="96"/>
              </w:rPr>
              <w:t>Value Realized on Exercise</w:t>
            </w:r>
          </w:p>
        </w:tc>
        <w:tc>
          <w:tcPr>
            <w:tcW w:w="2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0"/>
              </w:rPr>
              <w:t>Number of Shares Acquired on Vesting</w:t>
            </w: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Value Realized on Vesting</w:t>
            </w:r>
          </w:p>
        </w:tc>
      </w:tr>
      <w:tr>
        <w:trPr>
          <w:trHeight w:val="196"/>
        </w:trPr>
        <w:tc>
          <w:tcPr>
            <w:tcW w:w="1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16,000</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$556,491</w:t>
            </w:r>
          </w:p>
        </w:tc>
        <w:tc>
          <w:tcPr>
            <w:tcW w:w="25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196"/>
        </w:trPr>
        <w:tc>
          <w:tcPr>
            <w:tcW w:w="1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J.H. Batten</w:t>
            </w:r>
          </w:p>
        </w:tc>
        <w:tc>
          <w:tcPr>
            <w:tcW w:w="25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196"/>
        </w:trPr>
        <w:tc>
          <w:tcPr>
            <w:tcW w:w="1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C.J. Eperjesy</w:t>
            </w:r>
          </w:p>
        </w:tc>
        <w:tc>
          <w:tcPr>
            <w:tcW w:w="25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196"/>
        </w:trPr>
        <w:tc>
          <w:tcPr>
            <w:tcW w:w="1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J.E. Feiertag</w:t>
            </w:r>
          </w:p>
        </w:tc>
        <w:tc>
          <w:tcPr>
            <w:tcW w:w="25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r>
        <w:trPr>
          <w:trHeight w:val="196"/>
        </w:trPr>
        <w:tc>
          <w:tcPr>
            <w:tcW w:w="16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D.J. Bratel</w:t>
            </w:r>
          </w:p>
        </w:tc>
        <w:tc>
          <w:tcPr>
            <w:tcW w:w="258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228"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The following table summarizes the actuarial present value of each Named Executive Officer’s accumulated benefits as of June 30, 2012 under our defined benefit pension plan and supplemental executive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6132830</wp:posOffset>
            </wp:positionH>
            <wp:positionV relativeFrom="paragraph">
              <wp:posOffset>106680</wp:posOffset>
            </wp:positionV>
            <wp:extent cx="1139190" cy="292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9190" cy="29210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600" w:type="dxa"/>
            <w:vAlign w:val="bottom"/>
            <w:tcBorders>
              <w:top w:val="single" w:sz="8" w:color="auto"/>
              <w:left w:val="single" w:sz="8" w:color="auto"/>
              <w:right w:val="single" w:sz="8" w:color="auto"/>
            </w:tcBorders>
          </w:tcPr>
          <w:p>
            <w:pPr>
              <w:spacing w:after="0"/>
              <w:rPr>
                <w:sz w:val="16"/>
                <w:szCs w:val="16"/>
                <w:color w:val="auto"/>
              </w:rPr>
            </w:pPr>
          </w:p>
        </w:tc>
        <w:tc>
          <w:tcPr>
            <w:tcW w:w="430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Number of Years of Credited</w:t>
            </w:r>
          </w:p>
        </w:tc>
        <w:tc>
          <w:tcPr>
            <w:tcW w:w="1920" w:type="dxa"/>
            <w:vAlign w:val="bottom"/>
            <w:tcBorders>
              <w:top w:val="single" w:sz="8" w:color="auto"/>
            </w:tcBorders>
          </w:tcPr>
          <w:p>
            <w:pPr>
              <w:jc w:val="right"/>
              <w:ind w:right="360"/>
              <w:spacing w:after="0"/>
              <w:rPr>
                <w:sz w:val="20"/>
                <w:szCs w:val="20"/>
                <w:color w:val="auto"/>
              </w:rPr>
            </w:pPr>
            <w:r>
              <w:rPr>
                <w:rFonts w:ascii="Arial" w:cs="Arial" w:eastAsia="Arial" w:hAnsi="Arial"/>
                <w:sz w:val="16"/>
                <w:szCs w:val="16"/>
                <w:color w:val="auto"/>
              </w:rPr>
              <w:t>Present Value of</w:t>
            </w: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Payments During Last</w:t>
            </w:r>
          </w:p>
        </w:tc>
      </w:tr>
      <w:tr>
        <w:trPr>
          <w:trHeight w:val="209"/>
        </w:trPr>
        <w:tc>
          <w:tcPr>
            <w:tcW w:w="160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6"/>
                <w:szCs w:val="16"/>
                <w:color w:val="auto"/>
              </w:rPr>
              <w:t>Name</w:t>
            </w:r>
          </w:p>
        </w:tc>
        <w:tc>
          <w:tcPr>
            <w:tcW w:w="4300" w:type="dxa"/>
            <w:vAlign w:val="bottom"/>
            <w:tcBorders>
              <w:bottom w:val="single" w:sz="8" w:color="auto"/>
              <w:right w:val="single" w:sz="8" w:color="auto"/>
            </w:tcBorders>
          </w:tcPr>
          <w:p>
            <w:pPr>
              <w:ind w:left="1780"/>
              <w:spacing w:after="0"/>
              <w:rPr>
                <w:sz w:val="20"/>
                <w:szCs w:val="20"/>
                <w:color w:val="auto"/>
              </w:rPr>
            </w:pPr>
            <w:r>
              <w:rPr>
                <w:rFonts w:ascii="Arial" w:cs="Arial" w:eastAsia="Arial" w:hAnsi="Arial"/>
                <w:sz w:val="16"/>
                <w:szCs w:val="16"/>
                <w:color w:val="auto"/>
              </w:rPr>
              <w:t>Plan Name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Service</w:t>
            </w:r>
          </w:p>
        </w:tc>
        <w:tc>
          <w:tcPr>
            <w:tcW w:w="1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Accumulated Benefits (1)</w:t>
            </w: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Fiscal Year (2)</w:t>
            </w:r>
          </w:p>
        </w:tc>
      </w:tr>
      <w:tr>
        <w:trPr>
          <w:trHeight w:val="196"/>
        </w:trPr>
        <w:tc>
          <w:tcPr>
            <w:tcW w:w="16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w:t>
            </w: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Retirement Plan for Salaried Employees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42.583</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$1,009,095</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$85,949</w:t>
            </w: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Supplemental Executive Retirement Plan</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42.583</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$2,923,931</w:t>
            </w: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J.H. Batten</w:t>
            </w: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Retirement Plan for Salaried Employees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16</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$120,967</w:t>
            </w: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C.J. Eperjesy</w:t>
            </w: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Retirement Plan for Salaried Employees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$83,954</w:t>
            </w: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J.E. Feiertag</w:t>
            </w: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Retirement Plan for Salaried Employees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12</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$112,752</w:t>
            </w: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430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r>
      <w:tr>
        <w:trPr>
          <w:trHeight w:val="196"/>
        </w:trPr>
        <w:tc>
          <w:tcPr>
            <w:tcW w:w="16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D.J. Bratel</w:t>
            </w: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Retirement Plan for Salaried Employees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25.5</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$174,608</w:t>
            </w:r>
          </w:p>
        </w:tc>
        <w:tc>
          <w:tcPr>
            <w:tcW w:w="17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20" w:lineRule="exact"/>
        <w:rPr>
          <w:sz w:val="20"/>
          <w:szCs w:val="20"/>
          <w:color w:val="auto"/>
        </w:rPr>
      </w:pPr>
    </w:p>
    <w:p>
      <w:pPr>
        <w:ind w:left="280" w:right="160" w:firstLine="4"/>
        <w:spacing w:after="0" w:line="319" w:lineRule="auto"/>
        <w:tabs>
          <w:tab w:leader="none" w:pos="54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following key assumptions were made in calculating the present value of the qualified retirement plan. For Mr. M. Batten, the value assumes a 4.2% discount rate, and reflects the benefit amount and payment method currently elected. For Messrs. J. Batten, Eperjesy, Feiertag, and Bratel, the key assumptions include a 4.2% discount rate and a retirement age of 65. No mortality assumption was used prior to retirement. After retirement, the mortality assumption is the IRS Generational Mortality Table.</w:t>
      </w:r>
    </w:p>
    <w:p>
      <w:pPr>
        <w:spacing w:after="0" w:line="151" w:lineRule="exact"/>
        <w:rPr>
          <w:sz w:val="20"/>
          <w:szCs w:val="20"/>
          <w:color w:val="auto"/>
        </w:rPr>
      </w:pPr>
    </w:p>
    <w:p>
      <w:pPr>
        <w:ind w:left="280" w:right="160"/>
        <w:spacing w:after="0" w:line="308" w:lineRule="auto"/>
        <w:rPr>
          <w:sz w:val="20"/>
          <w:szCs w:val="20"/>
          <w:color w:val="auto"/>
        </w:rPr>
      </w:pPr>
      <w:r>
        <w:rPr>
          <w:rFonts w:ascii="Arial" w:cs="Arial" w:eastAsia="Arial" w:hAnsi="Arial"/>
          <w:sz w:val="14"/>
          <w:szCs w:val="14"/>
          <w:color w:val="auto"/>
        </w:rPr>
        <w:t>With respect to the Supplemental Executive Retirement Plan for Mr. M. Batten, the values are calculated as pursuant to the terms of the Plan document. No assumptions as to future events are required. For Messrs. J. Batten, Eperjesy, Feiertag, and Bratel, benefits under the Supplemental Executive Retirement Plan are not calculated under a defined benefit formula, and are therefore not required to be reported on the above table. However, as of June 30, 2012, the values of the defined contribution credits under the Supplemental Executive Retirement Plan for Messrs. J. Batten, Eperjesy, Feiertag, and Bratel were $68,005, $68,719, $86,478 and $15,536 respectively.</w:t>
      </w:r>
    </w:p>
    <w:p>
      <w:pPr>
        <w:spacing w:after="0" w:line="159" w:lineRule="exact"/>
        <w:rPr>
          <w:sz w:val="20"/>
          <w:szCs w:val="20"/>
          <w:color w:val="auto"/>
        </w:rPr>
      </w:pPr>
    </w:p>
    <w:p>
      <w:pPr>
        <w:ind w:left="280" w:right="40" w:firstLine="4"/>
        <w:spacing w:after="0" w:line="276" w:lineRule="auto"/>
        <w:tabs>
          <w:tab w:leader="none" w:pos="5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qualified retirement plan allows participants to elect to begin receiving benefit payments if they have reached age 70 ½ , even if they are still employed. However, if the employee is a 5% or greater owner, the plan requires the active participant to begin receiving benefit payments no later than April 1</w:t>
      </w:r>
      <w:r>
        <w:rPr>
          <w:rFonts w:ascii="Arial" w:cs="Arial" w:eastAsia="Arial" w:hAnsi="Arial"/>
          <w:sz w:val="19"/>
          <w:szCs w:val="19"/>
          <w:color w:val="auto"/>
          <w:vertAlign w:val="superscript"/>
        </w:rPr>
        <w:t>st</w:t>
      </w:r>
      <w:r>
        <w:rPr>
          <w:rFonts w:ascii="Arial" w:cs="Arial" w:eastAsia="Arial" w:hAnsi="Arial"/>
          <w:sz w:val="14"/>
          <w:szCs w:val="14"/>
          <w:color w:val="auto"/>
        </w:rPr>
        <w:t xml:space="preserve"> following the year that the participant attains age 70 ½ . Since Mr. Batten is a 5% or greater owner who turned 70 ½ in 2010, he chose to begin receiving his benefit payments in December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8" w:name="page29"/>
    <w:bookmarkEnd w:id="28"/>
    <w:p>
      <w:pPr>
        <w:ind w:left="580"/>
        <w:spacing w:after="0"/>
        <w:rPr>
          <w:sz w:val="20"/>
          <w:szCs w:val="20"/>
          <w:color w:val="auto"/>
        </w:rPr>
      </w:pPr>
      <w:r>
        <w:rPr>
          <w:rFonts w:ascii="Arial" w:cs="Arial" w:eastAsia="Arial" w:hAnsi="Arial"/>
          <w:sz w:val="16"/>
          <w:szCs w:val="16"/>
          <w:i w:val="1"/>
          <w:iCs w:val="1"/>
          <w:color w:val="auto"/>
        </w:rPr>
        <w:t>Retirement Plan for Salaried Employees</w:t>
      </w:r>
    </w:p>
    <w:p>
      <w:pPr>
        <w:spacing w:after="0" w:line="224" w:lineRule="exact"/>
        <w:rPr>
          <w:sz w:val="20"/>
          <w:szCs w:val="20"/>
          <w:color w:val="auto"/>
        </w:rPr>
      </w:pPr>
    </w:p>
    <w:p>
      <w:pPr>
        <w:ind w:right="200"/>
        <w:spacing w:after="0" w:line="319" w:lineRule="auto"/>
        <w:rPr>
          <w:sz w:val="20"/>
          <w:szCs w:val="20"/>
          <w:color w:val="auto"/>
        </w:rPr>
      </w:pPr>
      <w:r>
        <w:rPr>
          <w:rFonts w:ascii="Arial" w:cs="Arial" w:eastAsia="Arial" w:hAnsi="Arial"/>
          <w:sz w:val="14"/>
          <w:szCs w:val="14"/>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Currently Mr. M. Batten is the only Named Executive Officer eligible for retirement.</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and Mr. Bratel are the only Named Executive Officers with a benefit under both the pre-1997 portion of the Retirement Plan and the cash balance program.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Retirement Plan was amended to freeze all future benefit accruals, effective August 1, 2009.</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definition of compensation for purposes of calculating the pension benefit includes W-2 income, excluding any expense reimbursements or taxable fringe benefits, and is limited by the IRS maximum compensation as determined each year. In calendar years 2010 and 2011, the annual limit was $245,000. In calendar year 2012, the annual limit is $250,000.</w:t>
      </w:r>
    </w:p>
    <w:p>
      <w:pPr>
        <w:spacing w:after="0" w:line="18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Supplemental Executive Retirement Plan</w:t>
      </w:r>
    </w:p>
    <w:p>
      <w:pPr>
        <w:spacing w:after="0" w:line="224"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The Supplemental Executive Retirement Plan (“SERP”) is available to qualified US-based Named Executive Officers. For those who were participants in the SERP before January 1, 1998 (only Mr. M. Batten), the supplemental retirement benefit is calculated as an annual benefit approximating 50% of highest rate of base salary plus annual incentive bonus attained during a specified period, minus amounts accrued under the Corporation’s Retirement Plan and Salaried Plan. The SERP also preserved the level of benefits that had accrued prior to 1998. The July 29, 2010 amendment of the SERP revised the formula for Mr. M. Batten to provide him with a SERP benefit that is at least equal to the present value of his SERP benefit as of July 1, 2010, plus interest credits based on the annual rate on 30-year Treasury securities, with a minimum annual interest credit of three percent.</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If each of the two lump sum payments exceeds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Defined Contribution and Other Nonqualified Deferred Compensation Plans</w:t>
      </w:r>
    </w:p>
    <w:p>
      <w:pPr>
        <w:spacing w:after="0" w:line="22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The following table summarizes accumulated benefits as of June 30, 2012 under our supplemental executive retirement plan for each Named Executive Officer with a benefit under a defined contribution formula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106680</wp:posOffset>
            </wp:positionV>
            <wp:extent cx="1299210" cy="292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99210" cy="292100"/>
                    </a:xfrm>
                    <a:prstGeom prst="rect">
                      <a:avLst/>
                    </a:prstGeom>
                    <a:noFill/>
                  </pic:spPr>
                </pic:pic>
              </a:graphicData>
            </a:graphic>
          </wp:anchor>
        </w:drawing>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00" w:type="dxa"/>
            <w:vAlign w:val="bottom"/>
            <w:tcBorders>
              <w:top w:val="single" w:sz="8" w:color="auto"/>
              <w:left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4"/>
              </w:rPr>
              <w:t>Executive Contributions in</w:t>
            </w: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2"/>
              </w:rPr>
              <w:t>Registrant Contributions</w:t>
            </w:r>
          </w:p>
        </w:tc>
        <w:tc>
          <w:tcPr>
            <w:tcW w:w="1660" w:type="dxa"/>
            <w:vAlign w:val="bottom"/>
            <w:tcBorders>
              <w:top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w w:val="95"/>
              </w:rPr>
              <w:t>Aggregate Earnings in</w:t>
            </w:r>
          </w:p>
        </w:tc>
        <w:tc>
          <w:tcPr>
            <w:tcW w:w="1980" w:type="dxa"/>
            <w:vAlign w:val="bottom"/>
            <w:tcBorders>
              <w:top w:val="single" w:sz="8" w:color="auto"/>
            </w:tcBorders>
          </w:tcPr>
          <w:p>
            <w:pPr>
              <w:jc w:val="center"/>
              <w:ind w:left="240"/>
              <w:spacing w:after="0"/>
              <w:rPr>
                <w:sz w:val="20"/>
                <w:szCs w:val="20"/>
                <w:color w:val="auto"/>
              </w:rPr>
            </w:pPr>
            <w:r>
              <w:rPr>
                <w:rFonts w:ascii="Arial" w:cs="Arial" w:eastAsia="Arial" w:hAnsi="Arial"/>
                <w:sz w:val="16"/>
                <w:szCs w:val="16"/>
                <w:color w:val="auto"/>
                <w:w w:val="92"/>
              </w:rPr>
              <w:t>Aggregate Withdrawals/</w:t>
            </w:r>
          </w:p>
        </w:tc>
        <w:tc>
          <w:tcPr>
            <w:tcW w:w="340" w:type="dxa"/>
            <w:vAlign w:val="bottom"/>
            <w:tcBorders>
              <w:top w:val="single" w:sz="8" w:color="auto"/>
            </w:tcBorders>
          </w:tcPr>
          <w:p>
            <w:pPr>
              <w:spacing w:after="0"/>
              <w:rPr>
                <w:sz w:val="16"/>
                <w:szCs w:val="16"/>
                <w:color w:val="auto"/>
              </w:rPr>
            </w:pPr>
          </w:p>
        </w:tc>
        <w:tc>
          <w:tcPr>
            <w:tcW w:w="2000" w:type="dxa"/>
            <w:vAlign w:val="bottom"/>
          </w:tcPr>
          <w:p>
            <w:pPr>
              <w:jc w:val="right"/>
              <w:ind w:right="80"/>
              <w:spacing w:after="0"/>
              <w:rPr>
                <w:sz w:val="20"/>
                <w:szCs w:val="20"/>
                <w:color w:val="auto"/>
              </w:rPr>
            </w:pPr>
            <w:r>
              <w:rPr>
                <w:rFonts w:ascii="Arial" w:cs="Arial" w:eastAsia="Arial" w:hAnsi="Arial"/>
                <w:sz w:val="16"/>
                <w:szCs w:val="16"/>
                <w:color w:val="auto"/>
                <w:w w:val="96"/>
              </w:rPr>
              <w:t>Aggregate Balance at Last</w:t>
            </w:r>
          </w:p>
        </w:tc>
      </w:tr>
      <w:tr>
        <w:trPr>
          <w:trHeight w:val="209"/>
        </w:trPr>
        <w:tc>
          <w:tcPr>
            <w:tcW w:w="200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Name</w:t>
            </w:r>
          </w:p>
        </w:tc>
        <w:tc>
          <w:tcPr>
            <w:tcW w:w="1820" w:type="dxa"/>
            <w:vAlign w:val="bottom"/>
            <w:tcBorders>
              <w:bottom w:val="single" w:sz="8" w:color="auto"/>
              <w:right w:val="single" w:sz="8" w:color="auto"/>
            </w:tcBorders>
          </w:tcPr>
          <w:p>
            <w:pPr>
              <w:jc w:val="right"/>
              <w:ind w:right="600"/>
              <w:spacing w:after="0"/>
              <w:rPr>
                <w:sz w:val="20"/>
                <w:szCs w:val="20"/>
                <w:color w:val="auto"/>
              </w:rPr>
            </w:pPr>
            <w:r>
              <w:rPr>
                <w:rFonts w:ascii="Arial" w:cs="Arial" w:eastAsia="Arial" w:hAnsi="Arial"/>
                <w:sz w:val="16"/>
                <w:szCs w:val="16"/>
                <w:color w:val="auto"/>
              </w:rPr>
              <w:t>Last FY</w:t>
            </w:r>
          </w:p>
        </w:tc>
        <w:tc>
          <w:tcPr>
            <w:tcW w:w="1640" w:type="dxa"/>
            <w:vAlign w:val="bottom"/>
            <w:tcBorders>
              <w:bottom w:val="single" w:sz="8" w:color="auto"/>
              <w:right w:val="single" w:sz="8" w:color="auto"/>
            </w:tcBorders>
          </w:tcPr>
          <w:p>
            <w:pPr>
              <w:jc w:val="right"/>
              <w:ind w:right="300"/>
              <w:spacing w:after="0"/>
              <w:rPr>
                <w:sz w:val="20"/>
                <w:szCs w:val="20"/>
                <w:color w:val="auto"/>
              </w:rPr>
            </w:pPr>
            <w:r>
              <w:rPr>
                <w:rFonts w:ascii="Arial" w:cs="Arial" w:eastAsia="Arial" w:hAnsi="Arial"/>
                <w:sz w:val="16"/>
                <w:szCs w:val="16"/>
                <w:color w:val="auto"/>
              </w:rPr>
              <w:t>in Last FY (2)</w:t>
            </w:r>
          </w:p>
        </w:tc>
        <w:tc>
          <w:tcPr>
            <w:tcW w:w="1660" w:type="dxa"/>
            <w:vAlign w:val="bottom"/>
            <w:tcBorders>
              <w:bottom w:val="single" w:sz="8" w:color="auto"/>
              <w:right w:val="single" w:sz="8" w:color="auto"/>
            </w:tcBorders>
          </w:tcPr>
          <w:p>
            <w:pPr>
              <w:jc w:val="right"/>
              <w:ind w:right="500"/>
              <w:spacing w:after="0"/>
              <w:rPr>
                <w:sz w:val="20"/>
                <w:szCs w:val="20"/>
                <w:color w:val="auto"/>
              </w:rPr>
            </w:pPr>
            <w:r>
              <w:rPr>
                <w:rFonts w:ascii="Arial" w:cs="Arial" w:eastAsia="Arial" w:hAnsi="Arial"/>
                <w:sz w:val="16"/>
                <w:szCs w:val="16"/>
                <w:color w:val="auto"/>
              </w:rPr>
              <w:t>Last FY</w:t>
            </w:r>
          </w:p>
        </w:tc>
        <w:tc>
          <w:tcPr>
            <w:tcW w:w="198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color w:val="auto"/>
                <w:w w:val="93"/>
              </w:rPr>
              <w:t>Distributions</w:t>
            </w:r>
          </w:p>
        </w:tc>
        <w:tc>
          <w:tcPr>
            <w:tcW w:w="340" w:type="dxa"/>
            <w:vAlign w:val="bottom"/>
            <w:tcBorders>
              <w:bottom w:val="single" w:sz="8" w:color="auto"/>
            </w:tcBorders>
          </w:tcPr>
          <w:p>
            <w:pPr>
              <w:spacing w:after="0"/>
              <w:rPr>
                <w:sz w:val="18"/>
                <w:szCs w:val="18"/>
                <w:color w:val="auto"/>
              </w:rPr>
            </w:pPr>
          </w:p>
        </w:tc>
        <w:tc>
          <w:tcPr>
            <w:tcW w:w="2000" w:type="dxa"/>
            <w:vAlign w:val="bottom"/>
          </w:tcPr>
          <w:p>
            <w:pPr>
              <w:jc w:val="right"/>
              <w:ind w:right="780"/>
              <w:spacing w:after="0"/>
              <w:rPr>
                <w:sz w:val="20"/>
                <w:szCs w:val="20"/>
                <w:color w:val="auto"/>
              </w:rPr>
            </w:pPr>
            <w:r>
              <w:rPr>
                <w:rFonts w:ascii="Arial" w:cs="Arial" w:eastAsia="Arial" w:hAnsi="Arial"/>
                <w:sz w:val="16"/>
                <w:szCs w:val="16"/>
                <w:color w:val="auto"/>
              </w:rPr>
              <w:t>FYE</w:t>
            </w:r>
          </w:p>
        </w:tc>
      </w:tr>
      <w:tr>
        <w:trPr>
          <w:trHeight w:val="196"/>
        </w:trPr>
        <w:tc>
          <w:tcPr>
            <w:tcW w:w="2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 Batten (1)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196"/>
        </w:trPr>
        <w:tc>
          <w:tcPr>
            <w:tcW w:w="20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r>
      <w:tr>
        <w:trPr>
          <w:trHeight w:val="196"/>
        </w:trPr>
        <w:tc>
          <w:tcPr>
            <w:tcW w:w="2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J.H. Batten</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$19,081</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$68,005</w:t>
            </w:r>
          </w:p>
        </w:tc>
      </w:tr>
      <w:tr>
        <w:trPr>
          <w:trHeight w:val="196"/>
        </w:trPr>
        <w:tc>
          <w:tcPr>
            <w:tcW w:w="20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r>
      <w:tr>
        <w:trPr>
          <w:trHeight w:val="196"/>
        </w:trPr>
        <w:tc>
          <w:tcPr>
            <w:tcW w:w="2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C.J. Eperjesy</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$14,052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$2,105</w:t>
            </w: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$68,719</w:t>
            </w:r>
          </w:p>
        </w:tc>
      </w:tr>
      <w:tr>
        <w:trPr>
          <w:trHeight w:val="196"/>
        </w:trPr>
        <w:tc>
          <w:tcPr>
            <w:tcW w:w="20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r>
      <w:tr>
        <w:trPr>
          <w:trHeight w:val="196"/>
        </w:trPr>
        <w:tc>
          <w:tcPr>
            <w:tcW w:w="2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J.E. Feiertag</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$17,475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$86,478</w:t>
            </w:r>
          </w:p>
        </w:tc>
      </w:tr>
      <w:tr>
        <w:trPr>
          <w:trHeight w:val="196"/>
        </w:trPr>
        <w:tc>
          <w:tcPr>
            <w:tcW w:w="20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r>
      <w:tr>
        <w:trPr>
          <w:trHeight w:val="196"/>
        </w:trPr>
        <w:tc>
          <w:tcPr>
            <w:tcW w:w="20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D.J. Bratel</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$6,233</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9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15,536</w:t>
            </w:r>
          </w:p>
        </w:tc>
      </w:tr>
    </w:tbl>
    <w:p>
      <w:pPr>
        <w:spacing w:after="0" w:line="204" w:lineRule="exact"/>
        <w:rPr>
          <w:sz w:val="20"/>
          <w:szCs w:val="20"/>
          <w:color w:val="auto"/>
        </w:rPr>
      </w:pPr>
    </w:p>
    <w:p>
      <w:pPr>
        <w:ind w:left="280" w:hanging="262"/>
        <w:spacing w:after="0"/>
        <w:tabs>
          <w:tab w:leader="none" w:pos="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M. Batten does not participate in a nonqualified defined contribution or other deferred compensation plan.</w:t>
      </w:r>
    </w:p>
    <w:p>
      <w:pPr>
        <w:spacing w:after="0" w:line="224" w:lineRule="exact"/>
        <w:rPr>
          <w:rFonts w:ascii="Arial" w:cs="Arial" w:eastAsia="Arial" w:hAnsi="Arial"/>
          <w:sz w:val="16"/>
          <w:szCs w:val="16"/>
          <w:color w:val="auto"/>
        </w:rPr>
      </w:pPr>
    </w:p>
    <w:p>
      <w:pPr>
        <w:ind w:left="280" w:hanging="262"/>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reported in the “Registrant Contributions in Last FY” column are included in the “All Other Compensation” figures of the Summary Compensation Table.</w:t>
      </w: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Supplemental Executive Retirement Plan</w:t>
      </w:r>
    </w:p>
    <w:p>
      <w:pPr>
        <w:spacing w:after="0" w:line="22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Supplemental Executive Retirement Plan (“SERP”) is available to qualified US-based Named Executive Officers. For those who became participants after January 1, 1998 (including Mr. J. Batten, Mr. Eperjesy, Mr. Feiertag and Mr. Bratel)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Feiertag, and Bratel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Feiertag, and Bratel will receive interest credits based on the annual rate on 30-year Treasury securities, with a minimum annual interest credit of three percent.</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and the second payment to be made on February 1 of the following year. The two payments shall be the actuarial equivalent of the annual benefit calculated under the single life annuity form.</w:t>
      </w:r>
    </w:p>
    <w:p>
      <w:pPr>
        <w:spacing w:after="0" w:line="19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ectPr>
          <w:pgSz w:w="11900" w:h="16838" w:orient="portrait"/>
          <w:cols w:equalWidth="0" w:num="1">
            <w:col w:w="11440"/>
          </w:cols>
          <w:pgMar w:left="240" w:top="692" w:right="219" w:bottom="0" w:gutter="0" w:footer="0" w:header="0"/>
        </w:sectPr>
      </w:pPr>
    </w:p>
    <w:bookmarkStart w:id="29" w:name="page30"/>
    <w:bookmarkEnd w:id="2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452755</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28" w:lineRule="exact"/>
        <w:rPr>
          <w:sz w:val="20"/>
          <w:szCs w:val="20"/>
          <w:color w:val="auto"/>
        </w:rPr>
      </w:pPr>
    </w:p>
    <w:p>
      <w:pPr>
        <w:ind w:right="260"/>
        <w:spacing w:after="0" w:line="351" w:lineRule="auto"/>
        <w:rPr>
          <w:sz w:val="20"/>
          <w:szCs w:val="20"/>
          <w:color w:val="auto"/>
        </w:rPr>
      </w:pPr>
      <w:r>
        <w:rPr>
          <w:rFonts w:ascii="Arial" w:cs="Arial" w:eastAsia="Arial" w:hAnsi="Arial"/>
          <w:sz w:val="14"/>
          <w:szCs w:val="14"/>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26" w:lineRule="exact"/>
        <w:rPr>
          <w:sz w:val="20"/>
          <w:szCs w:val="20"/>
          <w:color w:val="auto"/>
        </w:rPr>
      </w:pPr>
    </w:p>
    <w:p>
      <w:pPr>
        <w:jc w:val="both"/>
        <w:ind w:left="580" w:hanging="127"/>
        <w:spacing w:after="0" w:line="258"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Normal or Early Retirement</w:t>
      </w:r>
      <w:r>
        <w:rPr>
          <w:rFonts w:ascii="Arial" w:cs="Arial" w:eastAsia="Arial" w:hAnsi="Arial"/>
          <w:sz w:val="16"/>
          <w:szCs w:val="16"/>
          <w:color w:val="auto"/>
        </w:rPr>
        <w:t>. The normal retirement age for US-based employees, including the Named Executive Officers, is 65. All full-time salaried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before October 1, 2003 participate in the 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Currently Mr. M. Batten is the only Named Executive Officer eligible for retirement.</w:t>
      </w:r>
    </w:p>
    <w:p>
      <w:pPr>
        <w:spacing w:after="0" w:line="192" w:lineRule="exact"/>
        <w:rPr>
          <w:rFonts w:ascii="Arial" w:cs="Arial" w:eastAsia="Arial" w:hAnsi="Arial"/>
          <w:sz w:val="16"/>
          <w:szCs w:val="16"/>
          <w:color w:val="auto"/>
        </w:rPr>
      </w:pPr>
    </w:p>
    <w:p>
      <w:pPr>
        <w:ind w:left="580" w:right="320"/>
        <w:spacing w:after="0" w:line="277" w:lineRule="auto"/>
        <w:rPr>
          <w:rFonts w:ascii="Arial" w:cs="Arial" w:eastAsia="Arial" w:hAnsi="Arial"/>
          <w:sz w:val="16"/>
          <w:szCs w:val="16"/>
          <w:color w:val="auto"/>
        </w:rPr>
      </w:pPr>
      <w:r>
        <w:rPr>
          <w:rFonts w:ascii="Arial" w:cs="Arial" w:eastAsia="Arial" w:hAnsi="Arial"/>
          <w:sz w:val="16"/>
          <w:szCs w:val="16"/>
          <w:color w:val="auto"/>
        </w:rPr>
        <w:t>Medical benefits are only available to Twin Disc retirees hired before October 1, 2003 and who are not yet Medicare-eligible. Eligibility for retiree medical benefits ends upon reaching Medicare eligibility.</w:t>
      </w:r>
    </w:p>
    <w:p>
      <w:pPr>
        <w:spacing w:after="0" w:line="17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Restricted stock is forfeited if retirement occurs before the restrictions on such shares have ended.</w:t>
      </w:r>
    </w:p>
    <w:p>
      <w:pPr>
        <w:spacing w:after="0" w:line="224" w:lineRule="exact"/>
        <w:rPr>
          <w:rFonts w:ascii="Arial" w:cs="Arial" w:eastAsia="Arial" w:hAnsi="Arial"/>
          <w:sz w:val="16"/>
          <w:szCs w:val="16"/>
          <w:color w:val="auto"/>
        </w:rPr>
      </w:pPr>
    </w:p>
    <w:p>
      <w:pPr>
        <w:ind w:left="580" w:right="340"/>
        <w:spacing w:after="0" w:line="277" w:lineRule="auto"/>
        <w:rPr>
          <w:rFonts w:ascii="Arial" w:cs="Arial" w:eastAsia="Arial" w:hAnsi="Arial"/>
          <w:sz w:val="16"/>
          <w:szCs w:val="16"/>
          <w:color w:val="auto"/>
        </w:rPr>
      </w:pPr>
      <w:r>
        <w:rPr>
          <w:rFonts w:ascii="Arial" w:cs="Arial" w:eastAsia="Arial" w:hAnsi="Arial"/>
          <w:sz w:val="16"/>
          <w:szCs w:val="16"/>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Stock options must be exercised within 30 days of termination or they expire.</w:t>
      </w:r>
    </w:p>
    <w:p>
      <w:pPr>
        <w:spacing w:after="0" w:line="224" w:lineRule="exact"/>
        <w:rPr>
          <w:rFonts w:ascii="Arial" w:cs="Arial" w:eastAsia="Arial" w:hAnsi="Arial"/>
          <w:sz w:val="16"/>
          <w:szCs w:val="16"/>
          <w:color w:val="auto"/>
        </w:rPr>
      </w:pPr>
    </w:p>
    <w:p>
      <w:pPr>
        <w:ind w:left="580" w:right="140"/>
        <w:spacing w:after="0" w:line="277" w:lineRule="auto"/>
        <w:rPr>
          <w:rFonts w:ascii="Arial" w:cs="Arial" w:eastAsia="Arial" w:hAnsi="Arial"/>
          <w:sz w:val="16"/>
          <w:szCs w:val="16"/>
          <w:color w:val="auto"/>
        </w:rPr>
      </w:pPr>
      <w:r>
        <w:rPr>
          <w:rFonts w:ascii="Arial" w:cs="Arial" w:eastAsia="Arial" w:hAnsi="Arial"/>
          <w:sz w:val="16"/>
          <w:szCs w:val="16"/>
          <w:color w:val="auto"/>
        </w:rPr>
        <w:t>A Supplemental Executive Retirement Plan (SERP) is available for the Named Executive Officers who qualify for a retirement benefit under the Corporation’s pension plans.</w:t>
      </w:r>
    </w:p>
    <w:p>
      <w:pPr>
        <w:spacing w:after="0" w:line="171" w:lineRule="exact"/>
        <w:rPr>
          <w:rFonts w:ascii="Arial" w:cs="Arial" w:eastAsia="Arial" w:hAnsi="Arial"/>
          <w:sz w:val="16"/>
          <w:szCs w:val="16"/>
          <w:color w:val="auto"/>
        </w:rPr>
      </w:pPr>
    </w:p>
    <w:p>
      <w:pPr>
        <w:ind w:left="580" w:right="20" w:hanging="127"/>
        <w:spacing w:after="0" w:line="28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Death while Employed</w:t>
      </w:r>
      <w:r>
        <w:rPr>
          <w:rFonts w:ascii="Arial" w:cs="Arial" w:eastAsia="Arial" w:hAnsi="Arial"/>
          <w:sz w:val="16"/>
          <w:szCs w:val="16"/>
          <w:color w:val="auto"/>
        </w:rPr>
        <w:t>. In the event of death of a Named Executive Officer while actively employed, the executive’s estate would receive payment for any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earned, but not yet paid. In addition, any vacation accrual not used would also be paid to the estate.</w:t>
      </w:r>
    </w:p>
    <w:p>
      <w:pPr>
        <w:spacing w:after="0" w:line="17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Restricted stock vests and becomes payable per the terms of the individual grant agreement. The estate would receive the payment.</w:t>
      </w:r>
    </w:p>
    <w:p>
      <w:pPr>
        <w:spacing w:after="0" w:line="224" w:lineRule="exact"/>
        <w:rPr>
          <w:rFonts w:ascii="Arial" w:cs="Arial" w:eastAsia="Arial" w:hAnsi="Arial"/>
          <w:sz w:val="16"/>
          <w:szCs w:val="16"/>
          <w:color w:val="auto"/>
        </w:rPr>
      </w:pPr>
    </w:p>
    <w:p>
      <w:pPr>
        <w:ind w:left="580" w:right="400"/>
        <w:spacing w:after="0" w:line="277" w:lineRule="auto"/>
        <w:rPr>
          <w:rFonts w:ascii="Arial" w:cs="Arial" w:eastAsia="Arial" w:hAnsi="Arial"/>
          <w:sz w:val="16"/>
          <w:szCs w:val="16"/>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7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Options will fully vest and may pass to the estate, or as directed by a will, and must be exercised within one year from date of death.</w:t>
      </w:r>
    </w:p>
    <w:p>
      <w:pPr>
        <w:spacing w:after="0" w:line="220" w:lineRule="exact"/>
        <w:rPr>
          <w:rFonts w:ascii="Arial" w:cs="Arial" w:eastAsia="Arial" w:hAnsi="Arial"/>
          <w:sz w:val="16"/>
          <w:szCs w:val="16"/>
          <w:color w:val="auto"/>
        </w:rPr>
      </w:pPr>
    </w:p>
    <w:p>
      <w:pPr>
        <w:ind w:left="580" w:right="20" w:hanging="127"/>
        <w:spacing w:after="0" w:line="28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Disability</w:t>
      </w:r>
      <w:r>
        <w:rPr>
          <w:rFonts w:ascii="Arial" w:cs="Arial" w:eastAsia="Arial" w:hAnsi="Arial"/>
          <w:sz w:val="16"/>
          <w:szCs w:val="16"/>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or pension eligibility.</w:t>
      </w:r>
    </w:p>
    <w:p>
      <w:pPr>
        <w:spacing w:after="0" w:line="17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Restricted stock vests and becomes payable per the terms of the individual grant agreement.</w:t>
      </w:r>
    </w:p>
    <w:p>
      <w:pPr>
        <w:spacing w:after="0" w:line="224" w:lineRule="exact"/>
        <w:rPr>
          <w:rFonts w:ascii="Arial" w:cs="Arial" w:eastAsia="Arial" w:hAnsi="Arial"/>
          <w:sz w:val="16"/>
          <w:szCs w:val="16"/>
          <w:color w:val="auto"/>
        </w:rPr>
      </w:pPr>
    </w:p>
    <w:p>
      <w:pPr>
        <w:ind w:left="580" w:right="460"/>
        <w:spacing w:after="0" w:line="312" w:lineRule="auto"/>
        <w:rPr>
          <w:rFonts w:ascii="Arial" w:cs="Arial" w:eastAsia="Arial" w:hAnsi="Arial"/>
          <w:sz w:val="16"/>
          <w:szCs w:val="16"/>
          <w:color w:val="auto"/>
        </w:rPr>
      </w:pPr>
      <w:r>
        <w:rPr>
          <w:rFonts w:ascii="Arial" w:cs="Arial" w:eastAsia="Arial" w:hAnsi="Arial"/>
          <w:sz w:val="15"/>
          <w:szCs w:val="15"/>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48" w:lineRule="exact"/>
        <w:rPr>
          <w:rFonts w:ascii="Arial" w:cs="Arial" w:eastAsia="Arial" w:hAnsi="Arial"/>
          <w:sz w:val="16"/>
          <w:szCs w:val="16"/>
          <w:color w:val="auto"/>
        </w:rPr>
      </w:pPr>
    </w:p>
    <w:p>
      <w:pPr>
        <w:ind w:left="580" w:right="20" w:hanging="127"/>
        <w:spacing w:after="0" w:line="28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Termination for Cause</w:t>
      </w:r>
      <w:r>
        <w:rPr>
          <w:rFonts w:ascii="Arial" w:cs="Arial" w:eastAsia="Arial" w:hAnsi="Arial"/>
          <w:sz w:val="16"/>
          <w:szCs w:val="16"/>
          <w:color w:val="auto"/>
        </w:rPr>
        <w:t>. An executive is not eligible for any additional benefits at termination, unless the Compensation Committee would determine that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are appropriate.</w:t>
      </w:r>
    </w:p>
    <w:p>
      <w:pPr>
        <w:spacing w:after="0" w:line="168" w:lineRule="exact"/>
        <w:rPr>
          <w:rFonts w:ascii="Arial" w:cs="Arial" w:eastAsia="Arial" w:hAnsi="Arial"/>
          <w:sz w:val="16"/>
          <w:szCs w:val="16"/>
          <w:color w:val="auto"/>
        </w:rPr>
      </w:pPr>
    </w:p>
    <w:p>
      <w:pPr>
        <w:ind w:left="580" w:right="20" w:hanging="127"/>
        <w:spacing w:after="0" w:line="28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Voluntary Termination Prior to Retirement</w:t>
      </w:r>
      <w:r>
        <w:rPr>
          <w:rFonts w:ascii="Arial" w:cs="Arial" w:eastAsia="Arial" w:hAnsi="Arial"/>
          <w:sz w:val="16"/>
          <w:szCs w:val="16"/>
          <w:color w:val="auto"/>
        </w:rPr>
        <w:t>. An executive is not entitled to any additional forms of severance payments in the event of a voluntary termination,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becoming eligible for retirement.</w:t>
      </w:r>
    </w:p>
    <w:p>
      <w:pPr>
        <w:spacing w:after="0" w:line="168" w:lineRule="exact"/>
        <w:rPr>
          <w:rFonts w:ascii="Arial" w:cs="Arial" w:eastAsia="Arial" w:hAnsi="Arial"/>
          <w:sz w:val="16"/>
          <w:szCs w:val="16"/>
          <w:color w:val="auto"/>
        </w:rPr>
      </w:pPr>
    </w:p>
    <w:p>
      <w:pPr>
        <w:jc w:val="both"/>
        <w:ind w:left="580" w:hanging="127"/>
        <w:spacing w:after="0" w:line="294"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Involuntary Termination (or Resignation for Good Cause) Following Change in Control</w:t>
      </w:r>
      <w:r>
        <w:rPr>
          <w:rFonts w:ascii="Arial" w:cs="Arial" w:eastAsia="Arial" w:hAnsi="Arial"/>
          <w:sz w:val="14"/>
          <w:szCs w:val="14"/>
          <w:color w:val="auto"/>
        </w:rPr>
        <w:t>. In July 2007, the Corporation entered into Change in Control Severance</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Agreements with each of our Named Executive Officers. The agreements provide that, following a change in control of the corporation (as defined in the agreement) if employment of the executive officer is terminated by the Corporation for any reason other than "Good Cause," or terminated by the executive for "Good Reason" within</w:t>
      </w:r>
    </w:p>
    <w:p>
      <w:pPr>
        <w:spacing w:after="0" w:line="1" w:lineRule="exact"/>
        <w:rPr>
          <w:rFonts w:ascii="Arial" w:cs="Arial" w:eastAsia="Arial" w:hAnsi="Arial"/>
          <w:sz w:val="14"/>
          <w:szCs w:val="14"/>
          <w:color w:val="auto"/>
        </w:rPr>
      </w:pPr>
    </w:p>
    <w:p>
      <w:pPr>
        <w:ind w:left="980" w:right="4380" w:hanging="417"/>
        <w:spacing w:after="0" w:line="267" w:lineRule="auto"/>
        <w:rPr>
          <w:rFonts w:ascii="Arial" w:cs="Arial" w:eastAsia="Arial" w:hAnsi="Arial"/>
          <w:sz w:val="14"/>
          <w:szCs w:val="14"/>
          <w:color w:val="auto"/>
        </w:rPr>
      </w:pPr>
      <w:r>
        <w:rPr>
          <w:rFonts w:ascii="Arial" w:cs="Arial" w:eastAsia="Arial" w:hAnsi="Arial"/>
          <w:sz w:val="15"/>
          <w:szCs w:val="15"/>
          <w:color w:val="auto"/>
        </w:rPr>
        <w:t>24 months after the change in control occurs, certain benefits would become payable. These include: o severance as a multiple of base salary and most recent annual bonus,</w:t>
      </w:r>
    </w:p>
    <w:p>
      <w:pPr>
        <w:ind w:left="980" w:right="7360"/>
        <w:spacing w:after="0" w:line="267" w:lineRule="auto"/>
        <w:rPr>
          <w:rFonts w:ascii="Arial" w:cs="Arial" w:eastAsia="Arial" w:hAnsi="Arial"/>
          <w:sz w:val="14"/>
          <w:szCs w:val="14"/>
          <w:color w:val="auto"/>
        </w:rPr>
      </w:pPr>
      <w:r>
        <w:rPr>
          <w:rFonts w:ascii="Arial" w:cs="Arial" w:eastAsia="Arial" w:hAnsi="Arial"/>
          <w:sz w:val="15"/>
          <w:szCs w:val="15"/>
          <w:color w:val="auto"/>
        </w:rPr>
        <w:t>o twenty-four months of benefit continuation, o current value of all outstanding stock options, o restricted stock, and</w:t>
      </w:r>
    </w:p>
    <w:p>
      <w:pPr>
        <w:ind w:left="1140" w:right="20" w:hanging="160"/>
        <w:spacing w:after="0" w:line="261" w:lineRule="auto"/>
        <w:rPr>
          <w:rFonts w:ascii="Arial" w:cs="Arial" w:eastAsia="Arial" w:hAnsi="Arial"/>
          <w:sz w:val="14"/>
          <w:szCs w:val="14"/>
          <w:color w:val="auto"/>
        </w:rPr>
      </w:pPr>
      <w:r>
        <w:rPr>
          <w:rFonts w:ascii="Arial" w:cs="Arial" w:eastAsia="Arial" w:hAnsi="Arial"/>
          <w:sz w:val="16"/>
          <w:szCs w:val="16"/>
          <w:color w:val="auto"/>
        </w:rPr>
        <w:t>o performance stock and performance units immediately vest, and stock or cash is paid under the agreements as if the maximum performance objective was achieved.</w:t>
      </w:r>
    </w:p>
    <w:p>
      <w:pPr>
        <w:spacing w:after="0" w:line="187" w:lineRule="exact"/>
        <w:rPr>
          <w:rFonts w:ascii="Arial" w:cs="Arial" w:eastAsia="Arial" w:hAnsi="Arial"/>
          <w:sz w:val="14"/>
          <w:szCs w:val="14"/>
          <w:color w:val="auto"/>
        </w:rPr>
      </w:pPr>
    </w:p>
    <w:p>
      <w:pPr>
        <w:ind w:left="580" w:right="200"/>
        <w:spacing w:after="0" w:line="282" w:lineRule="auto"/>
        <w:rPr>
          <w:rFonts w:ascii="Arial" w:cs="Arial" w:eastAsia="Arial" w:hAnsi="Arial"/>
          <w:sz w:val="14"/>
          <w:szCs w:val="14"/>
          <w:color w:val="auto"/>
        </w:rPr>
      </w:pPr>
      <w:r>
        <w:rPr>
          <w:rFonts w:ascii="Arial" w:cs="Arial" w:eastAsia="Arial" w:hAnsi="Arial"/>
          <w:sz w:val="15"/>
          <w:szCs w:val="15"/>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391"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following tables show the amounts payable under different termination scenarios for each Named Executive Officer as if such scenario occurred on June 30, 2012, the last day of the Corporation’s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Michael E. Batten</w:t>
            </w: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vMerge w:val="restart"/>
          </w:tcPr>
          <w:p>
            <w:pPr>
              <w:jc w:val="center"/>
              <w:ind w:left="80"/>
              <w:spacing w:after="0"/>
              <w:rPr>
                <w:sz w:val="20"/>
                <w:szCs w:val="20"/>
                <w:color w:val="auto"/>
              </w:rPr>
            </w:pPr>
            <w:r>
              <w:rPr>
                <w:rFonts w:ascii="Arial" w:cs="Arial" w:eastAsia="Arial" w:hAnsi="Arial"/>
                <w:sz w:val="16"/>
                <w:szCs w:val="16"/>
                <w:color w:val="auto"/>
                <w:w w:val="91"/>
              </w:rPr>
              <w:t>(1)</w:t>
            </w: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0"/>
              </w:rPr>
              <w:t>Value of Accelerated</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8"/>
              </w:rPr>
              <w:t>Base Salary ($)</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Bonus</w:t>
            </w:r>
          </w:p>
        </w:tc>
        <w:tc>
          <w:tcPr>
            <w:tcW w:w="1740" w:type="dxa"/>
            <w:vAlign w:val="bottom"/>
          </w:tcPr>
          <w:p>
            <w:pPr>
              <w:jc w:val="center"/>
              <w:ind w:left="80"/>
              <w:spacing w:after="0"/>
              <w:rPr>
                <w:sz w:val="20"/>
                <w:szCs w:val="20"/>
                <w:color w:val="auto"/>
              </w:rPr>
            </w:pPr>
            <w:r>
              <w:rPr>
                <w:rFonts w:ascii="Arial" w:cs="Arial" w:eastAsia="Arial" w:hAnsi="Arial"/>
                <w:sz w:val="16"/>
                <w:szCs w:val="16"/>
                <w:color w:val="auto"/>
                <w:w w:val="93"/>
              </w:rPr>
              <w:t>Non-Equity Incentive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Restricted Stock,</w:t>
            </w:r>
          </w:p>
        </w:tc>
        <w:tc>
          <w:tcPr>
            <w:tcW w:w="1500" w:type="dxa"/>
            <w:vAlign w:val="bottom"/>
          </w:tcPr>
          <w:p>
            <w:pPr>
              <w:jc w:val="center"/>
              <w:ind w:right="200"/>
              <w:spacing w:after="0"/>
              <w:rPr>
                <w:sz w:val="20"/>
                <w:szCs w:val="20"/>
                <w:color w:val="auto"/>
              </w:rPr>
            </w:pPr>
            <w:r>
              <w:rPr>
                <w:rFonts w:ascii="Arial" w:cs="Arial" w:eastAsia="Arial" w:hAnsi="Arial"/>
                <w:sz w:val="16"/>
                <w:szCs w:val="16"/>
                <w:color w:val="auto"/>
                <w:w w:val="91"/>
              </w:rPr>
              <w:t>Other Benefits</w:t>
            </w:r>
          </w:p>
        </w:tc>
        <w:tc>
          <w:tcPr>
            <w:tcW w:w="1820" w:type="dxa"/>
            <w:vAlign w:val="bottom"/>
          </w:tcPr>
          <w:p>
            <w:pPr>
              <w:jc w:val="center"/>
              <w:ind w:right="100"/>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gridSpan w:val="2"/>
          </w:tcPr>
          <w:p>
            <w:pPr>
              <w:ind w:left="540"/>
              <w:spacing w:after="0"/>
              <w:rPr>
                <w:sz w:val="20"/>
                <w:szCs w:val="20"/>
                <w:color w:val="auto"/>
              </w:rPr>
            </w:pPr>
            <w:r>
              <w:rPr>
                <w:rFonts w:ascii="Arial" w:cs="Arial" w:eastAsia="Arial" w:hAnsi="Arial"/>
                <w:sz w:val="16"/>
                <w:szCs w:val="16"/>
                <w:color w:val="auto"/>
              </w:rPr>
              <w:t>Termination Event</w:t>
            </w:r>
          </w:p>
        </w:tc>
        <w:tc>
          <w:tcPr>
            <w:tcW w:w="1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740" w:type="dxa"/>
            <w:vAlign w:val="bottom"/>
          </w:tcPr>
          <w:p>
            <w:pPr>
              <w:jc w:val="center"/>
              <w:ind w:left="100"/>
              <w:spacing w:after="0"/>
              <w:rPr>
                <w:sz w:val="20"/>
                <w:szCs w:val="20"/>
                <w:color w:val="auto"/>
              </w:rPr>
            </w:pPr>
            <w:r>
              <w:rPr>
                <w:rFonts w:ascii="Arial" w:cs="Arial" w:eastAsia="Arial" w:hAnsi="Arial"/>
                <w:sz w:val="16"/>
                <w:szCs w:val="16"/>
                <w:color w:val="auto"/>
                <w:w w:val="87"/>
              </w:rPr>
              <w:t>Plan</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Performance Stock,</w:t>
            </w:r>
          </w:p>
        </w:tc>
        <w:tc>
          <w:tcPr>
            <w:tcW w:w="1500" w:type="dxa"/>
            <w:vAlign w:val="bottom"/>
          </w:tcPr>
          <w:p>
            <w:pPr>
              <w:jc w:val="center"/>
              <w:ind w:right="200"/>
              <w:spacing w:after="0"/>
              <w:rPr>
                <w:sz w:val="20"/>
                <w:szCs w:val="20"/>
                <w:color w:val="auto"/>
              </w:rPr>
            </w:pPr>
            <w:r>
              <w:rPr>
                <w:rFonts w:ascii="Arial" w:cs="Arial" w:eastAsia="Arial" w:hAnsi="Arial"/>
                <w:sz w:val="16"/>
                <w:szCs w:val="16"/>
                <w:color w:val="auto"/>
                <w:w w:val="91"/>
              </w:rPr>
              <w:t>($)</w:t>
            </w:r>
          </w:p>
        </w:tc>
        <w:tc>
          <w:tcPr>
            <w:tcW w:w="1820" w:type="dxa"/>
            <w:vAlign w:val="bottom"/>
          </w:tcPr>
          <w:p>
            <w:pPr>
              <w:jc w:val="center"/>
              <w:ind w:right="120"/>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jc w:val="center"/>
              <w:ind w:left="80"/>
              <w:spacing w:after="0"/>
              <w:rPr>
                <w:sz w:val="20"/>
                <w:szCs w:val="20"/>
                <w:color w:val="auto"/>
              </w:rPr>
            </w:pPr>
            <w:r>
              <w:rPr>
                <w:rFonts w:ascii="Arial" w:cs="Arial" w:eastAsia="Arial" w:hAnsi="Arial"/>
                <w:sz w:val="16"/>
                <w:szCs w:val="16"/>
                <w:color w:val="auto"/>
                <w:w w:val="91"/>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Performance Stock Units,</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and Stock Options</w:t>
            </w: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Normal Retirement prior to a</w:t>
            </w:r>
          </w:p>
        </w:tc>
        <w:tc>
          <w:tcPr>
            <w:tcW w:w="15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740" w:type="dxa"/>
            <w:vAlign w:val="bottom"/>
            <w:shd w:val="clear" w:color="auto" w:fill="CCFFFF"/>
          </w:tcPr>
          <w:p>
            <w:pPr>
              <w:jc w:val="center"/>
              <w:ind w:left="100"/>
              <w:spacing w:after="0" w:line="180" w:lineRule="exact"/>
              <w:rPr>
                <w:sz w:val="20"/>
                <w:szCs w:val="20"/>
                <w:color w:val="auto"/>
              </w:rPr>
            </w:pPr>
            <w:r>
              <w:rPr>
                <w:rFonts w:ascii="Arial" w:cs="Arial" w:eastAsia="Arial" w:hAnsi="Arial"/>
                <w:sz w:val="16"/>
                <w:szCs w:val="16"/>
                <w:color w:val="auto"/>
                <w:w w:val="89"/>
              </w:rPr>
              <w:t>$623,875</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$2,180,975 (2)</w:t>
            </w:r>
          </w:p>
        </w:tc>
        <w:tc>
          <w:tcPr>
            <w:tcW w:w="1500" w:type="dxa"/>
            <w:vAlign w:val="bottom"/>
            <w:shd w:val="clear" w:color="auto" w:fill="CCFFFF"/>
          </w:tcPr>
          <w:p>
            <w:pPr>
              <w:jc w:val="center"/>
              <w:ind w:right="200"/>
              <w:spacing w:after="0" w:line="180" w:lineRule="exact"/>
              <w:rPr>
                <w:sz w:val="20"/>
                <w:szCs w:val="20"/>
                <w:color w:val="auto"/>
              </w:rPr>
            </w:pPr>
            <w:r>
              <w:rPr>
                <w:rFonts w:ascii="Arial" w:cs="Arial" w:eastAsia="Arial" w:hAnsi="Arial"/>
                <w:sz w:val="16"/>
                <w:szCs w:val="16"/>
                <w:color w:val="auto"/>
                <w:w w:val="90"/>
              </w:rPr>
              <w:t>$2,923,931 (4)</w:t>
            </w:r>
          </w:p>
        </w:tc>
        <w:tc>
          <w:tcPr>
            <w:tcW w:w="1820" w:type="dxa"/>
            <w:vAlign w:val="bottom"/>
            <w:shd w:val="clear" w:color="auto" w:fill="CCFFFF"/>
          </w:tcPr>
          <w:p>
            <w:pPr>
              <w:jc w:val="center"/>
              <w:ind w:right="100"/>
              <w:spacing w:after="0" w:line="180" w:lineRule="exact"/>
              <w:rPr>
                <w:sz w:val="20"/>
                <w:szCs w:val="20"/>
                <w:color w:val="auto"/>
              </w:rPr>
            </w:pPr>
            <w:r>
              <w:rPr>
                <w:rFonts w:ascii="Arial" w:cs="Arial" w:eastAsia="Arial" w:hAnsi="Arial"/>
                <w:sz w:val="16"/>
                <w:szCs w:val="16"/>
                <w:color w:val="auto"/>
                <w:w w:val="89"/>
              </w:rPr>
              <w:t>$5,728,781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Change in Control</w:t>
            </w:r>
          </w:p>
        </w:tc>
        <w:tc>
          <w:tcPr>
            <w:tcW w:w="15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shd w:val="clear" w:color="auto" w:fill="CCFFFF"/>
          </w:tcPr>
          <w:p>
            <w:pPr>
              <w:spacing w:after="0"/>
              <w:rPr>
                <w:sz w:val="17"/>
                <w:szCs w:val="17"/>
                <w:color w:val="auto"/>
              </w:rPr>
            </w:pPr>
          </w:p>
        </w:tc>
        <w:tc>
          <w:tcPr>
            <w:tcW w:w="174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500" w:type="dxa"/>
            <w:vAlign w:val="bottom"/>
            <w:shd w:val="clear" w:color="auto" w:fill="CCFFFF"/>
          </w:tcPr>
          <w:p>
            <w:pPr>
              <w:spacing w:after="0"/>
              <w:rPr>
                <w:sz w:val="17"/>
                <w:szCs w:val="17"/>
                <w:color w:val="auto"/>
              </w:rPr>
            </w:pPr>
          </w:p>
        </w:tc>
        <w:tc>
          <w:tcPr>
            <w:tcW w:w="18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Death</w:t>
            </w:r>
          </w:p>
        </w:tc>
        <w:tc>
          <w:tcPr>
            <w:tcW w:w="1500" w:type="dxa"/>
            <w:vAlign w:val="bottom"/>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740" w:type="dxa"/>
            <w:vAlign w:val="bottom"/>
          </w:tcPr>
          <w:p>
            <w:pPr>
              <w:jc w:val="center"/>
              <w:ind w:left="100"/>
              <w:spacing w:after="0" w:line="180" w:lineRule="exact"/>
              <w:rPr>
                <w:sz w:val="20"/>
                <w:szCs w:val="20"/>
                <w:color w:val="auto"/>
              </w:rPr>
            </w:pPr>
            <w:r>
              <w:rPr>
                <w:rFonts w:ascii="Arial" w:cs="Arial" w:eastAsia="Arial" w:hAnsi="Arial"/>
                <w:sz w:val="16"/>
                <w:szCs w:val="16"/>
                <w:color w:val="auto"/>
                <w:w w:val="89"/>
              </w:rPr>
              <w:t>$623,875</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2"/>
              </w:rPr>
              <w:t>$3,371,558 (3)</w:t>
            </w:r>
          </w:p>
        </w:tc>
        <w:tc>
          <w:tcPr>
            <w:tcW w:w="1500" w:type="dxa"/>
            <w:vAlign w:val="bottom"/>
          </w:tcPr>
          <w:p>
            <w:pPr>
              <w:jc w:val="center"/>
              <w:ind w:right="200"/>
              <w:spacing w:after="0" w:line="180" w:lineRule="exact"/>
              <w:rPr>
                <w:sz w:val="20"/>
                <w:szCs w:val="20"/>
                <w:color w:val="auto"/>
              </w:rPr>
            </w:pPr>
            <w:r>
              <w:rPr>
                <w:rFonts w:ascii="Arial" w:cs="Arial" w:eastAsia="Arial" w:hAnsi="Arial"/>
                <w:sz w:val="16"/>
                <w:szCs w:val="16"/>
                <w:color w:val="auto"/>
                <w:w w:val="90"/>
              </w:rPr>
              <w:t>$2,923,931 (4)</w:t>
            </w:r>
          </w:p>
        </w:tc>
        <w:tc>
          <w:tcPr>
            <w:tcW w:w="1820" w:type="dxa"/>
            <w:vAlign w:val="bottom"/>
          </w:tcPr>
          <w:p>
            <w:pPr>
              <w:jc w:val="center"/>
              <w:ind w:right="100"/>
              <w:spacing w:after="0" w:line="180" w:lineRule="exact"/>
              <w:rPr>
                <w:sz w:val="20"/>
                <w:szCs w:val="20"/>
                <w:color w:val="auto"/>
              </w:rPr>
            </w:pPr>
            <w:r>
              <w:rPr>
                <w:rFonts w:ascii="Arial" w:cs="Arial" w:eastAsia="Arial" w:hAnsi="Arial"/>
                <w:sz w:val="16"/>
                <w:szCs w:val="16"/>
                <w:color w:val="auto"/>
                <w:w w:val="89"/>
              </w:rPr>
              <w:t>$6,919,364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Disability</w:t>
            </w:r>
          </w:p>
        </w:tc>
        <w:tc>
          <w:tcPr>
            <w:tcW w:w="15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740" w:type="dxa"/>
            <w:vAlign w:val="bottom"/>
            <w:shd w:val="clear" w:color="auto" w:fill="CCFFFF"/>
          </w:tcPr>
          <w:p>
            <w:pPr>
              <w:jc w:val="center"/>
              <w:ind w:left="100"/>
              <w:spacing w:after="0" w:line="180" w:lineRule="exact"/>
              <w:rPr>
                <w:sz w:val="20"/>
                <w:szCs w:val="20"/>
                <w:color w:val="auto"/>
              </w:rPr>
            </w:pPr>
            <w:r>
              <w:rPr>
                <w:rFonts w:ascii="Arial" w:cs="Arial" w:eastAsia="Arial" w:hAnsi="Arial"/>
                <w:sz w:val="16"/>
                <w:szCs w:val="16"/>
                <w:color w:val="auto"/>
                <w:w w:val="89"/>
              </w:rPr>
              <w:t>$623,875</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$3,371,558 (3)</w:t>
            </w:r>
          </w:p>
        </w:tc>
        <w:tc>
          <w:tcPr>
            <w:tcW w:w="1500" w:type="dxa"/>
            <w:vAlign w:val="bottom"/>
            <w:shd w:val="clear" w:color="auto" w:fill="CCFFFF"/>
          </w:tcPr>
          <w:p>
            <w:pPr>
              <w:jc w:val="center"/>
              <w:ind w:right="200"/>
              <w:spacing w:after="0" w:line="180" w:lineRule="exact"/>
              <w:rPr>
                <w:sz w:val="20"/>
                <w:szCs w:val="20"/>
                <w:color w:val="auto"/>
              </w:rPr>
            </w:pPr>
            <w:r>
              <w:rPr>
                <w:rFonts w:ascii="Arial" w:cs="Arial" w:eastAsia="Arial" w:hAnsi="Arial"/>
                <w:sz w:val="16"/>
                <w:szCs w:val="16"/>
                <w:color w:val="auto"/>
                <w:w w:val="90"/>
              </w:rPr>
              <w:t>$3,211,431 (5)</w:t>
            </w:r>
          </w:p>
        </w:tc>
        <w:tc>
          <w:tcPr>
            <w:tcW w:w="1820" w:type="dxa"/>
            <w:vAlign w:val="bottom"/>
            <w:shd w:val="clear" w:color="auto" w:fill="CCFFFF"/>
          </w:tcPr>
          <w:p>
            <w:pPr>
              <w:jc w:val="center"/>
              <w:ind w:right="100"/>
              <w:spacing w:after="0" w:line="180" w:lineRule="exact"/>
              <w:rPr>
                <w:sz w:val="20"/>
                <w:szCs w:val="20"/>
                <w:color w:val="auto"/>
              </w:rPr>
            </w:pPr>
            <w:r>
              <w:rPr>
                <w:rFonts w:ascii="Arial" w:cs="Arial" w:eastAsia="Arial" w:hAnsi="Arial"/>
                <w:sz w:val="16"/>
                <w:szCs w:val="16"/>
                <w:color w:val="auto"/>
                <w:w w:val="89"/>
              </w:rPr>
              <w:t>$7,206,864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FFFF"/>
          </w:tcPr>
          <w:p>
            <w:pPr>
              <w:spacing w:after="0"/>
              <w:rPr>
                <w:sz w:val="17"/>
                <w:szCs w:val="17"/>
                <w:color w:val="auto"/>
              </w:rPr>
            </w:pPr>
          </w:p>
        </w:tc>
        <w:tc>
          <w:tcPr>
            <w:tcW w:w="940" w:type="dxa"/>
            <w:vAlign w:val="bottom"/>
            <w:shd w:val="clear" w:color="auto" w:fill="CCFFFF"/>
          </w:tcPr>
          <w:p>
            <w:pPr>
              <w:spacing w:after="0"/>
              <w:rPr>
                <w:sz w:val="17"/>
                <w:szCs w:val="17"/>
                <w:color w:val="auto"/>
              </w:rPr>
            </w:pPr>
          </w:p>
        </w:tc>
        <w:tc>
          <w:tcPr>
            <w:tcW w:w="15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shd w:val="clear" w:color="auto" w:fill="CCFFFF"/>
          </w:tcPr>
          <w:p>
            <w:pPr>
              <w:spacing w:after="0"/>
              <w:rPr>
                <w:sz w:val="17"/>
                <w:szCs w:val="17"/>
                <w:color w:val="auto"/>
              </w:rPr>
            </w:pPr>
          </w:p>
        </w:tc>
        <w:tc>
          <w:tcPr>
            <w:tcW w:w="174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500" w:type="dxa"/>
            <w:vAlign w:val="bottom"/>
            <w:shd w:val="clear" w:color="auto" w:fill="CCFFFF"/>
          </w:tcPr>
          <w:p>
            <w:pPr>
              <w:spacing w:after="0"/>
              <w:rPr>
                <w:sz w:val="17"/>
                <w:szCs w:val="17"/>
                <w:color w:val="auto"/>
              </w:rPr>
            </w:pPr>
          </w:p>
        </w:tc>
        <w:tc>
          <w:tcPr>
            <w:tcW w:w="18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Termination for Cause</w:t>
            </w:r>
          </w:p>
        </w:tc>
        <w:tc>
          <w:tcPr>
            <w:tcW w:w="1500" w:type="dxa"/>
            <w:vAlign w:val="bottom"/>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740" w:type="dxa"/>
            <w:vAlign w:val="bottom"/>
          </w:tcPr>
          <w:p>
            <w:pPr>
              <w:jc w:val="center"/>
              <w:ind w:left="80"/>
              <w:spacing w:after="0" w:line="180" w:lineRule="exact"/>
              <w:rPr>
                <w:sz w:val="20"/>
                <w:szCs w:val="20"/>
                <w:color w:val="auto"/>
              </w:rPr>
            </w:pPr>
            <w:r>
              <w:rPr>
                <w:rFonts w:ascii="Arial" w:cs="Arial" w:eastAsia="Arial" w:hAnsi="Arial"/>
                <w:sz w:val="16"/>
                <w:szCs w:val="16"/>
                <w:color w:val="auto"/>
                <w:w w:val="90"/>
              </w:rPr>
              <w:t>$0 (6)</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5"/>
              </w:rPr>
              <w:t>$0 (6)</w:t>
            </w:r>
          </w:p>
        </w:tc>
        <w:tc>
          <w:tcPr>
            <w:tcW w:w="1500" w:type="dxa"/>
            <w:vAlign w:val="bottom"/>
          </w:tcPr>
          <w:p>
            <w:pPr>
              <w:jc w:val="center"/>
              <w:ind w:right="180"/>
              <w:spacing w:after="0" w:line="180" w:lineRule="exact"/>
              <w:rPr>
                <w:sz w:val="20"/>
                <w:szCs w:val="20"/>
                <w:color w:val="auto"/>
              </w:rPr>
            </w:pPr>
            <w:r>
              <w:rPr>
                <w:rFonts w:ascii="Arial" w:cs="Arial" w:eastAsia="Arial" w:hAnsi="Arial"/>
                <w:sz w:val="16"/>
                <w:szCs w:val="16"/>
                <w:color w:val="auto"/>
                <w:w w:val="89"/>
              </w:rPr>
              <w:t>$0</w:t>
            </w:r>
          </w:p>
        </w:tc>
        <w:tc>
          <w:tcPr>
            <w:tcW w:w="1820" w:type="dxa"/>
            <w:vAlign w:val="bottom"/>
          </w:tcPr>
          <w:p>
            <w:pPr>
              <w:jc w:val="center"/>
              <w:ind w:right="100"/>
              <w:spacing w:after="0" w:line="180"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w w:val="99"/>
              </w:rPr>
              <w:t>Voluntary Termination Prior to</w:t>
            </w:r>
          </w:p>
        </w:tc>
        <w:tc>
          <w:tcPr>
            <w:tcW w:w="15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rPr>
              <w:t>N/A</w:t>
            </w:r>
          </w:p>
        </w:tc>
        <w:tc>
          <w:tcPr>
            <w:tcW w:w="1740" w:type="dxa"/>
            <w:vAlign w:val="bottom"/>
            <w:shd w:val="clear" w:color="auto" w:fill="CCFFFF"/>
          </w:tcPr>
          <w:p>
            <w:pPr>
              <w:jc w:val="center"/>
              <w:ind w:left="100"/>
              <w:spacing w:after="0" w:line="180" w:lineRule="exact"/>
              <w:rPr>
                <w:sz w:val="20"/>
                <w:szCs w:val="20"/>
                <w:color w:val="auto"/>
              </w:rPr>
            </w:pPr>
            <w:r>
              <w:rPr>
                <w:rFonts w:ascii="Arial" w:cs="Arial" w:eastAsia="Arial" w:hAnsi="Arial"/>
                <w:sz w:val="16"/>
                <w:szCs w:val="16"/>
                <w:color w:val="auto"/>
              </w:rPr>
              <w:t>N/A</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rPr>
              <w:t>N/A</w:t>
            </w:r>
          </w:p>
        </w:tc>
        <w:tc>
          <w:tcPr>
            <w:tcW w:w="1500" w:type="dxa"/>
            <w:vAlign w:val="bottom"/>
            <w:shd w:val="clear" w:color="auto" w:fill="CCFFFF"/>
          </w:tcPr>
          <w:p>
            <w:pPr>
              <w:jc w:val="center"/>
              <w:ind w:right="180"/>
              <w:spacing w:after="0" w:line="180" w:lineRule="exact"/>
              <w:rPr>
                <w:sz w:val="20"/>
                <w:szCs w:val="20"/>
                <w:color w:val="auto"/>
              </w:rPr>
            </w:pPr>
            <w:r>
              <w:rPr>
                <w:rFonts w:ascii="Arial" w:cs="Arial" w:eastAsia="Arial" w:hAnsi="Arial"/>
                <w:sz w:val="16"/>
                <w:szCs w:val="16"/>
                <w:color w:val="auto"/>
              </w:rPr>
              <w:t>N/A</w:t>
            </w:r>
          </w:p>
        </w:tc>
        <w:tc>
          <w:tcPr>
            <w:tcW w:w="1820" w:type="dxa"/>
            <w:vAlign w:val="bottom"/>
            <w:shd w:val="clear" w:color="auto" w:fill="CCFFFF"/>
          </w:tcPr>
          <w:p>
            <w:pPr>
              <w:jc w:val="center"/>
              <w:ind w:right="100"/>
              <w:spacing w:after="0" w:line="180"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Retirement (7)</w:t>
            </w:r>
          </w:p>
        </w:tc>
        <w:tc>
          <w:tcPr>
            <w:tcW w:w="15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shd w:val="clear" w:color="auto" w:fill="CCFFFF"/>
          </w:tcPr>
          <w:p>
            <w:pPr>
              <w:spacing w:after="0"/>
              <w:rPr>
                <w:sz w:val="17"/>
                <w:szCs w:val="17"/>
                <w:color w:val="auto"/>
              </w:rPr>
            </w:pPr>
          </w:p>
        </w:tc>
        <w:tc>
          <w:tcPr>
            <w:tcW w:w="174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500" w:type="dxa"/>
            <w:vAlign w:val="bottom"/>
            <w:shd w:val="clear" w:color="auto" w:fill="CCFFFF"/>
          </w:tcPr>
          <w:p>
            <w:pPr>
              <w:spacing w:after="0"/>
              <w:rPr>
                <w:sz w:val="17"/>
                <w:szCs w:val="17"/>
                <w:color w:val="auto"/>
              </w:rPr>
            </w:pPr>
          </w:p>
        </w:tc>
        <w:tc>
          <w:tcPr>
            <w:tcW w:w="182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Involuntary Termination or</w:t>
            </w:r>
          </w:p>
        </w:tc>
        <w:tc>
          <w:tcPr>
            <w:tcW w:w="1500" w:type="dxa"/>
            <w:vAlign w:val="bottom"/>
          </w:tcPr>
          <w:p>
            <w:pPr>
              <w:jc w:val="center"/>
              <w:spacing w:after="0" w:line="180" w:lineRule="exact"/>
              <w:rPr>
                <w:sz w:val="20"/>
                <w:szCs w:val="20"/>
                <w:color w:val="auto"/>
              </w:rPr>
            </w:pPr>
            <w:r>
              <w:rPr>
                <w:rFonts w:ascii="Arial" w:cs="Arial" w:eastAsia="Arial" w:hAnsi="Arial"/>
                <w:sz w:val="16"/>
                <w:szCs w:val="16"/>
                <w:color w:val="auto"/>
                <w:w w:val="91"/>
              </w:rPr>
              <w:t>Paid through last</w:t>
            </w:r>
          </w:p>
        </w:tc>
        <w:tc>
          <w:tcPr>
            <w:tcW w:w="86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740" w:type="dxa"/>
            <w:vAlign w:val="bottom"/>
          </w:tcPr>
          <w:p>
            <w:pPr>
              <w:jc w:val="center"/>
              <w:ind w:left="100"/>
              <w:spacing w:after="0" w:line="180" w:lineRule="exact"/>
              <w:rPr>
                <w:sz w:val="20"/>
                <w:szCs w:val="20"/>
                <w:color w:val="auto"/>
              </w:rPr>
            </w:pPr>
            <w:r>
              <w:rPr>
                <w:rFonts w:ascii="Arial" w:cs="Arial" w:eastAsia="Arial" w:hAnsi="Arial"/>
                <w:sz w:val="16"/>
                <w:szCs w:val="16"/>
                <w:color w:val="auto"/>
                <w:w w:val="89"/>
              </w:rPr>
              <w:t>$623,875</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2"/>
              </w:rPr>
              <w:t>$4,412,771 (8)</w:t>
            </w:r>
          </w:p>
        </w:tc>
        <w:tc>
          <w:tcPr>
            <w:tcW w:w="1500" w:type="dxa"/>
            <w:vAlign w:val="bottom"/>
          </w:tcPr>
          <w:p>
            <w:pPr>
              <w:jc w:val="center"/>
              <w:ind w:right="200"/>
              <w:spacing w:after="0" w:line="180" w:lineRule="exact"/>
              <w:rPr>
                <w:sz w:val="20"/>
                <w:szCs w:val="20"/>
                <w:color w:val="auto"/>
              </w:rPr>
            </w:pPr>
            <w:r>
              <w:rPr>
                <w:rFonts w:ascii="Arial" w:cs="Arial" w:eastAsia="Arial" w:hAnsi="Arial"/>
                <w:sz w:val="16"/>
                <w:szCs w:val="16"/>
                <w:color w:val="auto"/>
                <w:w w:val="90"/>
              </w:rPr>
              <w:t>$5,952,399 (9)</w:t>
            </w:r>
          </w:p>
        </w:tc>
        <w:tc>
          <w:tcPr>
            <w:tcW w:w="1820" w:type="dxa"/>
            <w:vAlign w:val="bottom"/>
          </w:tcPr>
          <w:p>
            <w:pPr>
              <w:jc w:val="center"/>
              <w:ind w:right="100"/>
              <w:spacing w:after="0" w:line="180" w:lineRule="exact"/>
              <w:rPr>
                <w:sz w:val="20"/>
                <w:szCs w:val="20"/>
                <w:color w:val="auto"/>
              </w:rPr>
            </w:pPr>
            <w:r>
              <w:rPr>
                <w:rFonts w:ascii="Arial" w:cs="Arial" w:eastAsia="Arial" w:hAnsi="Arial"/>
                <w:sz w:val="16"/>
                <w:szCs w:val="16"/>
                <w:color w:val="auto"/>
                <w:w w:val="89"/>
              </w:rPr>
              <w:t>$10,989,045</w:t>
            </w:r>
          </w:p>
        </w:tc>
        <w:tc>
          <w:tcPr>
            <w:tcW w:w="0" w:type="dxa"/>
            <w:vAlign w:val="bottom"/>
          </w:tcPr>
          <w:p>
            <w:pPr>
              <w:spacing w:after="0"/>
              <w:rPr>
                <w:sz w:val="1"/>
                <w:szCs w:val="1"/>
                <w:color w:val="auto"/>
              </w:rPr>
            </w:pPr>
          </w:p>
        </w:tc>
      </w:tr>
      <w:tr>
        <w:trPr>
          <w:trHeight w:val="192"/>
        </w:trPr>
        <w:tc>
          <w:tcPr>
            <w:tcW w:w="2160" w:type="dxa"/>
            <w:vAlign w:val="bottom"/>
            <w:gridSpan w:val="3"/>
          </w:tcPr>
          <w:p>
            <w:pPr>
              <w:spacing w:after="0"/>
              <w:rPr>
                <w:sz w:val="20"/>
                <w:szCs w:val="20"/>
                <w:color w:val="auto"/>
              </w:rPr>
            </w:pPr>
            <w:r>
              <w:rPr>
                <w:rFonts w:ascii="Arial" w:cs="Arial" w:eastAsia="Arial" w:hAnsi="Arial"/>
                <w:sz w:val="16"/>
                <w:szCs w:val="16"/>
                <w:color w:val="auto"/>
              </w:rPr>
              <w:t>Resignation for Good Cause</w:t>
            </w: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day worked</w:t>
            </w: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gridSpan w:val="3"/>
          </w:tcPr>
          <w:p>
            <w:pPr>
              <w:spacing w:after="0"/>
              <w:rPr>
                <w:sz w:val="20"/>
                <w:szCs w:val="20"/>
                <w:color w:val="auto"/>
              </w:rPr>
            </w:pPr>
            <w:r>
              <w:rPr>
                <w:rFonts w:ascii="Arial" w:cs="Arial" w:eastAsia="Arial" w:hAnsi="Arial"/>
                <w:sz w:val="16"/>
                <w:szCs w:val="16"/>
                <w:color w:val="auto"/>
              </w:rPr>
              <w:t>Following Change in Control</w:t>
            </w: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4" w:hanging="284"/>
        <w:spacing w:after="0"/>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value is the actual earned bonus under the Corporate Incentive Plan as of June 30, 2012.</w:t>
      </w:r>
    </w:p>
    <w:p>
      <w:pPr>
        <w:spacing w:after="0" w:line="20" w:lineRule="exact"/>
        <w:rPr>
          <w:rFonts w:ascii="Arial" w:cs="Arial" w:eastAsia="Arial" w:hAnsi="Arial"/>
          <w:sz w:val="16"/>
          <w:szCs w:val="16"/>
          <w:color w:val="auto"/>
        </w:rPr>
      </w:pPr>
    </w:p>
    <w:p>
      <w:pPr>
        <w:jc w:val="both"/>
        <w:ind w:left="284" w:hanging="274"/>
        <w:spacing w:after="0" w:line="233" w:lineRule="auto"/>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was calculated by adding 100% of the performance awards payable for the performance period ending on June 30, 2012 (67,254), plus 2/3rds of the performance awards payable for the performance period ending June 30, 2013 (46,043) plus 1/3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of the awards payable for the performance period ending June 30, 2014 (2,959). This assumes that the performance awards vested at the maximum performance level for FY2012 and FY2013, and assumes achievement of target performance levels in FY2014. All performance awards consisted of performance stock units and the sum of performance stock units was multiplied by $18.76, the mean of the high and low selling prices of Twin Disc shares on June 29, 2012.</w:t>
      </w:r>
    </w:p>
    <w:p>
      <w:pPr>
        <w:jc w:val="both"/>
        <w:ind w:left="284" w:hanging="274"/>
        <w:spacing w:after="0" w:line="267" w:lineRule="auto"/>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2012 ($1,261,685), plus 2/3rds of the maximum cash payment for performance stock units payable for the performance period ending June 30, 2013 ($863,773), plus 1/3rd of the maximum cash payment for performance stock units payable for the performance period ending June 30, 2014 ($66,623)). In addition, Mr. Batten has 32,596 shares of restricted stock that vest on August 3, 2012, 22,316 shares of restricted stock that vest on July 29, 2013, and 8,878 shares of restricted stock that vest on July 28, 2014 if he remains employed with the Corporation through those dates, respectively. The maximum cash payments of the performance stock unit awards were determined by using $18.76, the mean of the high and low selling prices of Twin Disc shares on June 29, 2012, and the values of performance shares and restricted shares were determined by using $18.49, the closing price of Twin Disc shares on June 29, 2012.</w:t>
      </w:r>
    </w:p>
    <w:p>
      <w:pPr>
        <w:spacing w:after="0" w:line="2" w:lineRule="exact"/>
        <w:rPr>
          <w:rFonts w:ascii="Arial" w:cs="Arial" w:eastAsia="Arial" w:hAnsi="Arial"/>
          <w:sz w:val="15"/>
          <w:szCs w:val="15"/>
          <w:color w:val="auto"/>
        </w:rPr>
      </w:pPr>
    </w:p>
    <w:p>
      <w:pPr>
        <w:ind w:left="284" w:hanging="284"/>
        <w:spacing w:after="0"/>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amount consists of the present value of Mr. Batten’s Supplemental Executive Retirement Benefit Plan benefits. Mr. Batten is currently retirement eligible.</w:t>
      </w:r>
    </w:p>
    <w:p>
      <w:pPr>
        <w:spacing w:after="0" w:line="8" w:lineRule="exact"/>
        <w:rPr>
          <w:rFonts w:ascii="Arial" w:cs="Arial" w:eastAsia="Arial" w:hAnsi="Arial"/>
          <w:sz w:val="16"/>
          <w:szCs w:val="16"/>
          <w:color w:val="auto"/>
        </w:rPr>
      </w:pPr>
    </w:p>
    <w:p>
      <w:pPr>
        <w:ind w:left="284" w:hanging="274"/>
        <w:spacing w:after="0" w:line="250" w:lineRule="auto"/>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amount is the value of six months of benefits beginning July 1, 2012 under the Corporation’s short-term disability program for salaried employees ($287,500) plus the present value of Mr. Batten’s Supplemental Executive Retirement Plan benefits ($2,923,931), as he is currently retirement-eligible.</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Employees terminated for cause are not entitled to receive performance awards. This assumes Mr. Batten’s employment was terminated for cause on June 30, 2012.</w:t>
      </w:r>
    </w:p>
    <w:p>
      <w:pPr>
        <w:spacing w:after="0" w:line="19" w:lineRule="exact"/>
        <w:rPr>
          <w:rFonts w:ascii="Arial" w:cs="Arial" w:eastAsia="Arial" w:hAnsi="Arial"/>
          <w:sz w:val="15"/>
          <w:szCs w:val="15"/>
          <w:color w:val="auto"/>
        </w:rPr>
      </w:pPr>
    </w:p>
    <w:p>
      <w:pPr>
        <w:ind w:left="284" w:hanging="284"/>
        <w:spacing w:after="0"/>
        <w:tabs>
          <w:tab w:leader="none" w:pos="2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Batten is retirement eligible, so all benefits are payable under the retirement section.</w:t>
      </w:r>
    </w:p>
    <w:p>
      <w:pPr>
        <w:spacing w:after="0" w:line="8" w:lineRule="exact"/>
        <w:rPr>
          <w:rFonts w:ascii="Arial" w:cs="Arial" w:eastAsia="Arial" w:hAnsi="Arial"/>
          <w:sz w:val="16"/>
          <w:szCs w:val="16"/>
          <w:color w:val="auto"/>
        </w:rPr>
      </w:pPr>
    </w:p>
    <w:p>
      <w:pPr>
        <w:jc w:val="both"/>
        <w:ind w:left="284" w:hanging="274"/>
        <w:spacing w:after="0" w:line="267" w:lineRule="auto"/>
        <w:tabs>
          <w:tab w:leader="none" w:pos="284" w:val="left"/>
        </w:tabs>
        <w:numPr>
          <w:ilvl w:val="0"/>
          <w:numId w:val="29"/>
        </w:numPr>
        <w:rPr>
          <w:rFonts w:ascii="Arial" w:cs="Arial" w:eastAsia="Arial" w:hAnsi="Arial"/>
          <w:sz w:val="15"/>
          <w:szCs w:val="15"/>
          <w:color w:val="auto"/>
        </w:rPr>
      </w:pPr>
      <w:r>
        <w:rPr>
          <w:rFonts w:ascii="Arial" w:cs="Arial" w:eastAsia="Arial" w:hAnsi="Arial"/>
          <w:sz w:val="15"/>
          <w:szCs w:val="15"/>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The value of unexercised options is payable in cash. This amount represents the total of 146,973 outstanding performance stock unit awards valued at $18.76 (the mean of the high and low selling prices of Twin Disc shares on June 29, 2012) and 63,790 outstanding restricted shares valued at $18.49 (the closing price of Twin Disc shares on June 29, 2012). In addition, this figure includes 32,000 outstanding options, measured as if they were valued at the difference of $18.49 and their grant price.</w:t>
      </w:r>
    </w:p>
    <w:p>
      <w:pPr>
        <w:spacing w:after="0" w:line="1" w:lineRule="exact"/>
        <w:rPr>
          <w:rFonts w:ascii="Arial" w:cs="Arial" w:eastAsia="Arial" w:hAnsi="Arial"/>
          <w:sz w:val="15"/>
          <w:szCs w:val="15"/>
          <w:color w:val="auto"/>
        </w:rPr>
      </w:pPr>
    </w:p>
    <w:p>
      <w:pPr>
        <w:ind w:left="284" w:hanging="274"/>
        <w:spacing w:after="0" w:line="333" w:lineRule="auto"/>
        <w:tabs>
          <w:tab w:leader="none" w:pos="284"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Under the Change in Control Severance Agreement, Mr. Batten is entitled to 2.5 times his base salary plus his most recent annual bonus as a severance payment ($2,997,188), benefit continuation for 24 months ($31,280), and his benefits under his Supplemental Executive Retirement Plan, ($2,923,931) as he is retirement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0" w:right="219" w:bottom="1440" w:gutter="0" w:footer="0" w:header="0"/>
        </w:sectPr>
      </w:pPr>
    </w:p>
    <w:bookmarkStart w:id="32" w:name="page33"/>
    <w:bookmarkEnd w:id="32"/>
    <w:tbl>
      <w:tblPr>
        <w:tblLayout w:type="fixed"/>
        <w:tblInd w:w="4"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6"/>
                <w:szCs w:val="16"/>
                <w:b w:val="1"/>
                <w:bCs w:val="1"/>
                <w:color w:val="auto"/>
              </w:rPr>
              <w:t>John H. Batten</w:t>
            </w: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auto"/>
                <w:w w:val="91"/>
              </w:rPr>
              <w:t>(1)</w:t>
            </w: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0"/>
              </w:rPr>
              <w:t>Value of Accelerated</w:t>
            </w:r>
          </w:p>
        </w:tc>
        <w:tc>
          <w:tcPr>
            <w:tcW w:w="1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gridSpan w:val="2"/>
          </w:tcPr>
          <w:p>
            <w:pPr>
              <w:ind w:left="500"/>
              <w:spacing w:after="0"/>
              <w:rPr>
                <w:sz w:val="20"/>
                <w:szCs w:val="20"/>
                <w:color w:val="auto"/>
              </w:rPr>
            </w:pPr>
            <w:r>
              <w:rPr>
                <w:rFonts w:ascii="Arial" w:cs="Arial" w:eastAsia="Arial" w:hAnsi="Arial"/>
                <w:sz w:val="16"/>
                <w:szCs w:val="16"/>
                <w:color w:val="auto"/>
              </w:rPr>
              <w:t>Termination Event</w:t>
            </w: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Base Salary ($)</w:t>
            </w:r>
          </w:p>
        </w:tc>
        <w:tc>
          <w:tcPr>
            <w:tcW w:w="1120" w:type="dxa"/>
            <w:vAlign w:val="bottom"/>
          </w:tcPr>
          <w:p>
            <w:pPr>
              <w:jc w:val="center"/>
              <w:spacing w:after="0"/>
              <w:rPr>
                <w:sz w:val="20"/>
                <w:szCs w:val="20"/>
                <w:color w:val="auto"/>
              </w:rPr>
            </w:pPr>
            <w:r>
              <w:rPr>
                <w:rFonts w:ascii="Arial" w:cs="Arial" w:eastAsia="Arial" w:hAnsi="Arial"/>
                <w:sz w:val="16"/>
                <w:szCs w:val="16"/>
                <w:color w:val="auto"/>
                <w:w w:val="88"/>
              </w:rPr>
              <w:t>Bonus</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Non-Equity Incentive</w:t>
            </w: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Restricted Stock,</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w w:val="91"/>
              </w:rPr>
              <w:t>Other Benefits</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Plan</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Performance Stock and</w:t>
            </w:r>
          </w:p>
        </w:tc>
        <w:tc>
          <w:tcPr>
            <w:tcW w:w="1360" w:type="dxa"/>
            <w:vAlign w:val="bottom"/>
          </w:tcPr>
          <w:p>
            <w:pPr>
              <w:jc w:val="center"/>
              <w:ind w:right="20"/>
              <w:spacing w:after="0"/>
              <w:rPr>
                <w:sz w:val="20"/>
                <w:szCs w:val="20"/>
                <w:color w:val="auto"/>
              </w:rPr>
            </w:pPr>
            <w:r>
              <w:rPr>
                <w:rFonts w:ascii="Arial" w:cs="Arial" w:eastAsia="Arial" w:hAnsi="Arial"/>
                <w:sz w:val="16"/>
                <w:szCs w:val="16"/>
                <w:color w:val="auto"/>
                <w:w w:val="91"/>
              </w:rPr>
              <w:t>($)</w:t>
            </w:r>
          </w:p>
        </w:tc>
        <w:tc>
          <w:tcPr>
            <w:tcW w:w="20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Performance Stock Units,</w:t>
            </w:r>
          </w:p>
        </w:tc>
        <w:tc>
          <w:tcPr>
            <w:tcW w:w="1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and Stock Options</w:t>
            </w:r>
          </w:p>
        </w:tc>
        <w:tc>
          <w:tcPr>
            <w:tcW w:w="1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w:t>
            </w:r>
          </w:p>
        </w:tc>
        <w:tc>
          <w:tcPr>
            <w:tcW w:w="13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Normal Retirement prior to a</w:t>
            </w:r>
          </w:p>
        </w:tc>
        <w:tc>
          <w:tcPr>
            <w:tcW w:w="13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6"/>
              </w:rPr>
              <w:t>Not Eligible on</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w:t>
            </w:r>
          </w:p>
        </w:tc>
        <w:tc>
          <w:tcPr>
            <w:tcW w:w="16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136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w w:val="94"/>
              </w:rPr>
              <w:t>Not Eligible on</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Change in Control</w:t>
            </w:r>
          </w:p>
        </w:tc>
        <w:tc>
          <w:tcPr>
            <w:tcW w:w="13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89"/>
              </w:rPr>
              <w:t>6/30/12</w:t>
            </w:r>
          </w:p>
        </w:tc>
        <w:tc>
          <w:tcPr>
            <w:tcW w:w="11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89"/>
              </w:rPr>
              <w:t>6/30/12</w:t>
            </w:r>
          </w:p>
        </w:tc>
        <w:tc>
          <w:tcPr>
            <w:tcW w:w="166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360" w:type="dxa"/>
            <w:vAlign w:val="bottom"/>
            <w:shd w:val="clear" w:color="auto" w:fill="CCFFFF"/>
          </w:tcPr>
          <w:p>
            <w:pPr>
              <w:jc w:val="center"/>
              <w:ind w:right="40"/>
              <w:spacing w:after="0"/>
              <w:rPr>
                <w:sz w:val="20"/>
                <w:szCs w:val="20"/>
                <w:color w:val="auto"/>
              </w:rPr>
            </w:pPr>
            <w:r>
              <w:rPr>
                <w:rFonts w:ascii="Arial" w:cs="Arial" w:eastAsia="Arial" w:hAnsi="Arial"/>
                <w:sz w:val="16"/>
                <w:szCs w:val="16"/>
                <w:color w:val="auto"/>
                <w:w w:val="89"/>
              </w:rPr>
              <w:t>6/30/12</w:t>
            </w: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tcPr>
          <w:p>
            <w:pPr>
              <w:spacing w:after="0" w:line="180" w:lineRule="exact"/>
              <w:rPr>
                <w:sz w:val="20"/>
                <w:szCs w:val="20"/>
                <w:color w:val="auto"/>
              </w:rPr>
            </w:pPr>
            <w:r>
              <w:rPr>
                <w:rFonts w:ascii="Arial" w:cs="Arial" w:eastAsia="Arial" w:hAnsi="Arial"/>
                <w:sz w:val="16"/>
                <w:szCs w:val="16"/>
                <w:color w:val="auto"/>
              </w:rPr>
              <w:t>Death</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89"/>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60" w:type="dxa"/>
            <w:vAlign w:val="bottom"/>
          </w:tcPr>
          <w:p>
            <w:pPr>
              <w:jc w:val="center"/>
              <w:spacing w:after="0" w:line="180" w:lineRule="exact"/>
              <w:rPr>
                <w:sz w:val="20"/>
                <w:szCs w:val="20"/>
                <w:color w:val="auto"/>
              </w:rPr>
            </w:pPr>
            <w:r>
              <w:rPr>
                <w:rFonts w:ascii="Arial" w:cs="Arial" w:eastAsia="Arial" w:hAnsi="Arial"/>
                <w:sz w:val="16"/>
                <w:szCs w:val="16"/>
                <w:color w:val="auto"/>
                <w:w w:val="89"/>
              </w:rPr>
              <w:t>$255,750</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0"/>
              </w:rPr>
              <w:t>$1,818,798 (2)</w:t>
            </w:r>
          </w:p>
        </w:tc>
        <w:tc>
          <w:tcPr>
            <w:tcW w:w="1360" w:type="dxa"/>
            <w:vAlign w:val="bottom"/>
          </w:tcPr>
          <w:p>
            <w:pPr>
              <w:jc w:val="center"/>
              <w:ind w:right="40"/>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$2,074,548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day worked</w:t>
            </w: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Disability</w:t>
            </w:r>
          </w:p>
        </w:tc>
        <w:tc>
          <w:tcPr>
            <w:tcW w:w="13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$255,750</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0"/>
              </w:rPr>
              <w:t>$1,818,798 (2)</w:t>
            </w:r>
          </w:p>
        </w:tc>
        <w:tc>
          <w:tcPr>
            <w:tcW w:w="136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w w:val="90"/>
              </w:rPr>
              <w:t>$233,005 (3)</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$2,307,553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shd w:val="clear" w:color="auto" w:fill="CCFFFF"/>
          </w:tcPr>
          <w:p>
            <w:pPr>
              <w:spacing w:after="0"/>
              <w:rPr>
                <w:sz w:val="17"/>
                <w:szCs w:val="17"/>
                <w:color w:val="auto"/>
              </w:rPr>
            </w:pPr>
          </w:p>
        </w:tc>
        <w:tc>
          <w:tcPr>
            <w:tcW w:w="1080" w:type="dxa"/>
            <w:vAlign w:val="bottom"/>
            <w:shd w:val="clear" w:color="auto" w:fill="CCFFFF"/>
          </w:tcPr>
          <w:p>
            <w:pPr>
              <w:spacing w:after="0"/>
              <w:rPr>
                <w:sz w:val="17"/>
                <w:szCs w:val="17"/>
                <w:color w:val="auto"/>
              </w:rPr>
            </w:pPr>
          </w:p>
        </w:tc>
        <w:tc>
          <w:tcPr>
            <w:tcW w:w="13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2"/>
              </w:rPr>
              <w:t>day worked</w:t>
            </w:r>
          </w:p>
        </w:tc>
        <w:tc>
          <w:tcPr>
            <w:tcW w:w="1120" w:type="dxa"/>
            <w:vAlign w:val="bottom"/>
            <w:shd w:val="clear" w:color="auto" w:fill="CCFFFF"/>
          </w:tcPr>
          <w:p>
            <w:pPr>
              <w:spacing w:after="0"/>
              <w:rPr>
                <w:sz w:val="17"/>
                <w:szCs w:val="17"/>
                <w:color w:val="auto"/>
              </w:rPr>
            </w:pPr>
          </w:p>
        </w:tc>
        <w:tc>
          <w:tcPr>
            <w:tcW w:w="166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360" w:type="dxa"/>
            <w:vAlign w:val="bottom"/>
            <w:shd w:val="clear" w:color="auto" w:fill="CCFFFF"/>
          </w:tcPr>
          <w:p>
            <w:pPr>
              <w:spacing w:after="0"/>
              <w:rPr>
                <w:sz w:val="17"/>
                <w:szCs w:val="17"/>
                <w:color w:val="auto"/>
              </w:rPr>
            </w:pP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tcPr>
          <w:p>
            <w:pPr>
              <w:spacing w:after="0" w:line="180" w:lineRule="exact"/>
              <w:rPr>
                <w:sz w:val="20"/>
                <w:szCs w:val="20"/>
                <w:color w:val="auto"/>
              </w:rPr>
            </w:pPr>
            <w:r>
              <w:rPr>
                <w:rFonts w:ascii="Arial" w:cs="Arial" w:eastAsia="Arial" w:hAnsi="Arial"/>
                <w:sz w:val="16"/>
                <w:szCs w:val="16"/>
                <w:color w:val="auto"/>
              </w:rPr>
              <w:t>Termination for Cause</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89"/>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60" w:type="dxa"/>
            <w:vAlign w:val="bottom"/>
          </w:tcPr>
          <w:p>
            <w:pPr>
              <w:jc w:val="center"/>
              <w:spacing w:after="0" w:line="180" w:lineRule="exact"/>
              <w:rPr>
                <w:sz w:val="20"/>
                <w:szCs w:val="20"/>
                <w:color w:val="auto"/>
              </w:rPr>
            </w:pPr>
            <w:r>
              <w:rPr>
                <w:rFonts w:ascii="Arial" w:cs="Arial" w:eastAsia="Arial" w:hAnsi="Arial"/>
                <w:sz w:val="16"/>
                <w:szCs w:val="16"/>
                <w:color w:val="auto"/>
                <w:w w:val="90"/>
              </w:rPr>
              <w:t>$0 (4)</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0"/>
              </w:rPr>
              <w:t>$0 (4)</w:t>
            </w:r>
          </w:p>
        </w:tc>
        <w:tc>
          <w:tcPr>
            <w:tcW w:w="1360" w:type="dxa"/>
            <w:vAlign w:val="bottom"/>
          </w:tcPr>
          <w:p>
            <w:pPr>
              <w:jc w:val="center"/>
              <w:ind w:right="40"/>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day worked</w:t>
            </w: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w w:val="97"/>
              </w:rPr>
              <w:t>Voluntary Termination Prior to</w:t>
            </w:r>
          </w:p>
        </w:tc>
        <w:tc>
          <w:tcPr>
            <w:tcW w:w="13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$255,750</w:t>
            </w:r>
          </w:p>
        </w:tc>
        <w:tc>
          <w:tcPr>
            <w:tcW w:w="186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0"/>
              </w:rPr>
              <w:t>$624,289 (5)</w:t>
            </w:r>
          </w:p>
        </w:tc>
        <w:tc>
          <w:tcPr>
            <w:tcW w:w="1360" w:type="dxa"/>
            <w:vAlign w:val="bottom"/>
            <w:shd w:val="clear" w:color="auto" w:fill="CCFFFF"/>
          </w:tcPr>
          <w:p>
            <w:pPr>
              <w:jc w:val="center"/>
              <w:ind w:right="40"/>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$880,039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Retirement</w:t>
            </w:r>
          </w:p>
        </w:tc>
        <w:tc>
          <w:tcPr>
            <w:tcW w:w="13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2"/>
              </w:rPr>
              <w:t>day worked</w:t>
            </w:r>
          </w:p>
        </w:tc>
        <w:tc>
          <w:tcPr>
            <w:tcW w:w="1120" w:type="dxa"/>
            <w:vAlign w:val="bottom"/>
            <w:shd w:val="clear" w:color="auto" w:fill="CCFFFF"/>
          </w:tcPr>
          <w:p>
            <w:pPr>
              <w:spacing w:after="0"/>
              <w:rPr>
                <w:sz w:val="17"/>
                <w:szCs w:val="17"/>
                <w:color w:val="auto"/>
              </w:rPr>
            </w:pPr>
          </w:p>
        </w:tc>
        <w:tc>
          <w:tcPr>
            <w:tcW w:w="166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1360" w:type="dxa"/>
            <w:vAlign w:val="bottom"/>
            <w:shd w:val="clear" w:color="auto" w:fill="CCFFFF"/>
          </w:tcPr>
          <w:p>
            <w:pPr>
              <w:spacing w:after="0"/>
              <w:rPr>
                <w:sz w:val="17"/>
                <w:szCs w:val="17"/>
                <w:color w:val="auto"/>
              </w:rPr>
            </w:pP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gridSpan w:val="2"/>
          </w:tcPr>
          <w:p>
            <w:pPr>
              <w:spacing w:after="0" w:line="180" w:lineRule="exact"/>
              <w:rPr>
                <w:sz w:val="20"/>
                <w:szCs w:val="20"/>
                <w:color w:val="auto"/>
              </w:rPr>
            </w:pPr>
            <w:r>
              <w:rPr>
                <w:rFonts w:ascii="Arial" w:cs="Arial" w:eastAsia="Arial" w:hAnsi="Arial"/>
                <w:sz w:val="16"/>
                <w:szCs w:val="16"/>
                <w:color w:val="auto"/>
              </w:rPr>
              <w:t>Involuntary Termination or</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89"/>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60" w:type="dxa"/>
            <w:vAlign w:val="bottom"/>
          </w:tcPr>
          <w:p>
            <w:pPr>
              <w:jc w:val="center"/>
              <w:spacing w:after="0" w:line="180" w:lineRule="exact"/>
              <w:rPr>
                <w:sz w:val="20"/>
                <w:szCs w:val="20"/>
                <w:color w:val="auto"/>
              </w:rPr>
            </w:pPr>
            <w:r>
              <w:rPr>
                <w:rFonts w:ascii="Arial" w:cs="Arial" w:eastAsia="Arial" w:hAnsi="Arial"/>
                <w:sz w:val="16"/>
                <w:szCs w:val="16"/>
                <w:color w:val="auto"/>
                <w:w w:val="89"/>
              </w:rPr>
              <w:t>$255,750</w:t>
            </w:r>
          </w:p>
        </w:tc>
        <w:tc>
          <w:tcPr>
            <w:tcW w:w="1860" w:type="dxa"/>
            <w:vAlign w:val="bottom"/>
          </w:tcPr>
          <w:p>
            <w:pPr>
              <w:jc w:val="center"/>
              <w:spacing w:after="0" w:line="180" w:lineRule="exact"/>
              <w:rPr>
                <w:sz w:val="20"/>
                <w:szCs w:val="20"/>
                <w:color w:val="auto"/>
              </w:rPr>
            </w:pPr>
            <w:r>
              <w:rPr>
                <w:rFonts w:ascii="Arial" w:cs="Arial" w:eastAsia="Arial" w:hAnsi="Arial"/>
                <w:sz w:val="16"/>
                <w:szCs w:val="16"/>
                <w:color w:val="auto"/>
                <w:w w:val="90"/>
              </w:rPr>
              <w:t>$2,114,376 (6)</w:t>
            </w:r>
          </w:p>
        </w:tc>
        <w:tc>
          <w:tcPr>
            <w:tcW w:w="136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90"/>
              </w:rPr>
              <w:t>$1,217,694 (7)</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$3,587,820</w:t>
            </w:r>
          </w:p>
        </w:tc>
        <w:tc>
          <w:tcPr>
            <w:tcW w:w="0" w:type="dxa"/>
            <w:vAlign w:val="bottom"/>
          </w:tcPr>
          <w:p>
            <w:pPr>
              <w:spacing w:after="0"/>
              <w:rPr>
                <w:sz w:val="1"/>
                <w:szCs w:val="1"/>
                <w:color w:val="auto"/>
              </w:rPr>
            </w:pPr>
          </w:p>
        </w:tc>
      </w:tr>
      <w:tr>
        <w:trPr>
          <w:trHeight w:val="192"/>
        </w:trPr>
        <w:tc>
          <w:tcPr>
            <w:tcW w:w="2120" w:type="dxa"/>
            <w:vAlign w:val="bottom"/>
            <w:gridSpan w:val="3"/>
          </w:tcPr>
          <w:p>
            <w:pPr>
              <w:spacing w:after="0"/>
              <w:rPr>
                <w:sz w:val="20"/>
                <w:szCs w:val="20"/>
                <w:color w:val="auto"/>
              </w:rPr>
            </w:pPr>
            <w:r>
              <w:rPr>
                <w:rFonts w:ascii="Arial" w:cs="Arial" w:eastAsia="Arial" w:hAnsi="Arial"/>
                <w:sz w:val="16"/>
                <w:szCs w:val="16"/>
                <w:color w:val="auto"/>
              </w:rPr>
              <w:t>Resignation for Good Cause</w:t>
            </w: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day worked</w:t>
            </w:r>
          </w:p>
        </w:tc>
        <w:tc>
          <w:tcPr>
            <w:tcW w:w="1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gridSpan w:val="3"/>
          </w:tcPr>
          <w:p>
            <w:pPr>
              <w:spacing w:after="0"/>
              <w:rPr>
                <w:sz w:val="20"/>
                <w:szCs w:val="20"/>
                <w:color w:val="auto"/>
              </w:rPr>
            </w:pPr>
            <w:r>
              <w:rPr>
                <w:rFonts w:ascii="Arial" w:cs="Arial" w:eastAsia="Arial" w:hAnsi="Arial"/>
                <w:sz w:val="16"/>
                <w:szCs w:val="16"/>
                <w:color w:val="auto"/>
              </w:rPr>
              <w:t>Following Change in Control</w:t>
            </w:r>
          </w:p>
        </w:tc>
        <w:tc>
          <w:tcPr>
            <w:tcW w:w="1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4" w:hanging="284"/>
        <w:spacing w:after="0"/>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value is the actual earned bonus under the Corporate Incentive Plan as of June 30, 2012.</w:t>
      </w:r>
    </w:p>
    <w:p>
      <w:pPr>
        <w:spacing w:after="0" w:line="20" w:lineRule="exact"/>
        <w:rPr>
          <w:rFonts w:ascii="Arial" w:cs="Arial" w:eastAsia="Arial" w:hAnsi="Arial"/>
          <w:sz w:val="16"/>
          <w:szCs w:val="16"/>
          <w:color w:val="auto"/>
        </w:rPr>
      </w:pPr>
    </w:p>
    <w:p>
      <w:pPr>
        <w:jc w:val="both"/>
        <w:ind w:left="284" w:hanging="274"/>
        <w:spacing w:after="0" w:line="267" w:lineRule="auto"/>
        <w:tabs>
          <w:tab w:leader="none" w:pos="284"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2012 ($205,066), plus 2/3rds of the maximum cash payment for performance stock units payable for the performance period ending June 30, 2013 ($155,996), plus 1/3rd of the maximum cash payment for performance stock units payable for the performance period ending June 30, 2014 ($12,263)), plus the value of the prorated maximum number of shares issuable under the performance stock awards (100% of the maximum shares issuable under the performance stock awards for the performance period ending June 30, 2012 (22,673 shares), plus 2/3rds of the maximum shares issuable under the performance stock awards for the performance period ending June 30, 2013 (14,783 shares), plus 1/3rd of the maximum shares issuable under the performance stock awards for the performance period ending June 30, 2014 (1,525 shares)). In addition, Mr. Batten has 17,659 shares of restricted stock that vest on August 3, 2012, 16,090 shares of restricted stock that vest on July 29, 2013, and 5,446 shares of restricted stock that vest on July 28, 2014 if he remains employed with the Corporation through those dates, respectively. The maximum cash payments of the performance stock unit awards were determined by using $18.76, the mean of the high and low selling prices of Twin Disc shares on June 29, 2012, and the values of performance shares and restricted shares were determined by using $18.49, the closing price of Twin Disc shares on June 29, 2012.</w:t>
      </w:r>
    </w:p>
    <w:p>
      <w:pPr>
        <w:spacing w:after="0" w:line="3" w:lineRule="exact"/>
        <w:rPr>
          <w:rFonts w:ascii="Arial" w:cs="Arial" w:eastAsia="Arial" w:hAnsi="Arial"/>
          <w:sz w:val="15"/>
          <w:szCs w:val="15"/>
          <w:color w:val="auto"/>
        </w:rPr>
      </w:pPr>
    </w:p>
    <w:p>
      <w:pPr>
        <w:jc w:val="both"/>
        <w:ind w:left="284" w:hanging="274"/>
        <w:spacing w:after="0" w:line="250" w:lineRule="auto"/>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 this amount, $165,000 is the value of six months of benefits beginning July 1, 2012 under the Corporation’s short-term disability program for salaried employees. Any benefits payable after six months are provided by a fully-insured disability carrier. The remainder of this amount is the June 30, 2012 value of Mr. Batten’s benefit under the Supplemental Executive Retirement Plan (“SERP”), which vests upon termination of employment due to disability but is not payable until the date that Mr. Batten would have attained early or normal retirement age under the SERP.</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Employees terminated for cause are not eligible for performance awards. This assumes Mr. Batten was involuntarily terminated for cause on June 30, 2012.</w:t>
      </w:r>
    </w:p>
    <w:p>
      <w:pPr>
        <w:spacing w:after="0" w:line="8" w:lineRule="exact"/>
        <w:rPr>
          <w:rFonts w:ascii="Arial" w:cs="Arial" w:eastAsia="Arial" w:hAnsi="Arial"/>
          <w:sz w:val="16"/>
          <w:szCs w:val="16"/>
          <w:color w:val="auto"/>
        </w:rPr>
      </w:pPr>
    </w:p>
    <w:p>
      <w:pPr>
        <w:ind w:left="284" w:right="20" w:hanging="284"/>
        <w:spacing w:after="0" w:line="250" w:lineRule="auto"/>
        <w:tabs>
          <w:tab w:leader="none" w:pos="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amount reflects performance stock and performance unit awards payable for the performance period ending June 30, 2012. These awards vested at the maximum performance target.</w:t>
      </w:r>
    </w:p>
    <w:p>
      <w:pPr>
        <w:spacing w:after="0" w:line="1" w:lineRule="exact"/>
        <w:rPr>
          <w:rFonts w:ascii="Arial" w:cs="Arial" w:eastAsia="Arial" w:hAnsi="Arial"/>
          <w:sz w:val="16"/>
          <w:szCs w:val="16"/>
          <w:color w:val="auto"/>
        </w:rPr>
      </w:pPr>
    </w:p>
    <w:p>
      <w:pPr>
        <w:jc w:val="both"/>
        <w:ind w:left="284" w:hanging="274"/>
        <w:spacing w:after="0" w:line="286" w:lineRule="auto"/>
        <w:tabs>
          <w:tab w:leader="none" w:pos="2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(39,195) and performance stock (49,422) valued at $18.49 (the closing price of Twin Disc shares on June 29, 2012), and performance stock units (25,365) valued at $18.76 (the mean of the high and low selling prices of Twin Disc shares on June 30, 2011).</w:t>
      </w:r>
    </w:p>
    <w:p>
      <w:pPr>
        <w:spacing w:after="0" w:line="1" w:lineRule="exact"/>
        <w:rPr>
          <w:rFonts w:ascii="Arial" w:cs="Arial" w:eastAsia="Arial" w:hAnsi="Arial"/>
          <w:sz w:val="14"/>
          <w:szCs w:val="14"/>
          <w:color w:val="auto"/>
        </w:rPr>
      </w:pPr>
    </w:p>
    <w:p>
      <w:pPr>
        <w:ind w:left="284" w:right="20" w:hanging="284"/>
        <w:spacing w:after="0" w:line="261" w:lineRule="auto"/>
        <w:tabs>
          <w:tab w:leader="none" w:pos="284"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Under the Change in Control Severance Agreement, Mr. Batten is entitled to 2.0 times his base salary plus most recent annual bonus as severance payments ($1,171,500) plus benefit continuation for 24 months ($46,194).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0" w:right="219" w:bottom="1440" w:gutter="0" w:footer="0" w:header="0"/>
        </w:sectPr>
      </w:pPr>
    </w:p>
    <w:bookmarkStart w:id="33" w:name="page34"/>
    <w:bookmarkEnd w:id="33"/>
    <w:tbl>
      <w:tblPr>
        <w:tblLayout w:type="fixed"/>
        <w:tblInd w:w="4"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Christopher J. Eperjesy</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1"/>
              </w:rPr>
              <w:t>(1)</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0"/>
              </w:rPr>
              <w:t>Value of Accelerated</w:t>
            </w:r>
          </w:p>
        </w:tc>
        <w:tc>
          <w:tcPr>
            <w:tcW w:w="1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gridSpan w:val="2"/>
          </w:tcPr>
          <w:p>
            <w:pPr>
              <w:ind w:left="540"/>
              <w:spacing w:after="0"/>
              <w:rPr>
                <w:sz w:val="20"/>
                <w:szCs w:val="20"/>
                <w:color w:val="auto"/>
              </w:rPr>
            </w:pPr>
            <w:r>
              <w:rPr>
                <w:rFonts w:ascii="Arial" w:cs="Arial" w:eastAsia="Arial" w:hAnsi="Arial"/>
                <w:sz w:val="16"/>
                <w:szCs w:val="16"/>
                <w:color w:val="auto"/>
              </w:rPr>
              <w:t>Termination Event</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88"/>
              </w:rPr>
              <w:t>Base Salary ($)</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Bonus</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Non-Equity Incentive</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Restricted Stock,</w:t>
            </w:r>
          </w:p>
        </w:tc>
        <w:tc>
          <w:tcPr>
            <w:tcW w:w="1320" w:type="dxa"/>
            <w:vAlign w:val="bottom"/>
          </w:tcPr>
          <w:p>
            <w:pPr>
              <w:ind w:left="140"/>
              <w:spacing w:after="0"/>
              <w:rPr>
                <w:sz w:val="20"/>
                <w:szCs w:val="20"/>
                <w:color w:val="auto"/>
              </w:rPr>
            </w:pPr>
            <w:r>
              <w:rPr>
                <w:rFonts w:ascii="Arial" w:cs="Arial" w:eastAsia="Arial" w:hAnsi="Arial"/>
                <w:sz w:val="16"/>
                <w:szCs w:val="16"/>
                <w:color w:val="auto"/>
              </w:rPr>
              <w:t>Other Benefits</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87"/>
              </w:rPr>
              <w:t>Plan</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Performance Stock,</w:t>
            </w:r>
          </w:p>
        </w:tc>
        <w:tc>
          <w:tcPr>
            <w:tcW w:w="1320" w:type="dxa"/>
            <w:vAlign w:val="bottom"/>
          </w:tcPr>
          <w:p>
            <w:pPr>
              <w:jc w:val="center"/>
              <w:ind w:right="20"/>
              <w:spacing w:after="0"/>
              <w:rPr>
                <w:sz w:val="20"/>
                <w:szCs w:val="20"/>
                <w:color w:val="auto"/>
              </w:rPr>
            </w:pPr>
            <w:r>
              <w:rPr>
                <w:rFonts w:ascii="Arial" w:cs="Arial" w:eastAsia="Arial" w:hAnsi="Arial"/>
                <w:sz w:val="16"/>
                <w:szCs w:val="16"/>
                <w:color w:val="auto"/>
                <w:w w:val="91"/>
              </w:rPr>
              <w:t>($)</w:t>
            </w:r>
          </w:p>
        </w:tc>
        <w:tc>
          <w:tcPr>
            <w:tcW w:w="200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Performance Stock Units,</w:t>
            </w:r>
          </w:p>
        </w:tc>
        <w:tc>
          <w:tcPr>
            <w:tcW w:w="1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and Stock Options</w:t>
            </w:r>
          </w:p>
        </w:tc>
        <w:tc>
          <w:tcPr>
            <w:tcW w:w="1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Normal Retirement prior to a</w:t>
            </w:r>
          </w:p>
        </w:tc>
        <w:tc>
          <w:tcPr>
            <w:tcW w:w="1360" w:type="dxa"/>
            <w:vAlign w:val="bottom"/>
            <w:shd w:val="clear" w:color="auto" w:fill="CCFFFF"/>
          </w:tcPr>
          <w:p>
            <w:pPr>
              <w:jc w:val="center"/>
              <w:ind w:left="40"/>
              <w:spacing w:after="0" w:line="180" w:lineRule="exact"/>
              <w:rPr>
                <w:sz w:val="20"/>
                <w:szCs w:val="20"/>
                <w:color w:val="auto"/>
              </w:rPr>
            </w:pPr>
            <w:r>
              <w:rPr>
                <w:rFonts w:ascii="Arial" w:cs="Arial" w:eastAsia="Arial" w:hAnsi="Arial"/>
                <w:sz w:val="16"/>
                <w:szCs w:val="16"/>
                <w:color w:val="auto"/>
                <w:w w:val="94"/>
              </w:rPr>
              <w:t>Not eligible on</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Not eligible on 6/30/12</w:t>
            </w:r>
          </w:p>
        </w:tc>
        <w:tc>
          <w:tcPr>
            <w:tcW w:w="1320" w:type="dxa"/>
            <w:vAlign w:val="bottom"/>
            <w:shd w:val="clear" w:color="auto" w:fill="CCFFFF"/>
          </w:tcPr>
          <w:p>
            <w:pPr>
              <w:ind w:left="140"/>
              <w:spacing w:after="0" w:line="180" w:lineRule="exact"/>
              <w:rPr>
                <w:sz w:val="20"/>
                <w:szCs w:val="20"/>
                <w:color w:val="auto"/>
              </w:rPr>
            </w:pPr>
            <w:r>
              <w:rPr>
                <w:rFonts w:ascii="Arial" w:cs="Arial" w:eastAsia="Arial" w:hAnsi="Arial"/>
                <w:sz w:val="16"/>
                <w:szCs w:val="16"/>
                <w:color w:val="auto"/>
              </w:rPr>
              <w:t>Not eligible on</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Change in Control</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3"/>
              </w:rPr>
              <w:t>6/30/12</w:t>
            </w:r>
          </w:p>
        </w:tc>
        <w:tc>
          <w:tcPr>
            <w:tcW w:w="11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3"/>
              </w:rPr>
              <w:t>6/30/12</w:t>
            </w: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89"/>
              </w:rPr>
              <w:t>6/30/12</w:t>
            </w: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Death</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$234,825</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$1,282,567 (2)</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$1,517,392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Disability</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$234,825</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$1,282,567 (2)</w:t>
            </w:r>
          </w:p>
        </w:tc>
        <w:tc>
          <w:tcPr>
            <w:tcW w:w="132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w w:val="90"/>
              </w:rPr>
              <w:t>$220,219 (3)</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$1,737,611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shd w:val="clear" w:color="auto" w:fill="CCFFFF"/>
          </w:tcPr>
          <w:p>
            <w:pPr>
              <w:spacing w:after="0"/>
              <w:rPr>
                <w:sz w:val="17"/>
                <w:szCs w:val="17"/>
                <w:color w:val="auto"/>
              </w:rPr>
            </w:pPr>
          </w:p>
        </w:tc>
        <w:tc>
          <w:tcPr>
            <w:tcW w:w="520" w:type="dxa"/>
            <w:vAlign w:val="bottom"/>
            <w:shd w:val="clear" w:color="auto" w:fill="CCFFFF"/>
          </w:tcPr>
          <w:p>
            <w:pPr>
              <w:spacing w:after="0"/>
              <w:rPr>
                <w:sz w:val="17"/>
                <w:szCs w:val="17"/>
                <w:color w:val="auto"/>
              </w:rPr>
            </w:pP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20" w:type="dxa"/>
            <w:vAlign w:val="bottom"/>
            <w:shd w:val="clear" w:color="auto" w:fill="CCFFFF"/>
          </w:tcPr>
          <w:p>
            <w:pPr>
              <w:spacing w:after="0"/>
              <w:rPr>
                <w:sz w:val="17"/>
                <w:szCs w:val="17"/>
                <w:color w:val="auto"/>
              </w:rPr>
            </w:pP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Termination for Cause</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90"/>
              </w:rPr>
              <w:t>$0 (4)</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5"/>
              </w:rPr>
              <w:t>$0 (4)</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w w:val="99"/>
              </w:rPr>
              <w:t>Voluntary Termination Prior to</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$234,825</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$430,597 (5)</w:t>
            </w:r>
          </w:p>
        </w:tc>
        <w:tc>
          <w:tcPr>
            <w:tcW w:w="13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200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$655,422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Retirement</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20" w:type="dxa"/>
            <w:vAlign w:val="bottom"/>
            <w:shd w:val="clear" w:color="auto" w:fill="CCFFFF"/>
          </w:tcPr>
          <w:p>
            <w:pPr>
              <w:spacing w:after="0"/>
              <w:rPr>
                <w:sz w:val="17"/>
                <w:szCs w:val="17"/>
                <w:color w:val="auto"/>
              </w:rPr>
            </w:pPr>
          </w:p>
        </w:tc>
        <w:tc>
          <w:tcPr>
            <w:tcW w:w="20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Involuntary Termination or</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$234,825</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$1,489,360 (6)</w:t>
            </w:r>
          </w:p>
        </w:tc>
        <w:tc>
          <w:tcPr>
            <w:tcW w:w="132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90"/>
              </w:rPr>
              <w:t>$1,121,235 (7)</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89"/>
              </w:rPr>
              <w:t>$2,845,420</w:t>
            </w:r>
          </w:p>
        </w:tc>
        <w:tc>
          <w:tcPr>
            <w:tcW w:w="0" w:type="dxa"/>
            <w:vAlign w:val="bottom"/>
          </w:tcPr>
          <w:p>
            <w:pPr>
              <w:spacing w:after="0"/>
              <w:rPr>
                <w:sz w:val="1"/>
                <w:szCs w:val="1"/>
                <w:color w:val="auto"/>
              </w:rPr>
            </w:pPr>
          </w:p>
        </w:tc>
      </w:tr>
      <w:tr>
        <w:trPr>
          <w:trHeight w:val="192"/>
        </w:trPr>
        <w:tc>
          <w:tcPr>
            <w:tcW w:w="2160" w:type="dxa"/>
            <w:vAlign w:val="bottom"/>
            <w:gridSpan w:val="3"/>
          </w:tcPr>
          <w:p>
            <w:pPr>
              <w:spacing w:after="0"/>
              <w:rPr>
                <w:sz w:val="20"/>
                <w:szCs w:val="20"/>
                <w:color w:val="auto"/>
              </w:rPr>
            </w:pPr>
            <w:r>
              <w:rPr>
                <w:rFonts w:ascii="Arial" w:cs="Arial" w:eastAsia="Arial" w:hAnsi="Arial"/>
                <w:sz w:val="16"/>
                <w:szCs w:val="16"/>
                <w:color w:val="auto"/>
              </w:rPr>
              <w:t>Resignation for Good Cause</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gridSpan w:val="3"/>
          </w:tcPr>
          <w:p>
            <w:pPr>
              <w:spacing w:after="0"/>
              <w:rPr>
                <w:sz w:val="20"/>
                <w:szCs w:val="20"/>
                <w:color w:val="auto"/>
              </w:rPr>
            </w:pPr>
            <w:r>
              <w:rPr>
                <w:rFonts w:ascii="Arial" w:cs="Arial" w:eastAsia="Arial" w:hAnsi="Arial"/>
                <w:sz w:val="16"/>
                <w:szCs w:val="16"/>
                <w:color w:val="auto"/>
              </w:rPr>
              <w:t>Following Change in Control</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4" w:hanging="284"/>
        <w:spacing w:after="0"/>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value is the actual earned bonus under the Corporate Incentive Plan as of June 30, 2012.</w:t>
      </w:r>
    </w:p>
    <w:p>
      <w:pPr>
        <w:spacing w:after="0" w:line="20" w:lineRule="exact"/>
        <w:rPr>
          <w:rFonts w:ascii="Arial" w:cs="Arial" w:eastAsia="Arial" w:hAnsi="Arial"/>
          <w:sz w:val="16"/>
          <w:szCs w:val="16"/>
          <w:color w:val="auto"/>
        </w:rPr>
      </w:pPr>
    </w:p>
    <w:p>
      <w:pPr>
        <w:jc w:val="both"/>
        <w:ind w:left="284" w:hanging="274"/>
        <w:spacing w:after="0" w:line="267" w:lineRule="auto"/>
        <w:tabs>
          <w:tab w:leader="none" w:pos="284"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2012 ($141,450), plus 2/3rds of the maximum cash payment for performance stock units payable for the performance period ending June 30, 2013 ($107,595), plus 1/3rd of the maximum cash payment for performance stock units payable for the performance period ending June 30, 2014 ($8,898)), plus the value of the prorated maximum number of shares issuable under the performance stock awards (100% of the maximum shares issuable under the performance stock awards for the performance period ending June 30, 2012 (15,638 shares), plus 2/3rds of the maximum shares issuable under the performance stock awards for the performance period ending June 30, 2013 (10,196 shares), plus 1/3rd of the maximum shares issuable under the performance stock awards for the performance period ending June 30, 2014 (1,108 shares). In addition, Mr. Eperjesy has 12,180 shares of restricted stock that vest on August 3, 2012, 12,339 shares of restricted stock that vest on July 29, 2013, and 3,954 shares of restricted stock that vest on July 28, 2014 if he remains employed with the Corporation through those dates, respectively. The maximum cash payments of the performance stock unit awards were determined by using $18.76, the mean of the high and low selling prices of Twin Disc shares on June 29, 2012, and the values of performance shares and restricted shares were determined by using $18.49, the closing price of Twin Disc shares on June 29, 2012.</w:t>
      </w:r>
    </w:p>
    <w:p>
      <w:pPr>
        <w:spacing w:after="0" w:line="3" w:lineRule="exact"/>
        <w:rPr>
          <w:rFonts w:ascii="Arial" w:cs="Arial" w:eastAsia="Arial" w:hAnsi="Arial"/>
          <w:sz w:val="15"/>
          <w:szCs w:val="15"/>
          <w:color w:val="auto"/>
        </w:rPr>
      </w:pPr>
    </w:p>
    <w:p>
      <w:pPr>
        <w:jc w:val="both"/>
        <w:ind w:left="284" w:right="20" w:hanging="274"/>
        <w:spacing w:after="0" w:line="250"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Of this amount, $151,500 is the value of six months of benefits beginning July 1, 2012 under the Corporation’s short-term disability program for salaried employees. Any benefits payable after six months are provided by a fully-insured disability carrier. The remainder of this amount is the June 30, 2012 value of Mr. Eperjesy’s benefit under the Supplemental Executive Retirement Plan (“SERP”), which vests upon termination of employment due to disability but is not payable until the date that Mr. Eperjesy would have attained early or normal retirement age under the SERP.</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1"/>
        </w:numPr>
        <w:rPr>
          <w:rFonts w:ascii="Arial" w:cs="Arial" w:eastAsia="Arial" w:hAnsi="Arial"/>
          <w:sz w:val="15"/>
          <w:szCs w:val="15"/>
          <w:color w:val="auto"/>
        </w:rPr>
      </w:pPr>
      <w:r>
        <w:rPr>
          <w:rFonts w:ascii="Arial" w:cs="Arial" w:eastAsia="Arial" w:hAnsi="Arial"/>
          <w:sz w:val="15"/>
          <w:szCs w:val="15"/>
          <w:color w:val="auto"/>
        </w:rPr>
        <w:t>Employees terminated for cause are not eligible for performance awards. This assumes Mr. Eperjesy was involuntarily terminated for cause on June 30, 2012.</w:t>
      </w:r>
    </w:p>
    <w:p>
      <w:pPr>
        <w:spacing w:after="0" w:line="19" w:lineRule="exact"/>
        <w:rPr>
          <w:rFonts w:ascii="Arial" w:cs="Arial" w:eastAsia="Arial" w:hAnsi="Arial"/>
          <w:sz w:val="15"/>
          <w:szCs w:val="15"/>
          <w:color w:val="auto"/>
        </w:rPr>
      </w:pPr>
    </w:p>
    <w:p>
      <w:pPr>
        <w:ind w:left="284" w:right="20" w:hanging="284"/>
        <w:spacing w:after="0" w:line="250"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amount reflects performance stock and performance unit awards payable for the performance period ending June 30, 2012. These awards vested at the maximum performance target.</w:t>
      </w:r>
    </w:p>
    <w:p>
      <w:pPr>
        <w:spacing w:after="0" w:line="1" w:lineRule="exact"/>
        <w:rPr>
          <w:rFonts w:ascii="Arial" w:cs="Arial" w:eastAsia="Arial" w:hAnsi="Arial"/>
          <w:sz w:val="16"/>
          <w:szCs w:val="16"/>
          <w:color w:val="auto"/>
        </w:rPr>
      </w:pPr>
    </w:p>
    <w:p>
      <w:pPr>
        <w:jc w:val="both"/>
        <w:ind w:left="284" w:hanging="274"/>
        <w:spacing w:after="0" w:line="286" w:lineRule="auto"/>
        <w:tabs>
          <w:tab w:leader="none" w:pos="2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(28,473) and performance stock (34,254) valued at $18.49 (the closing price of Twin Disc shares on June 29, 2012), and performance stock units (17,566) valued at $18.76 (the mean of the high and low selling prices of Twin Disc shares on June 29, 2012).</w:t>
      </w:r>
    </w:p>
    <w:p>
      <w:pPr>
        <w:spacing w:after="0" w:line="1" w:lineRule="exact"/>
        <w:rPr>
          <w:rFonts w:ascii="Arial" w:cs="Arial" w:eastAsia="Arial" w:hAnsi="Arial"/>
          <w:sz w:val="14"/>
          <w:szCs w:val="14"/>
          <w:color w:val="auto"/>
        </w:rPr>
      </w:pPr>
    </w:p>
    <w:p>
      <w:pPr>
        <w:ind w:left="284" w:right="20" w:hanging="284"/>
        <w:spacing w:after="0" w:line="261" w:lineRule="auto"/>
        <w:tabs>
          <w:tab w:leader="none" w:pos="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Eperjesy is entitled to 2.0 times the sum of his base salary plus his most recent annual bonus as a severance payment ($1,075,650), plus benefit continuation ($45,585)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0" w:right="219"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James E. Feiertag</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91"/>
              </w:rPr>
              <w:t>(1)</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0"/>
              </w:rPr>
              <w:t>Value of Accelerated</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gridSpan w:val="2"/>
          </w:tcPr>
          <w:p>
            <w:pPr>
              <w:ind w:left="540"/>
              <w:spacing w:after="0"/>
              <w:rPr>
                <w:sz w:val="20"/>
                <w:szCs w:val="20"/>
                <w:color w:val="auto"/>
              </w:rPr>
            </w:pPr>
            <w:r>
              <w:rPr>
                <w:rFonts w:ascii="Arial" w:cs="Arial" w:eastAsia="Arial" w:hAnsi="Arial"/>
                <w:sz w:val="16"/>
                <w:szCs w:val="16"/>
                <w:color w:val="auto"/>
              </w:rPr>
              <w:t>Termination Event</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88"/>
              </w:rPr>
              <w:t>Base Salary ($)</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Bonus</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Non-Equity Incentive</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Restricted Stock,</w:t>
            </w:r>
          </w:p>
        </w:tc>
        <w:tc>
          <w:tcPr>
            <w:tcW w:w="1340" w:type="dxa"/>
            <w:vAlign w:val="bottom"/>
          </w:tcPr>
          <w:p>
            <w:pPr>
              <w:ind w:left="140"/>
              <w:spacing w:after="0"/>
              <w:rPr>
                <w:sz w:val="20"/>
                <w:szCs w:val="20"/>
                <w:color w:val="auto"/>
              </w:rPr>
            </w:pPr>
            <w:r>
              <w:rPr>
                <w:rFonts w:ascii="Arial" w:cs="Arial" w:eastAsia="Arial" w:hAnsi="Arial"/>
                <w:sz w:val="16"/>
                <w:szCs w:val="16"/>
                <w:color w:val="auto"/>
              </w:rPr>
              <w:t>Other Benefits</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87"/>
              </w:rPr>
              <w:t>Plan</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Performance Stock and</w:t>
            </w:r>
          </w:p>
        </w:tc>
        <w:tc>
          <w:tcPr>
            <w:tcW w:w="1340" w:type="dxa"/>
            <w:vAlign w:val="bottom"/>
          </w:tcPr>
          <w:p>
            <w:pPr>
              <w:jc w:val="center"/>
              <w:ind w:right="40"/>
              <w:spacing w:after="0"/>
              <w:rPr>
                <w:sz w:val="20"/>
                <w:szCs w:val="20"/>
                <w:color w:val="auto"/>
              </w:rPr>
            </w:pPr>
            <w:r>
              <w:rPr>
                <w:rFonts w:ascii="Arial" w:cs="Arial" w:eastAsia="Arial" w:hAnsi="Arial"/>
                <w:sz w:val="16"/>
                <w:szCs w:val="16"/>
                <w:color w:val="auto"/>
                <w:w w:val="91"/>
              </w:rPr>
              <w:t>($)</w:t>
            </w:r>
          </w:p>
        </w:tc>
        <w:tc>
          <w:tcPr>
            <w:tcW w:w="198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Performance Stock Units,</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and Stock Options</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Normal Retirement prior to a</w:t>
            </w:r>
          </w:p>
        </w:tc>
        <w:tc>
          <w:tcPr>
            <w:tcW w:w="1360" w:type="dxa"/>
            <w:vAlign w:val="bottom"/>
            <w:shd w:val="clear" w:color="auto" w:fill="CCFFFF"/>
          </w:tcPr>
          <w:p>
            <w:pPr>
              <w:jc w:val="center"/>
              <w:ind w:left="40"/>
              <w:spacing w:after="0" w:line="180" w:lineRule="exact"/>
              <w:rPr>
                <w:sz w:val="20"/>
                <w:szCs w:val="20"/>
                <w:color w:val="auto"/>
              </w:rPr>
            </w:pPr>
            <w:r>
              <w:rPr>
                <w:rFonts w:ascii="Arial" w:cs="Arial" w:eastAsia="Arial" w:hAnsi="Arial"/>
                <w:sz w:val="16"/>
                <w:szCs w:val="16"/>
                <w:color w:val="auto"/>
                <w:w w:val="94"/>
              </w:rPr>
              <w:t>Not eligible on</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Not eligible on 6/30/12</w:t>
            </w:r>
          </w:p>
        </w:tc>
        <w:tc>
          <w:tcPr>
            <w:tcW w:w="1340" w:type="dxa"/>
            <w:vAlign w:val="bottom"/>
            <w:shd w:val="clear" w:color="auto" w:fill="CCFFFF"/>
          </w:tcPr>
          <w:p>
            <w:pPr>
              <w:ind w:left="140"/>
              <w:spacing w:after="0" w:line="180" w:lineRule="exact"/>
              <w:rPr>
                <w:sz w:val="20"/>
                <w:szCs w:val="20"/>
                <w:color w:val="auto"/>
              </w:rPr>
            </w:pPr>
            <w:r>
              <w:rPr>
                <w:rFonts w:ascii="Arial" w:cs="Arial" w:eastAsia="Arial" w:hAnsi="Arial"/>
                <w:sz w:val="16"/>
                <w:szCs w:val="16"/>
                <w:color w:val="auto"/>
              </w:rPr>
              <w:t>Not eligible on</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Not eligible on 6/30/12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Change in Control</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3"/>
              </w:rPr>
              <w:t>6/30/12</w:t>
            </w:r>
          </w:p>
        </w:tc>
        <w:tc>
          <w:tcPr>
            <w:tcW w:w="11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3"/>
              </w:rPr>
              <w:t>6/30/12</w:t>
            </w: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jc w:val="center"/>
              <w:ind w:right="20"/>
              <w:spacing w:after="0"/>
              <w:rPr>
                <w:sz w:val="20"/>
                <w:szCs w:val="20"/>
                <w:color w:val="auto"/>
              </w:rPr>
            </w:pPr>
            <w:r>
              <w:rPr>
                <w:rFonts w:ascii="Arial" w:cs="Arial" w:eastAsia="Arial" w:hAnsi="Arial"/>
                <w:sz w:val="16"/>
                <w:szCs w:val="16"/>
                <w:color w:val="auto"/>
                <w:w w:val="89"/>
              </w:rPr>
              <w:t>6/30/12</w:t>
            </w: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Death</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$233,275</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$1,259,949 (2)</w:t>
            </w:r>
          </w:p>
        </w:tc>
        <w:tc>
          <w:tcPr>
            <w:tcW w:w="134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89"/>
              </w:rPr>
              <w:t>$0</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$1,493,224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Disability</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$233,275</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$1,259,949 (2)</w:t>
            </w:r>
          </w:p>
        </w:tc>
        <w:tc>
          <w:tcPr>
            <w:tcW w:w="1340" w:type="dxa"/>
            <w:vAlign w:val="bottom"/>
            <w:shd w:val="clear" w:color="auto" w:fill="CCFFFF"/>
          </w:tcPr>
          <w:p>
            <w:pPr>
              <w:jc w:val="center"/>
              <w:ind w:right="40"/>
              <w:spacing w:after="0" w:line="180" w:lineRule="exact"/>
              <w:rPr>
                <w:sz w:val="20"/>
                <w:szCs w:val="20"/>
                <w:color w:val="auto"/>
              </w:rPr>
            </w:pPr>
            <w:r>
              <w:rPr>
                <w:rFonts w:ascii="Arial" w:cs="Arial" w:eastAsia="Arial" w:hAnsi="Arial"/>
                <w:sz w:val="16"/>
                <w:szCs w:val="16"/>
                <w:color w:val="auto"/>
                <w:w w:val="90"/>
              </w:rPr>
              <w:t>$237,478 (3)</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$1,730,702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FFFF"/>
          </w:tcPr>
          <w:p>
            <w:pPr>
              <w:spacing w:after="0"/>
              <w:rPr>
                <w:sz w:val="17"/>
                <w:szCs w:val="17"/>
                <w:color w:val="auto"/>
              </w:rPr>
            </w:pPr>
          </w:p>
        </w:tc>
        <w:tc>
          <w:tcPr>
            <w:tcW w:w="940" w:type="dxa"/>
            <w:vAlign w:val="bottom"/>
            <w:shd w:val="clear" w:color="auto" w:fill="CCFFFF"/>
          </w:tcPr>
          <w:p>
            <w:pPr>
              <w:spacing w:after="0"/>
              <w:rPr>
                <w:sz w:val="17"/>
                <w:szCs w:val="17"/>
                <w:color w:val="auto"/>
              </w:rPr>
            </w:pP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spacing w:after="0"/>
              <w:rPr>
                <w:sz w:val="17"/>
                <w:szCs w:val="17"/>
                <w:color w:val="auto"/>
              </w:rPr>
            </w:pP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Termination for Cause</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90"/>
              </w:rPr>
              <w:t>$0 (4)</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5"/>
              </w:rPr>
              <w:t>$0 (4)</w:t>
            </w:r>
          </w:p>
        </w:tc>
        <w:tc>
          <w:tcPr>
            <w:tcW w:w="134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89"/>
              </w:rPr>
              <w:t>$0</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w w:val="99"/>
              </w:rPr>
              <w:t>Voluntary Termination Prior to</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$233,275</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$428,561 (5)</w:t>
            </w:r>
          </w:p>
        </w:tc>
        <w:tc>
          <w:tcPr>
            <w:tcW w:w="134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w w:val="89"/>
              </w:rPr>
              <w:t>$0</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$661,836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Retirement</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spacing w:after="0"/>
              <w:rPr>
                <w:sz w:val="17"/>
                <w:szCs w:val="17"/>
                <w:color w:val="auto"/>
              </w:rPr>
            </w:pP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Involuntary Termination or</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$233,275</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$1,464,384(6)</w:t>
            </w:r>
          </w:p>
        </w:tc>
        <w:tc>
          <w:tcPr>
            <w:tcW w:w="1340" w:type="dxa"/>
            <w:vAlign w:val="bottom"/>
          </w:tcPr>
          <w:p>
            <w:pPr>
              <w:jc w:val="center"/>
              <w:ind w:right="40"/>
              <w:spacing w:after="0" w:line="180" w:lineRule="exact"/>
              <w:rPr>
                <w:sz w:val="20"/>
                <w:szCs w:val="20"/>
                <w:color w:val="auto"/>
              </w:rPr>
            </w:pPr>
            <w:r>
              <w:rPr>
                <w:rFonts w:ascii="Arial" w:cs="Arial" w:eastAsia="Arial" w:hAnsi="Arial"/>
                <w:sz w:val="16"/>
                <w:szCs w:val="16"/>
                <w:color w:val="auto"/>
                <w:w w:val="90"/>
              </w:rPr>
              <w:t>$1,085,782 (7)</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$2,783,441</w:t>
            </w:r>
          </w:p>
        </w:tc>
        <w:tc>
          <w:tcPr>
            <w:tcW w:w="0" w:type="dxa"/>
            <w:vAlign w:val="bottom"/>
          </w:tcPr>
          <w:p>
            <w:pPr>
              <w:spacing w:after="0"/>
              <w:rPr>
                <w:sz w:val="1"/>
                <w:szCs w:val="1"/>
                <w:color w:val="auto"/>
              </w:rPr>
            </w:pPr>
          </w:p>
        </w:tc>
      </w:tr>
      <w:tr>
        <w:trPr>
          <w:trHeight w:val="192"/>
        </w:trPr>
        <w:tc>
          <w:tcPr>
            <w:tcW w:w="2160" w:type="dxa"/>
            <w:vAlign w:val="bottom"/>
            <w:gridSpan w:val="3"/>
          </w:tcPr>
          <w:p>
            <w:pPr>
              <w:spacing w:after="0"/>
              <w:rPr>
                <w:sz w:val="20"/>
                <w:szCs w:val="20"/>
                <w:color w:val="auto"/>
              </w:rPr>
            </w:pPr>
            <w:r>
              <w:rPr>
                <w:rFonts w:ascii="Arial" w:cs="Arial" w:eastAsia="Arial" w:hAnsi="Arial"/>
                <w:sz w:val="16"/>
                <w:szCs w:val="16"/>
                <w:color w:val="auto"/>
              </w:rPr>
              <w:t>Resignation for Good Cause</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gridSpan w:val="3"/>
          </w:tcPr>
          <w:p>
            <w:pPr>
              <w:spacing w:after="0"/>
              <w:rPr>
                <w:sz w:val="20"/>
                <w:szCs w:val="20"/>
                <w:color w:val="auto"/>
              </w:rPr>
            </w:pPr>
            <w:r>
              <w:rPr>
                <w:rFonts w:ascii="Arial" w:cs="Arial" w:eastAsia="Arial" w:hAnsi="Arial"/>
                <w:sz w:val="16"/>
                <w:szCs w:val="16"/>
                <w:color w:val="auto"/>
              </w:rPr>
              <w:t>Following Change in Control</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4" w:hanging="284"/>
        <w:spacing w:after="0"/>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value is the actual earned bonus under the Corporate Incentive Plan as of June 30, 2012.</w:t>
      </w:r>
    </w:p>
    <w:p>
      <w:pPr>
        <w:spacing w:after="0" w:line="20" w:lineRule="exact"/>
        <w:rPr>
          <w:rFonts w:ascii="Arial" w:cs="Arial" w:eastAsia="Arial" w:hAnsi="Arial"/>
          <w:sz w:val="16"/>
          <w:szCs w:val="16"/>
          <w:color w:val="auto"/>
        </w:rPr>
      </w:pPr>
    </w:p>
    <w:p>
      <w:pPr>
        <w:jc w:val="both"/>
        <w:ind w:left="284" w:hanging="274"/>
        <w:spacing w:after="0" w:line="267" w:lineRule="auto"/>
        <w:tabs>
          <w:tab w:leader="none" w:pos="284" w:val="left"/>
        </w:tabs>
        <w:numPr>
          <w:ilvl w:val="0"/>
          <w:numId w:val="32"/>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2012 ($141,450), plus 2/3rds of the maximum cash payment for performance stock units payable for the performance period ending June 30, 2013 ($107,595), plus 1/3rd of the maximum cash payment for performance stock units payable for the performance period ending June 30, 2014 ($8,542)), plus the value of the prorated maximum number of shares issuable under the performance stock awards (100% of the maximum shares issuable under the performance stock awards for the performance period ending June 30, 2012 (15,638 shares), plus 2/3rds of the maximum shares issuable under the performance stock awards for the performance period ending June 30, 2013 (10,196 shares), plus 1/3rd of the maximum shares issuable under the performance stock awards for the performance period ending June 30, 2014 (1,063 shares). In addition, Mr. Feiertag has 12,180 shares of restricted stock that vest on August 3, 2012, 11,339 shares of restricted stock that vest on July 29, 2013, and 3,795 shares of restricted stock that vest on July 28, 2014 if he remains employed with the Corporation through those dates, respectively. The maximum cash payments of the performance stock unit awards were determined by using $18.76, the mean of the high and low selling prices of Twin Disc shares on June 29, 2012, and the values of performance shares and restricted shares were determined by using $18.49, the closing price of Twin Disc shares on June 29, 2012.</w:t>
      </w:r>
    </w:p>
    <w:p>
      <w:pPr>
        <w:spacing w:after="0" w:line="3" w:lineRule="exact"/>
        <w:rPr>
          <w:rFonts w:ascii="Arial" w:cs="Arial" w:eastAsia="Arial" w:hAnsi="Arial"/>
          <w:sz w:val="15"/>
          <w:szCs w:val="15"/>
          <w:color w:val="auto"/>
        </w:rPr>
      </w:pPr>
    </w:p>
    <w:p>
      <w:pPr>
        <w:jc w:val="both"/>
        <w:ind w:left="284" w:right="20" w:hanging="274"/>
        <w:spacing w:after="0" w:line="250" w:lineRule="auto"/>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Of this amount, $151,000 is the value of six months of benefits beginning July 1, 2012 under the Corporation’s short-term disability program for salaried employees. Any benefits payable after six months are provided by a fully-insured disability carrier. The remainder of this amount is the June 30, 2012 value of Mr. Feiertag’s benefit under the Supplemental Executive Retirement Plan (“SERP”), which vests upon termination of employment due to disability but is not payable until the date that Mr. Feiertag would have attained early or normal retirement age under the SERP.</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Employees terminated for cause are not eligible for performance awards. This assumes Mr. Feiertag was involuntarily terminated for cause on June 30, 2012.</w:t>
      </w:r>
    </w:p>
    <w:p>
      <w:pPr>
        <w:spacing w:after="0" w:line="8" w:lineRule="exact"/>
        <w:rPr>
          <w:rFonts w:ascii="Arial" w:cs="Arial" w:eastAsia="Arial" w:hAnsi="Arial"/>
          <w:sz w:val="16"/>
          <w:szCs w:val="16"/>
          <w:color w:val="auto"/>
        </w:rPr>
      </w:pPr>
    </w:p>
    <w:p>
      <w:pPr>
        <w:ind w:left="284" w:right="20" w:hanging="284"/>
        <w:spacing w:after="0" w:line="250" w:lineRule="auto"/>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amount reflects performance stock and performance unit awards payable for the performance period ending June 30, 2012. These awards vested at the maximum performance target.</w:t>
      </w:r>
    </w:p>
    <w:p>
      <w:pPr>
        <w:spacing w:after="0" w:line="1" w:lineRule="exact"/>
        <w:rPr>
          <w:rFonts w:ascii="Arial" w:cs="Arial" w:eastAsia="Arial" w:hAnsi="Arial"/>
          <w:sz w:val="16"/>
          <w:szCs w:val="16"/>
          <w:color w:val="auto"/>
        </w:rPr>
      </w:pPr>
    </w:p>
    <w:p>
      <w:pPr>
        <w:jc w:val="both"/>
        <w:ind w:left="284" w:hanging="274"/>
        <w:spacing w:after="0" w:line="286" w:lineRule="auto"/>
        <w:tabs>
          <w:tab w:leader="none" w:pos="2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(27,314) and performance stock (34,120) valued at $18.49 (the closing price of Twin Disc shares on June 29,2012), and performance stock units (17,509) valued at $18.76 (the mean of the high and low selling prices of Twin Disc shares on June 29, 2012).</w:t>
      </w:r>
    </w:p>
    <w:p>
      <w:pPr>
        <w:spacing w:after="0" w:line="1" w:lineRule="exact"/>
        <w:rPr>
          <w:rFonts w:ascii="Arial" w:cs="Arial" w:eastAsia="Arial" w:hAnsi="Arial"/>
          <w:sz w:val="14"/>
          <w:szCs w:val="14"/>
          <w:color w:val="auto"/>
        </w:rPr>
      </w:pPr>
    </w:p>
    <w:p>
      <w:pPr>
        <w:ind w:left="284" w:right="20" w:hanging="284"/>
        <w:spacing w:after="0" w:line="261" w:lineRule="auto"/>
        <w:tabs>
          <w:tab w:leader="none" w:pos="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Feiertag is entitled to 2.0 times the sum of his base salary plus his most recent bonus as a severance payment ($1,068,550), plus benefit continuation ($17,232)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0" w:right="219" w:bottom="1440" w:gutter="0" w:footer="0" w:header="0"/>
        </w:sectPr>
      </w:pPr>
    </w:p>
    <w:bookmarkStart w:id="35" w:name="page36"/>
    <w:bookmarkEnd w:id="35"/>
    <w:tbl>
      <w:tblPr>
        <w:tblLayout w:type="fixed"/>
        <w:tblInd w:w="4"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Dean J. Bratel</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0"/>
              </w:rPr>
              <w:t>Value of Accelerated</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(1)</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Restricted Stock,</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gridSpan w:val="2"/>
          </w:tcPr>
          <w:p>
            <w:pPr>
              <w:ind w:left="540"/>
              <w:spacing w:after="0"/>
              <w:rPr>
                <w:sz w:val="20"/>
                <w:szCs w:val="20"/>
                <w:color w:val="auto"/>
              </w:rPr>
            </w:pPr>
            <w:r>
              <w:rPr>
                <w:rFonts w:ascii="Arial" w:cs="Arial" w:eastAsia="Arial" w:hAnsi="Arial"/>
                <w:sz w:val="16"/>
                <w:szCs w:val="16"/>
                <w:color w:val="auto"/>
              </w:rPr>
              <w:t>Termination Event</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88"/>
              </w:rPr>
              <w:t>Base Salary ($)</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Bonus</w:t>
            </w: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Non-Equity Incentive</w:t>
            </w:r>
          </w:p>
        </w:tc>
        <w:tc>
          <w:tcPr>
            <w:tcW w:w="1840" w:type="dxa"/>
            <w:vAlign w:val="bottom"/>
          </w:tcPr>
          <w:p>
            <w:pPr>
              <w:jc w:val="center"/>
              <w:spacing w:after="0"/>
              <w:rPr>
                <w:sz w:val="20"/>
                <w:szCs w:val="20"/>
                <w:color w:val="auto"/>
              </w:rPr>
            </w:pPr>
            <w:r>
              <w:rPr>
                <w:rFonts w:ascii="Arial" w:cs="Arial" w:eastAsia="Arial" w:hAnsi="Arial"/>
                <w:sz w:val="16"/>
                <w:szCs w:val="16"/>
                <w:color w:val="auto"/>
                <w:w w:val="88"/>
              </w:rPr>
              <w:t>Performance Stock and</w:t>
            </w:r>
          </w:p>
        </w:tc>
        <w:tc>
          <w:tcPr>
            <w:tcW w:w="1340" w:type="dxa"/>
            <w:vAlign w:val="bottom"/>
          </w:tcPr>
          <w:p>
            <w:pPr>
              <w:jc w:val="center"/>
              <w:ind w:right="40"/>
              <w:spacing w:after="0"/>
              <w:rPr>
                <w:sz w:val="20"/>
                <w:szCs w:val="20"/>
                <w:color w:val="auto"/>
              </w:rPr>
            </w:pPr>
            <w:r>
              <w:rPr>
                <w:rFonts w:ascii="Arial" w:cs="Arial" w:eastAsia="Arial" w:hAnsi="Arial"/>
                <w:sz w:val="16"/>
                <w:szCs w:val="16"/>
                <w:color w:val="auto"/>
                <w:w w:val="91"/>
              </w:rPr>
              <w:t>Other Benefits</w:t>
            </w:r>
          </w:p>
        </w:tc>
        <w:tc>
          <w:tcPr>
            <w:tcW w:w="198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640" w:type="dxa"/>
            <w:vAlign w:val="bottom"/>
          </w:tcPr>
          <w:p>
            <w:pPr>
              <w:jc w:val="center"/>
              <w:spacing w:after="0"/>
              <w:rPr>
                <w:sz w:val="20"/>
                <w:szCs w:val="20"/>
                <w:color w:val="auto"/>
              </w:rPr>
            </w:pPr>
            <w:r>
              <w:rPr>
                <w:rFonts w:ascii="Arial" w:cs="Arial" w:eastAsia="Arial" w:hAnsi="Arial"/>
                <w:sz w:val="16"/>
                <w:szCs w:val="16"/>
                <w:color w:val="auto"/>
                <w:w w:val="87"/>
              </w:rPr>
              <w:t>Plan</w:t>
            </w: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Performance Stock Units,</w:t>
            </w:r>
          </w:p>
        </w:tc>
        <w:tc>
          <w:tcPr>
            <w:tcW w:w="1340" w:type="dxa"/>
            <w:vAlign w:val="bottom"/>
          </w:tcPr>
          <w:p>
            <w:pPr>
              <w:jc w:val="center"/>
              <w:ind w:right="40"/>
              <w:spacing w:after="0"/>
              <w:rPr>
                <w:sz w:val="20"/>
                <w:szCs w:val="20"/>
                <w:color w:val="auto"/>
              </w:rPr>
            </w:pPr>
            <w:r>
              <w:rPr>
                <w:rFonts w:ascii="Arial" w:cs="Arial" w:eastAsia="Arial" w:hAnsi="Arial"/>
                <w:sz w:val="16"/>
                <w:szCs w:val="16"/>
                <w:color w:val="auto"/>
                <w:w w:val="91"/>
              </w:rPr>
              <w:t>($)</w:t>
            </w:r>
          </w:p>
        </w:tc>
        <w:tc>
          <w:tcPr>
            <w:tcW w:w="198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w:t>
            </w:r>
          </w:p>
        </w:tc>
        <w:tc>
          <w:tcPr>
            <w:tcW w:w="1840" w:type="dxa"/>
            <w:vAlign w:val="bottom"/>
          </w:tcPr>
          <w:p>
            <w:pPr>
              <w:jc w:val="center"/>
              <w:spacing w:after="0"/>
              <w:rPr>
                <w:sz w:val="20"/>
                <w:szCs w:val="20"/>
                <w:color w:val="auto"/>
              </w:rPr>
            </w:pPr>
            <w:r>
              <w:rPr>
                <w:rFonts w:ascii="Arial" w:cs="Arial" w:eastAsia="Arial" w:hAnsi="Arial"/>
                <w:sz w:val="16"/>
                <w:szCs w:val="16"/>
                <w:color w:val="auto"/>
                <w:w w:val="90"/>
              </w:rPr>
              <w:t>and Stock Options</w:t>
            </w: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Normal Retirement prior to a</w:t>
            </w:r>
          </w:p>
        </w:tc>
        <w:tc>
          <w:tcPr>
            <w:tcW w:w="1360" w:type="dxa"/>
            <w:vAlign w:val="bottom"/>
            <w:shd w:val="clear" w:color="auto" w:fill="CCFFFF"/>
          </w:tcPr>
          <w:p>
            <w:pPr>
              <w:jc w:val="center"/>
              <w:ind w:left="40"/>
              <w:spacing w:after="0" w:line="180" w:lineRule="exact"/>
              <w:rPr>
                <w:sz w:val="20"/>
                <w:szCs w:val="20"/>
                <w:color w:val="auto"/>
              </w:rPr>
            </w:pPr>
            <w:r>
              <w:rPr>
                <w:rFonts w:ascii="Arial" w:cs="Arial" w:eastAsia="Arial" w:hAnsi="Arial"/>
                <w:sz w:val="16"/>
                <w:szCs w:val="16"/>
                <w:color w:val="auto"/>
                <w:w w:val="94"/>
              </w:rPr>
              <w:t>Not eligible on</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4"/>
              </w:rPr>
              <w:t>Not eligible on 6/30/12</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Not eligible on 6/30/12</w:t>
            </w:r>
          </w:p>
        </w:tc>
        <w:tc>
          <w:tcPr>
            <w:tcW w:w="134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w w:val="94"/>
              </w:rPr>
              <w:t>Not eligible on</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Not eligible on 6/30/12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Change in Control</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3"/>
              </w:rPr>
              <w:t>6/30/12</w:t>
            </w:r>
          </w:p>
        </w:tc>
        <w:tc>
          <w:tcPr>
            <w:tcW w:w="112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3"/>
              </w:rPr>
              <w:t>6/30/12</w:t>
            </w: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jc w:val="center"/>
              <w:ind w:right="20"/>
              <w:spacing w:after="0"/>
              <w:rPr>
                <w:sz w:val="20"/>
                <w:szCs w:val="20"/>
                <w:color w:val="auto"/>
              </w:rPr>
            </w:pPr>
            <w:r>
              <w:rPr>
                <w:rFonts w:ascii="Arial" w:cs="Arial" w:eastAsia="Arial" w:hAnsi="Arial"/>
                <w:sz w:val="16"/>
                <w:szCs w:val="16"/>
                <w:color w:val="auto"/>
                <w:w w:val="89"/>
              </w:rPr>
              <w:t>6/30/12</w:t>
            </w: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Death</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$127,720</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$662,848 (2)</w:t>
            </w:r>
          </w:p>
        </w:tc>
        <w:tc>
          <w:tcPr>
            <w:tcW w:w="134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89"/>
              </w:rPr>
              <w:t>$0</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$790,568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rPr>
              <w:t>Disability</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$127,720</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$662,848 (2)</w:t>
            </w:r>
          </w:p>
        </w:tc>
        <w:tc>
          <w:tcPr>
            <w:tcW w:w="1340" w:type="dxa"/>
            <w:vAlign w:val="bottom"/>
            <w:shd w:val="clear" w:color="auto" w:fill="CCFFFF"/>
          </w:tcPr>
          <w:p>
            <w:pPr>
              <w:jc w:val="center"/>
              <w:ind w:right="40"/>
              <w:spacing w:after="0" w:line="180" w:lineRule="exact"/>
              <w:rPr>
                <w:sz w:val="20"/>
                <w:szCs w:val="20"/>
                <w:color w:val="auto"/>
              </w:rPr>
            </w:pPr>
            <w:r>
              <w:rPr>
                <w:rFonts w:ascii="Arial" w:cs="Arial" w:eastAsia="Arial" w:hAnsi="Arial"/>
                <w:sz w:val="16"/>
                <w:szCs w:val="16"/>
                <w:color w:val="auto"/>
                <w:w w:val="90"/>
              </w:rPr>
              <w:t>$118,536 (3)</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$909,104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shd w:val="clear" w:color="auto" w:fill="CCFFFF"/>
          </w:tcPr>
          <w:p>
            <w:pPr>
              <w:spacing w:after="0"/>
              <w:rPr>
                <w:sz w:val="17"/>
                <w:szCs w:val="17"/>
                <w:color w:val="auto"/>
              </w:rPr>
            </w:pPr>
          </w:p>
        </w:tc>
        <w:tc>
          <w:tcPr>
            <w:tcW w:w="1180" w:type="dxa"/>
            <w:vAlign w:val="bottom"/>
            <w:shd w:val="clear" w:color="auto" w:fill="CCFFFF"/>
          </w:tcPr>
          <w:p>
            <w:pPr>
              <w:spacing w:after="0"/>
              <w:rPr>
                <w:sz w:val="17"/>
                <w:szCs w:val="17"/>
                <w:color w:val="auto"/>
              </w:rPr>
            </w:pP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spacing w:after="0"/>
              <w:rPr>
                <w:sz w:val="17"/>
                <w:szCs w:val="17"/>
                <w:color w:val="auto"/>
              </w:rPr>
            </w:pP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Termination for Cause</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5"/>
              </w:rPr>
              <w:t>$0 (4)</w:t>
            </w:r>
          </w:p>
        </w:tc>
        <w:tc>
          <w:tcPr>
            <w:tcW w:w="1340" w:type="dxa"/>
            <w:vAlign w:val="bottom"/>
          </w:tcPr>
          <w:p>
            <w:pPr>
              <w:jc w:val="center"/>
              <w:ind w:right="20"/>
              <w:spacing w:after="0" w:line="180" w:lineRule="exact"/>
              <w:rPr>
                <w:sz w:val="20"/>
                <w:szCs w:val="20"/>
                <w:color w:val="auto"/>
              </w:rPr>
            </w:pPr>
            <w:r>
              <w:rPr>
                <w:rFonts w:ascii="Arial" w:cs="Arial" w:eastAsia="Arial" w:hAnsi="Arial"/>
                <w:sz w:val="16"/>
                <w:szCs w:val="16"/>
                <w:color w:val="auto"/>
                <w:w w:val="89"/>
              </w:rPr>
              <w:t>$ 0</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shd w:val="clear" w:color="auto" w:fill="CCFFFF"/>
          </w:tcPr>
          <w:p>
            <w:pPr>
              <w:spacing w:after="0" w:line="180" w:lineRule="exact"/>
              <w:rPr>
                <w:sz w:val="20"/>
                <w:szCs w:val="20"/>
                <w:color w:val="auto"/>
              </w:rPr>
            </w:pPr>
            <w:r>
              <w:rPr>
                <w:rFonts w:ascii="Arial" w:cs="Arial" w:eastAsia="Arial" w:hAnsi="Arial"/>
                <w:sz w:val="16"/>
                <w:szCs w:val="16"/>
                <w:color w:val="auto"/>
                <w:w w:val="99"/>
              </w:rPr>
              <w:t>Voluntary Termination Prior to</w:t>
            </w:r>
          </w:p>
        </w:tc>
        <w:tc>
          <w:tcPr>
            <w:tcW w:w="1360" w:type="dxa"/>
            <w:vAlign w:val="bottom"/>
            <w:shd w:val="clear" w:color="auto" w:fill="CCFFFF"/>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$127,720</w:t>
            </w:r>
          </w:p>
        </w:tc>
        <w:tc>
          <w:tcPr>
            <w:tcW w:w="184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92"/>
              </w:rPr>
              <w:t>$206,771 (5)</w:t>
            </w:r>
          </w:p>
        </w:tc>
        <w:tc>
          <w:tcPr>
            <w:tcW w:w="1340" w:type="dxa"/>
            <w:vAlign w:val="bottom"/>
            <w:shd w:val="clear" w:color="auto" w:fill="CCFFFF"/>
          </w:tcPr>
          <w:p>
            <w:pPr>
              <w:jc w:val="center"/>
              <w:ind w:right="20"/>
              <w:spacing w:after="0" w:line="180" w:lineRule="exact"/>
              <w:rPr>
                <w:sz w:val="20"/>
                <w:szCs w:val="20"/>
                <w:color w:val="auto"/>
              </w:rPr>
            </w:pPr>
            <w:r>
              <w:rPr>
                <w:rFonts w:ascii="Arial" w:cs="Arial" w:eastAsia="Arial" w:hAnsi="Arial"/>
                <w:sz w:val="16"/>
                <w:szCs w:val="16"/>
                <w:color w:val="auto"/>
              </w:rPr>
              <w:t>N/A</w:t>
            </w:r>
          </w:p>
        </w:tc>
        <w:tc>
          <w:tcPr>
            <w:tcW w:w="1980" w:type="dxa"/>
            <w:vAlign w:val="bottom"/>
            <w:shd w:val="clear" w:color="auto" w:fill="CCFFFF"/>
          </w:tcPr>
          <w:p>
            <w:pPr>
              <w:jc w:val="center"/>
              <w:spacing w:after="0" w:line="180" w:lineRule="exact"/>
              <w:rPr>
                <w:sz w:val="20"/>
                <w:szCs w:val="20"/>
                <w:color w:val="auto"/>
              </w:rPr>
            </w:pPr>
            <w:r>
              <w:rPr>
                <w:rFonts w:ascii="Arial" w:cs="Arial" w:eastAsia="Arial" w:hAnsi="Arial"/>
                <w:sz w:val="16"/>
                <w:szCs w:val="16"/>
                <w:color w:val="auto"/>
                <w:w w:val="89"/>
              </w:rPr>
              <w:t>$334,491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gridSpan w:val="2"/>
            <w:shd w:val="clear" w:color="auto" w:fill="CCFFFF"/>
          </w:tcPr>
          <w:p>
            <w:pPr>
              <w:spacing w:after="0"/>
              <w:rPr>
                <w:sz w:val="20"/>
                <w:szCs w:val="20"/>
                <w:color w:val="auto"/>
              </w:rPr>
            </w:pPr>
            <w:r>
              <w:rPr>
                <w:rFonts w:ascii="Arial" w:cs="Arial" w:eastAsia="Arial" w:hAnsi="Arial"/>
                <w:sz w:val="16"/>
                <w:szCs w:val="16"/>
                <w:color w:val="auto"/>
              </w:rPr>
              <w:t>Retirement (7)</w:t>
            </w:r>
          </w:p>
        </w:tc>
        <w:tc>
          <w:tcPr>
            <w:tcW w:w="1360" w:type="dxa"/>
            <w:vAlign w:val="bottom"/>
            <w:shd w:val="clear" w:color="auto" w:fill="CCFFFF"/>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shd w:val="clear" w:color="auto" w:fill="CCFFFF"/>
          </w:tcPr>
          <w:p>
            <w:pPr>
              <w:spacing w:after="0"/>
              <w:rPr>
                <w:sz w:val="17"/>
                <w:szCs w:val="17"/>
                <w:color w:val="auto"/>
              </w:rPr>
            </w:pPr>
          </w:p>
        </w:tc>
        <w:tc>
          <w:tcPr>
            <w:tcW w:w="1640" w:type="dxa"/>
            <w:vAlign w:val="bottom"/>
            <w:shd w:val="clear" w:color="auto" w:fill="CCFFFF"/>
          </w:tcPr>
          <w:p>
            <w:pPr>
              <w:spacing w:after="0"/>
              <w:rPr>
                <w:sz w:val="17"/>
                <w:szCs w:val="17"/>
                <w:color w:val="auto"/>
              </w:rPr>
            </w:pPr>
          </w:p>
        </w:tc>
        <w:tc>
          <w:tcPr>
            <w:tcW w:w="1840" w:type="dxa"/>
            <w:vAlign w:val="bottom"/>
            <w:shd w:val="clear" w:color="auto" w:fill="CCFFFF"/>
          </w:tcPr>
          <w:p>
            <w:pPr>
              <w:spacing w:after="0"/>
              <w:rPr>
                <w:sz w:val="17"/>
                <w:szCs w:val="17"/>
                <w:color w:val="auto"/>
              </w:rPr>
            </w:pPr>
          </w:p>
        </w:tc>
        <w:tc>
          <w:tcPr>
            <w:tcW w:w="1340" w:type="dxa"/>
            <w:vAlign w:val="bottom"/>
            <w:shd w:val="clear" w:color="auto" w:fill="CCFFFF"/>
          </w:tcPr>
          <w:p>
            <w:pPr>
              <w:spacing w:after="0"/>
              <w:rPr>
                <w:sz w:val="17"/>
                <w:szCs w:val="17"/>
                <w:color w:val="auto"/>
              </w:rPr>
            </w:pPr>
          </w:p>
        </w:tc>
        <w:tc>
          <w:tcPr>
            <w:tcW w:w="198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40" w:type="dxa"/>
            <w:vAlign w:val="bottom"/>
            <w:gridSpan w:val="2"/>
          </w:tcPr>
          <w:p>
            <w:pPr>
              <w:spacing w:after="0" w:line="180" w:lineRule="exact"/>
              <w:rPr>
                <w:sz w:val="20"/>
                <w:szCs w:val="20"/>
                <w:color w:val="auto"/>
              </w:rPr>
            </w:pPr>
            <w:r>
              <w:rPr>
                <w:rFonts w:ascii="Arial" w:cs="Arial" w:eastAsia="Arial" w:hAnsi="Arial"/>
                <w:sz w:val="16"/>
                <w:szCs w:val="16"/>
                <w:color w:val="auto"/>
              </w:rPr>
              <w:t>Involuntary Termination or</w:t>
            </w:r>
          </w:p>
        </w:tc>
        <w:tc>
          <w:tcPr>
            <w:tcW w:w="1360" w:type="dxa"/>
            <w:vAlign w:val="bottom"/>
          </w:tcPr>
          <w:p>
            <w:pPr>
              <w:jc w:val="center"/>
              <w:ind w:left="60"/>
              <w:spacing w:after="0" w:line="180" w:lineRule="exact"/>
              <w:rPr>
                <w:sz w:val="20"/>
                <w:szCs w:val="20"/>
                <w:color w:val="auto"/>
              </w:rPr>
            </w:pPr>
            <w:r>
              <w:rPr>
                <w:rFonts w:ascii="Arial" w:cs="Arial" w:eastAsia="Arial" w:hAnsi="Arial"/>
                <w:sz w:val="16"/>
                <w:szCs w:val="16"/>
                <w:color w:val="auto"/>
                <w:w w:val="91"/>
              </w:rPr>
              <w:t>Paid through last</w:t>
            </w:r>
          </w:p>
        </w:tc>
        <w:tc>
          <w:tcPr>
            <w:tcW w:w="1120" w:type="dxa"/>
            <w:vAlign w:val="bottom"/>
          </w:tcPr>
          <w:p>
            <w:pPr>
              <w:jc w:val="center"/>
              <w:spacing w:after="0" w:line="180" w:lineRule="exact"/>
              <w:rPr>
                <w:sz w:val="20"/>
                <w:szCs w:val="20"/>
                <w:color w:val="auto"/>
              </w:rPr>
            </w:pPr>
            <w:r>
              <w:rPr>
                <w:rFonts w:ascii="Arial" w:cs="Arial" w:eastAsia="Arial" w:hAnsi="Arial"/>
                <w:sz w:val="16"/>
                <w:szCs w:val="16"/>
                <w:color w:val="auto"/>
                <w:w w:val="89"/>
              </w:rPr>
              <w:t>$0</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auto"/>
                <w:w w:val="89"/>
              </w:rPr>
              <w:t>$127,720</w:t>
            </w:r>
          </w:p>
        </w:tc>
        <w:tc>
          <w:tcPr>
            <w:tcW w:w="1840" w:type="dxa"/>
            <w:vAlign w:val="bottom"/>
          </w:tcPr>
          <w:p>
            <w:pPr>
              <w:jc w:val="center"/>
              <w:spacing w:after="0" w:line="180" w:lineRule="exact"/>
              <w:rPr>
                <w:sz w:val="20"/>
                <w:szCs w:val="20"/>
                <w:color w:val="auto"/>
              </w:rPr>
            </w:pPr>
            <w:r>
              <w:rPr>
                <w:rFonts w:ascii="Arial" w:cs="Arial" w:eastAsia="Arial" w:hAnsi="Arial"/>
                <w:sz w:val="16"/>
                <w:szCs w:val="16"/>
                <w:color w:val="auto"/>
                <w:w w:val="92"/>
              </w:rPr>
              <w:t>$767,074 (6)</w:t>
            </w:r>
          </w:p>
        </w:tc>
        <w:tc>
          <w:tcPr>
            <w:tcW w:w="1340" w:type="dxa"/>
            <w:vAlign w:val="bottom"/>
          </w:tcPr>
          <w:p>
            <w:pPr>
              <w:jc w:val="center"/>
              <w:ind w:right="40"/>
              <w:spacing w:after="0" w:line="180" w:lineRule="exact"/>
              <w:rPr>
                <w:sz w:val="20"/>
                <w:szCs w:val="20"/>
                <w:color w:val="auto"/>
              </w:rPr>
            </w:pPr>
            <w:r>
              <w:rPr>
                <w:rFonts w:ascii="Arial" w:cs="Arial" w:eastAsia="Arial" w:hAnsi="Arial"/>
                <w:sz w:val="16"/>
                <w:szCs w:val="16"/>
                <w:color w:val="auto"/>
                <w:w w:val="90"/>
              </w:rPr>
              <w:t>$546,165 (7)</w:t>
            </w:r>
          </w:p>
        </w:tc>
        <w:tc>
          <w:tcPr>
            <w:tcW w:w="1980" w:type="dxa"/>
            <w:vAlign w:val="bottom"/>
          </w:tcPr>
          <w:p>
            <w:pPr>
              <w:jc w:val="center"/>
              <w:spacing w:after="0" w:line="180" w:lineRule="exact"/>
              <w:rPr>
                <w:sz w:val="20"/>
                <w:szCs w:val="20"/>
                <w:color w:val="auto"/>
              </w:rPr>
            </w:pPr>
            <w:r>
              <w:rPr>
                <w:rFonts w:ascii="Arial" w:cs="Arial" w:eastAsia="Arial" w:hAnsi="Arial"/>
                <w:sz w:val="16"/>
                <w:szCs w:val="16"/>
                <w:color w:val="auto"/>
                <w:w w:val="89"/>
              </w:rPr>
              <w:t>$1,440,959</w:t>
            </w:r>
          </w:p>
        </w:tc>
        <w:tc>
          <w:tcPr>
            <w:tcW w:w="0" w:type="dxa"/>
            <w:vAlign w:val="bottom"/>
          </w:tcPr>
          <w:p>
            <w:pPr>
              <w:spacing w:after="0"/>
              <w:rPr>
                <w:sz w:val="1"/>
                <w:szCs w:val="1"/>
                <w:color w:val="auto"/>
              </w:rPr>
            </w:pPr>
          </w:p>
        </w:tc>
      </w:tr>
      <w:tr>
        <w:trPr>
          <w:trHeight w:val="192"/>
        </w:trPr>
        <w:tc>
          <w:tcPr>
            <w:tcW w:w="2160" w:type="dxa"/>
            <w:vAlign w:val="bottom"/>
            <w:gridSpan w:val="3"/>
          </w:tcPr>
          <w:p>
            <w:pPr>
              <w:spacing w:after="0"/>
              <w:rPr>
                <w:sz w:val="20"/>
                <w:szCs w:val="20"/>
                <w:color w:val="auto"/>
              </w:rPr>
            </w:pPr>
            <w:r>
              <w:rPr>
                <w:rFonts w:ascii="Arial" w:cs="Arial" w:eastAsia="Arial" w:hAnsi="Arial"/>
                <w:sz w:val="16"/>
                <w:szCs w:val="16"/>
                <w:color w:val="auto"/>
              </w:rPr>
              <w:t>Resignation for Good Cause</w:t>
            </w:r>
          </w:p>
        </w:tc>
        <w:tc>
          <w:tcPr>
            <w:tcW w:w="1360" w:type="dxa"/>
            <w:vAlign w:val="bottom"/>
          </w:tcPr>
          <w:p>
            <w:pPr>
              <w:jc w:val="center"/>
              <w:ind w:left="60"/>
              <w:spacing w:after="0"/>
              <w:rPr>
                <w:sz w:val="20"/>
                <w:szCs w:val="20"/>
                <w:color w:val="auto"/>
              </w:rPr>
            </w:pPr>
            <w:r>
              <w:rPr>
                <w:rFonts w:ascii="Arial" w:cs="Arial" w:eastAsia="Arial" w:hAnsi="Arial"/>
                <w:sz w:val="16"/>
                <w:szCs w:val="16"/>
                <w:color w:val="auto"/>
                <w:w w:val="90"/>
              </w:rPr>
              <w:t>day worked</w:t>
            </w:r>
          </w:p>
        </w:tc>
        <w:tc>
          <w:tcPr>
            <w:tcW w:w="1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gridSpan w:val="3"/>
          </w:tcPr>
          <w:p>
            <w:pPr>
              <w:spacing w:after="0"/>
              <w:rPr>
                <w:sz w:val="20"/>
                <w:szCs w:val="20"/>
                <w:color w:val="auto"/>
              </w:rPr>
            </w:pPr>
            <w:r>
              <w:rPr>
                <w:rFonts w:ascii="Arial" w:cs="Arial" w:eastAsia="Arial" w:hAnsi="Arial"/>
                <w:sz w:val="16"/>
                <w:szCs w:val="16"/>
                <w:color w:val="auto"/>
              </w:rPr>
              <w:t>Following Change in Control</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24" w:hanging="365"/>
        <w:spacing w:after="0"/>
        <w:tabs>
          <w:tab w:leader="none" w:pos="424"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This value is the actual earned bonus under the Corporate Incentive Plan as of June 30, 2012.</w:t>
      </w:r>
    </w:p>
    <w:p>
      <w:pPr>
        <w:spacing w:after="0" w:line="20" w:lineRule="exact"/>
        <w:rPr>
          <w:rFonts w:ascii="Arial" w:cs="Arial" w:eastAsia="Arial" w:hAnsi="Arial"/>
          <w:sz w:val="16"/>
          <w:szCs w:val="16"/>
          <w:color w:val="auto"/>
        </w:rPr>
      </w:pPr>
    </w:p>
    <w:p>
      <w:pPr>
        <w:jc w:val="both"/>
        <w:ind w:left="284" w:right="20" w:hanging="274"/>
        <w:spacing w:after="0" w:line="267" w:lineRule="auto"/>
        <w:tabs>
          <w:tab w:leader="none" w:pos="284" w:val="left"/>
        </w:tabs>
        <w:numPr>
          <w:ilvl w:val="0"/>
          <w:numId w:val="34"/>
        </w:numPr>
        <w:rPr>
          <w:rFonts w:ascii="Arial" w:cs="Arial" w:eastAsia="Arial" w:hAnsi="Arial"/>
          <w:sz w:val="15"/>
          <w:szCs w:val="15"/>
          <w:color w:val="auto"/>
        </w:rPr>
      </w:pPr>
      <w:r>
        <w:rPr>
          <w:rFonts w:ascii="Arial" w:cs="Arial" w:eastAsia="Arial" w:hAnsi="Arial"/>
          <w:sz w:val="15"/>
          <w:szCs w:val="15"/>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2012 ($67,911), plus 2/3rds of the maximum cash payment for performance stock units payable for the performance period ending June 30, 2013 ($51,653), plus 1/3rd of the maximum cash payment for performance stock units payable for the performance period ending June 30, 2014 ($5,021)), plus the value of the prorated maximum number of shares issuable under the performance stock awards (100% of the maximum shares issuable under the performance stock awards for the performance period ending June 30, 2012 (7,509 shares), plus 2/3rds of the maximum shares issuable under the performance stock awards for the performance period ending June 30, 2013 (4,896 shares), plus 1/3rd of the maximum shares issuable under the performance stock awards for the performance period ending June 30, 2014 (625 shares)). In addition, Mr. Bratel has 5,848 shares of restricted stock that vest on August 3, 2012, 8,004 shares of restricted stock that vest on July 29, 2013, and 2,229 shares of restricted stock that vest on July 28, 2014 if he remains employed with the Corporation through those dates, respectively. The maximum cash payments of the performance stock unit awards were determined by using $18.76, the mean of the high and low selling prices of Twin Disc shares on June 29, 2012, and the values of performance shares and restricted shares were determined by using $18.49, the closing price of Twin Disc shares on June 29, 2012.</w:t>
      </w:r>
    </w:p>
    <w:p>
      <w:pPr>
        <w:spacing w:after="0" w:line="3" w:lineRule="exact"/>
        <w:rPr>
          <w:rFonts w:ascii="Arial" w:cs="Arial" w:eastAsia="Arial" w:hAnsi="Arial"/>
          <w:sz w:val="15"/>
          <w:szCs w:val="15"/>
          <w:color w:val="auto"/>
        </w:rPr>
      </w:pPr>
    </w:p>
    <w:p>
      <w:pPr>
        <w:jc w:val="both"/>
        <w:ind w:left="284" w:right="20" w:hanging="274"/>
        <w:spacing w:after="0" w:line="250" w:lineRule="auto"/>
        <w:tabs>
          <w:tab w:leader="none" w:pos="2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 this amount, $103,000 is the value of six months of benefits beginning July 1, 2012 under the Corporation’s short-term disability program for salaried employees. Any benefits payable after six months are provided by a fully-insured disability carrier. The remainder of this amount is the June 30, 2012 value of Mr.Bratel’s benefit under the Supplemental Executive Retirement Plan (“SERP”), which vests upon termination of employment due to disability but is not payable until the date that Mr. Bratel would have attained early or normal retirement age under the SERP.</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Employees terminated for cause are not eligible for performance awards. This assumes Mr. Bratel was involuntarily terminated for cause on June 30, 2012.</w:t>
      </w:r>
    </w:p>
    <w:p>
      <w:pPr>
        <w:spacing w:after="0" w:line="8" w:lineRule="exact"/>
        <w:rPr>
          <w:rFonts w:ascii="Arial" w:cs="Arial" w:eastAsia="Arial" w:hAnsi="Arial"/>
          <w:sz w:val="16"/>
          <w:szCs w:val="16"/>
          <w:color w:val="auto"/>
        </w:rPr>
      </w:pPr>
    </w:p>
    <w:p>
      <w:pPr>
        <w:ind w:left="284" w:right="20" w:hanging="284"/>
        <w:spacing w:after="0" w:line="250" w:lineRule="auto"/>
        <w:tabs>
          <w:tab w:leader="none" w:pos="2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amount reflects performance stock and performance unit awards payable for the performance period ending June 30, 2012. These awards vested at the maximum performance target.</w:t>
      </w:r>
    </w:p>
    <w:p>
      <w:pPr>
        <w:spacing w:after="0" w:line="1" w:lineRule="exact"/>
        <w:rPr>
          <w:rFonts w:ascii="Arial" w:cs="Arial" w:eastAsia="Arial" w:hAnsi="Arial"/>
          <w:sz w:val="16"/>
          <w:szCs w:val="16"/>
          <w:color w:val="auto"/>
        </w:rPr>
      </w:pPr>
    </w:p>
    <w:p>
      <w:pPr>
        <w:jc w:val="both"/>
        <w:ind w:left="284" w:hanging="274"/>
        <w:spacing w:after="0" w:line="286" w:lineRule="auto"/>
        <w:tabs>
          <w:tab w:leader="none" w:pos="284" w:val="left"/>
        </w:tabs>
        <w:numPr>
          <w:ilvl w:val="0"/>
          <w:numId w:val="34"/>
        </w:numPr>
        <w:rPr>
          <w:rFonts w:ascii="Arial" w:cs="Arial" w:eastAsia="Arial" w:hAnsi="Arial"/>
          <w:sz w:val="14"/>
          <w:szCs w:val="14"/>
          <w:color w:val="auto"/>
        </w:rPr>
      </w:pPr>
      <w:r>
        <w:rPr>
          <w:rFonts w:ascii="Arial" w:cs="Arial" w:eastAsia="Arial" w:hAnsi="Arial"/>
          <w:sz w:val="14"/>
          <w:szCs w:val="14"/>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(16,081) and performance stock (16,727) valued at $18.49 (the closing price of Twin Disc shares on June 29, 2012), and performance stock units (8,553) valued at $18.76 (the mean of the high and low selling prices of Twin Disc shares on June 29, 2012).</w:t>
      </w:r>
    </w:p>
    <w:p>
      <w:pPr>
        <w:spacing w:after="0" w:line="1" w:lineRule="exact"/>
        <w:rPr>
          <w:rFonts w:ascii="Arial" w:cs="Arial" w:eastAsia="Arial" w:hAnsi="Arial"/>
          <w:sz w:val="14"/>
          <w:szCs w:val="14"/>
          <w:color w:val="auto"/>
        </w:rPr>
      </w:pPr>
    </w:p>
    <w:p>
      <w:pPr>
        <w:ind w:left="284" w:right="20" w:hanging="284"/>
        <w:spacing w:after="0" w:line="261" w:lineRule="auto"/>
        <w:tabs>
          <w:tab w:leader="none" w:pos="284"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Change in Control Severance Agreement, Mr. Bratel is entitled to 1.5 times the sum of his base salary plus his most recent bonus as a severance payment ($500,580), plus benefit continuation ($45,585)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6694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0" w:right="219" w:bottom="1440" w:gutter="0" w:footer="0" w:header="0"/>
        </w:sectPr>
      </w:pPr>
    </w:p>
    <w:bookmarkStart w:id="36" w:name="page37"/>
    <w:bookmarkEnd w:id="36"/>
    <w:tbl>
      <w:tblPr>
        <w:tblLayout w:type="fixed"/>
        <w:tblInd w:w="14" w:type="dxa"/>
        <w:tblCellMar>
          <w:top w:w="0" w:type="dxa"/>
          <w:left w:w="0" w:type="dxa"/>
          <w:bottom w:w="0" w:type="dxa"/>
          <w:right w:w="0" w:type="dxa"/>
        </w:tblCellMar>
      </w:tblPr>
      <w:tr>
        <w:trPr>
          <w:trHeight w:val="209"/>
        </w:trPr>
        <w:tc>
          <w:tcPr>
            <w:tcW w:w="192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8960" w:type="dxa"/>
            <w:vAlign w:val="bottom"/>
            <w:gridSpan w:val="8"/>
          </w:tcPr>
          <w:p>
            <w:pPr>
              <w:spacing w:after="0"/>
              <w:rPr>
                <w:sz w:val="20"/>
                <w:szCs w:val="20"/>
                <w:color w:val="auto"/>
              </w:rPr>
            </w:pPr>
            <w:r>
              <w:rPr>
                <w:rFonts w:ascii="Arial" w:cs="Arial" w:eastAsia="Arial" w:hAnsi="Arial"/>
                <w:sz w:val="16"/>
                <w:szCs w:val="16"/>
                <w:color w:val="auto"/>
                <w:w w:val="92"/>
              </w:rPr>
              <w:t>The following table summarizes information regarding the compensation received by each of our non-employee Directors during FY2012:</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w w:val="88"/>
              </w:rPr>
              <w:t>Change in Pension</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Value and Non-</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Value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of</w:t>
            </w: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qualified Deferred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85"/>
              </w:rPr>
              <w:t>Fees Earned or</w:t>
            </w:r>
          </w:p>
        </w:tc>
        <w:tc>
          <w:tcPr>
            <w:tcW w:w="102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Non-Equity Incentive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Compensation</w:t>
            </w:r>
          </w:p>
        </w:tc>
        <w:tc>
          <w:tcPr>
            <w:tcW w:w="18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Arial" w:cs="Arial" w:eastAsia="Arial" w:hAnsi="Arial"/>
                <w:sz w:val="16"/>
                <w:szCs w:val="16"/>
                <w:color w:val="auto"/>
                <w:w w:val="99"/>
              </w:rPr>
              <w:t>All Other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6"/>
                <w:szCs w:val="16"/>
                <w:color w:val="auto"/>
              </w:rPr>
              <w:t>Name</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Year</w:t>
            </w:r>
          </w:p>
        </w:tc>
        <w:tc>
          <w:tcPr>
            <w:tcW w:w="102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w w:val="96"/>
              </w:rPr>
              <w:t>Paid in Cash</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4"/>
              </w:rPr>
              <w:t>Stock Awards</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3"/>
              </w:rPr>
              <w:t>Option Awards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Plan Compensation</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Earnings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color w:val="auto"/>
                <w:w w:val="91"/>
              </w:rPr>
              <w:t>Compensation</w:t>
            </w: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Michael Doar</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Malcolm Moore</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David Rayburn</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Michael Smiley</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Harold Stratton II</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David Zimmer</w:t>
            </w:r>
          </w:p>
        </w:tc>
        <w:tc>
          <w:tcPr>
            <w:tcW w:w="8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0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6494145</wp:posOffset>
            </wp:positionH>
            <wp:positionV relativeFrom="paragraph">
              <wp:posOffset>-1468755</wp:posOffset>
            </wp:positionV>
            <wp:extent cx="780415" cy="658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0415" cy="658495"/>
                    </a:xfrm>
                    <a:prstGeom prst="rect">
                      <a:avLst/>
                    </a:prstGeom>
                    <a:noFill/>
                  </pic:spPr>
                </pic:pic>
              </a:graphicData>
            </a:graphic>
          </wp:anchor>
        </w:drawing>
      </w:r>
    </w:p>
    <w:p>
      <w:pPr>
        <w:spacing w:after="0" w:line="184" w:lineRule="exact"/>
        <w:rPr>
          <w:sz w:val="20"/>
          <w:szCs w:val="20"/>
          <w:color w:val="auto"/>
        </w:rPr>
      </w:pPr>
    </w:p>
    <w:p>
      <w:pPr>
        <w:ind w:left="584" w:hanging="584"/>
        <w:spacing w:after="0"/>
        <w:tabs>
          <w:tab w:leader="none" w:pos="5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Value of Stock Awards is computed in accordance with Financial Accounting Standards Board ASC Topic 718.</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Director Compensation Plan</w:t>
      </w:r>
    </w:p>
    <w:p>
      <w:pPr>
        <w:spacing w:after="0" w:line="228"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91" w:lineRule="exact"/>
        <w:rPr>
          <w:sz w:val="20"/>
          <w:szCs w:val="20"/>
          <w:color w:val="auto"/>
        </w:rPr>
      </w:pPr>
    </w:p>
    <w:p>
      <w:pPr>
        <w:ind w:left="4" w:right="460"/>
        <w:spacing w:after="0" w:line="264" w:lineRule="auto"/>
        <w:rPr>
          <w:sz w:val="20"/>
          <w:szCs w:val="20"/>
          <w:color w:val="auto"/>
        </w:rPr>
      </w:pPr>
      <w:r>
        <w:rPr>
          <w:rFonts w:ascii="Arial" w:cs="Arial" w:eastAsia="Arial" w:hAnsi="Arial"/>
          <w:sz w:val="16"/>
          <w:szCs w:val="16"/>
          <w:color w:val="auto"/>
        </w:rPr>
        <w:t>For FY2012, the Board determined that the annual retainer of $90,000 would consist of 50% cash and 50% restricted stock. For FY2013, the Board reviewed its Director Compensation and, consistent with the Corporation’s compensation objectives, increased the annual retainer to $100,000, effective as of the date of the annual shareholders meeting in October. They determined that the mix for FY 2013 would be 50% cash and 50% restricted stock.</w:t>
      </w:r>
    </w:p>
    <w:p>
      <w:pPr>
        <w:spacing w:after="0" w:line="186" w:lineRule="exact"/>
        <w:rPr>
          <w:sz w:val="20"/>
          <w:szCs w:val="20"/>
          <w:color w:val="auto"/>
        </w:rPr>
      </w:pPr>
    </w:p>
    <w:p>
      <w:pPr>
        <w:ind w:left="4" w:right="400"/>
        <w:spacing w:after="0" w:line="264" w:lineRule="auto"/>
        <w:rPr>
          <w:sz w:val="20"/>
          <w:szCs w:val="20"/>
          <w:color w:val="auto"/>
        </w:rPr>
      </w:pPr>
      <w:r>
        <w:rPr>
          <w:rFonts w:ascii="Arial" w:cs="Arial" w:eastAsia="Arial" w:hAnsi="Arial"/>
          <w:sz w:val="16"/>
          <w:szCs w:val="16"/>
          <w:color w:val="auto"/>
        </w:rPr>
        <w:t>In addition to the annual retainer, committee chairs are paid an annual fee of $5,000. The chair of the Audit Committee receives a $10,000 annual fee, due to the larger responsibility of the position. Effective as of the date of the annual shareholders meeting in October, the chair of the Compensation Committee will be paid an annual fee of $7,000, due to the larger responsibility of that position.</w:t>
      </w:r>
    </w:p>
    <w:p>
      <w:pPr>
        <w:spacing w:after="0" w:line="186" w:lineRule="exact"/>
        <w:rPr>
          <w:sz w:val="20"/>
          <w:szCs w:val="20"/>
          <w:color w:val="auto"/>
        </w:rPr>
      </w:pPr>
    </w:p>
    <w:p>
      <w:pPr>
        <w:ind w:left="4" w:right="100"/>
        <w:spacing w:after="0" w:line="264" w:lineRule="auto"/>
        <w:rPr>
          <w:sz w:val="20"/>
          <w:szCs w:val="20"/>
          <w:color w:val="auto"/>
        </w:rPr>
      </w:pPr>
      <w:r>
        <w:rPr>
          <w:rFonts w:ascii="Arial" w:cs="Arial" w:eastAsia="Arial" w:hAnsi="Arial"/>
          <w:sz w:val="16"/>
          <w:szCs w:val="16"/>
          <w:color w:val="auto"/>
        </w:rPr>
        <w:t>Director stock ownership guidelines are in place for the outside Directors of the Corporation. These guidelines will set a target ownership level of two times the value of the Director annual retainer fee, exclusive of committee chair fees. Directors will have a period of four years to attain their targeted ownership level. The Compensation Committee monitors compliance with this guideline, using its discretion to address non-attainment issues.</w:t>
      </w:r>
    </w:p>
    <w:p>
      <w:pPr>
        <w:spacing w:after="0" w:line="186" w:lineRule="exact"/>
        <w:rPr>
          <w:sz w:val="20"/>
          <w:szCs w:val="20"/>
          <w:color w:val="auto"/>
        </w:rPr>
      </w:pPr>
    </w:p>
    <w:p>
      <w:pPr>
        <w:jc w:val="both"/>
        <w:ind w:left="4" w:right="160"/>
        <w:spacing w:after="0" w:line="319" w:lineRule="auto"/>
        <w:rPr>
          <w:sz w:val="20"/>
          <w:szCs w:val="20"/>
          <w:color w:val="auto"/>
        </w:rPr>
      </w:pPr>
      <w:r>
        <w:rPr>
          <w:rFonts w:ascii="Arial" w:cs="Arial" w:eastAsia="Arial" w:hAnsi="Arial"/>
          <w:sz w:val="14"/>
          <w:szCs w:val="14"/>
          <w:color w:val="auto"/>
        </w:rPr>
        <w:t>Outside Directors who reach the age of 71 or who retire from full-time employment may be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330200</wp:posOffset>
            </wp:positionV>
            <wp:extent cx="726694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Corporation’s proxy statement and the Corporation’s annual report on Form 10-K.</w:t>
      </w:r>
    </w:p>
    <w:p>
      <w:pPr>
        <w:spacing w:after="0" w:line="186" w:lineRule="exact"/>
        <w:rPr>
          <w:sz w:val="20"/>
          <w:szCs w:val="20"/>
          <w:color w:val="auto"/>
        </w:rPr>
      </w:pPr>
    </w:p>
    <w:p>
      <w:pPr>
        <w:jc w:val="center"/>
        <w:ind w:right="4920"/>
        <w:spacing w:after="0"/>
        <w:rPr>
          <w:sz w:val="20"/>
          <w:szCs w:val="20"/>
          <w:color w:val="auto"/>
        </w:rPr>
      </w:pPr>
      <w:r>
        <w:rPr>
          <w:rFonts w:ascii="Arial" w:cs="Arial" w:eastAsia="Arial" w:hAnsi="Arial"/>
          <w:sz w:val="16"/>
          <w:szCs w:val="16"/>
          <w:color w:val="auto"/>
        </w:rPr>
        <w:t>Members of the Compensation Committee:</w:t>
      </w:r>
    </w:p>
    <w:p>
      <w:pPr>
        <w:spacing w:after="0" w:line="22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Malcolm F. Moore, Chair</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David B. Rayburn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David R.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643255</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688" w:right="4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Audit Committee Report</w:t>
      </w:r>
    </w:p>
    <w:p>
      <w:pPr>
        <w:spacing w:after="0" w:line="228"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6" w:lineRule="exact"/>
        <w:rPr>
          <w:sz w:val="20"/>
          <w:szCs w:val="20"/>
          <w:color w:val="auto"/>
        </w:rPr>
      </w:pPr>
    </w:p>
    <w:p>
      <w:pPr>
        <w:ind w:right="400"/>
        <w:spacing w:after="0" w:line="312" w:lineRule="auto"/>
        <w:rPr>
          <w:sz w:val="20"/>
          <w:szCs w:val="20"/>
          <w:color w:val="auto"/>
        </w:rPr>
      </w:pPr>
      <w:r>
        <w:rPr>
          <w:rFonts w:ascii="Arial" w:cs="Arial" w:eastAsia="Arial" w:hAnsi="Arial"/>
          <w:sz w:val="15"/>
          <w:szCs w:val="15"/>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2012.</w:t>
      </w:r>
    </w:p>
    <w:p>
      <w:pPr>
        <w:spacing w:after="0" w:line="152"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114, “The Auditor’s Communication With Those Charged With Governance” and SEC Regulation S-X, Rule 2-07, “Communication with Audit Committees.”</w:t>
      </w:r>
    </w:p>
    <w:p>
      <w:pPr>
        <w:spacing w:after="0" w:line="164"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18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On the basis of these reviews and discussions, the Committee recommended to the Board of Directors that the Board approve the inclusion of the Corporation's audited financial statements in the Company's annual report on Form 10-K for the fiscal year ended June 30, 2012, for filing with the Securities and Exchange Commission.</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Audit Committee</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David R. Zimmer, Chair</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Michael Doar</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Michael C. Smiley</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Harold M. Stratton II</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July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jc w:val="center"/>
        <w:ind w:right="-3"/>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following table summarizes certain information regarding the Corporation’s equity-based compensation plans as of the end of the most recently completed fiscal year:</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88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 of Securities to be Issued Upon Exercise</w:t>
            </w:r>
          </w:p>
        </w:tc>
        <w:tc>
          <w:tcPr>
            <w:tcW w:w="2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Price of Outstanding</w:t>
            </w:r>
          </w:p>
        </w:tc>
        <w:tc>
          <w:tcPr>
            <w:tcW w:w="2840" w:type="dxa"/>
            <w:vAlign w:val="bottom"/>
          </w:tcPr>
          <w:p>
            <w:pPr>
              <w:spacing w:after="0"/>
              <w:rPr>
                <w:sz w:val="20"/>
                <w:szCs w:val="20"/>
                <w:color w:val="auto"/>
              </w:rPr>
            </w:pPr>
            <w:r>
              <w:rPr>
                <w:rFonts w:ascii="Arial" w:cs="Arial" w:eastAsia="Arial" w:hAnsi="Arial"/>
                <w:sz w:val="16"/>
                <w:szCs w:val="16"/>
                <w:color w:val="auto"/>
              </w:rPr>
              <w:t># of Securities Remaining Available for</w:t>
            </w:r>
          </w:p>
        </w:tc>
      </w:tr>
      <w:tr>
        <w:trPr>
          <w:trHeight w:val="192"/>
        </w:trPr>
        <w:tc>
          <w:tcPr>
            <w:tcW w:w="288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Outstanding Options, Warrants and</w:t>
            </w:r>
          </w:p>
        </w:tc>
        <w:tc>
          <w:tcPr>
            <w:tcW w:w="28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Options, Warrants and Rights</w:t>
            </w:r>
          </w:p>
        </w:tc>
        <w:tc>
          <w:tcPr>
            <w:tcW w:w="2840" w:type="dxa"/>
            <w:vAlign w:val="bottom"/>
          </w:tcPr>
          <w:p>
            <w:pPr>
              <w:spacing w:after="0"/>
              <w:rPr>
                <w:sz w:val="20"/>
                <w:szCs w:val="20"/>
                <w:color w:val="auto"/>
              </w:rPr>
            </w:pPr>
            <w:r>
              <w:rPr>
                <w:rFonts w:ascii="Arial" w:cs="Arial" w:eastAsia="Arial" w:hAnsi="Arial"/>
                <w:sz w:val="16"/>
                <w:szCs w:val="16"/>
                <w:color w:val="auto"/>
              </w:rPr>
              <w:t>Future Issuance Under Equity</w:t>
            </w:r>
          </w:p>
        </w:tc>
      </w:tr>
      <w:tr>
        <w:trPr>
          <w:trHeight w:val="209"/>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Plan Category</w:t>
            </w: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Rights</w:t>
            </w:r>
          </w:p>
        </w:tc>
        <w:tc>
          <w:tcPr>
            <w:tcW w:w="28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Compensation Plans</w:t>
            </w:r>
          </w:p>
        </w:tc>
      </w:tr>
      <w:tr>
        <w:trPr>
          <w:trHeight w:val="180"/>
        </w:trPr>
        <w:tc>
          <w:tcPr>
            <w:tcW w:w="2880" w:type="dxa"/>
            <w:vAlign w:val="bottom"/>
            <w:tcBorders>
              <w:right w:val="single" w:sz="8" w:color="auto"/>
            </w:tcBorders>
          </w:tcPr>
          <w:p>
            <w:pPr>
              <w:spacing w:after="0" w:line="180" w:lineRule="exact"/>
              <w:rPr>
                <w:sz w:val="20"/>
                <w:szCs w:val="20"/>
                <w:color w:val="auto"/>
              </w:rPr>
            </w:pPr>
            <w:r>
              <w:rPr>
                <w:rFonts w:ascii="Arial" w:cs="Arial" w:eastAsia="Arial" w:hAnsi="Arial"/>
                <w:sz w:val="16"/>
                <w:szCs w:val="16"/>
                <w:color w:val="auto"/>
                <w:w w:val="97"/>
              </w:rPr>
              <w:t>Equity Compensation Plans Approved by</w:t>
            </w:r>
          </w:p>
        </w:tc>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r>
      <w:tr>
        <w:trPr>
          <w:trHeight w:val="209"/>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Shareholders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105,457 (1)</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$7.30</w:t>
            </w:r>
          </w:p>
        </w:tc>
        <w:tc>
          <w:tcPr>
            <w:tcW w:w="2840" w:type="dxa"/>
            <w:vAlign w:val="bottom"/>
            <w:tcBorders>
              <w:bottom w:val="single" w:sz="8" w:color="auto"/>
            </w:tcBorders>
          </w:tcPr>
          <w:p>
            <w:pPr>
              <w:jc w:val="right"/>
              <w:ind w:right="1100"/>
              <w:spacing w:after="0"/>
              <w:rPr>
                <w:sz w:val="20"/>
                <w:szCs w:val="20"/>
                <w:color w:val="auto"/>
              </w:rPr>
            </w:pPr>
            <w:r>
              <w:rPr>
                <w:rFonts w:ascii="Arial" w:cs="Arial" w:eastAsia="Arial" w:hAnsi="Arial"/>
                <w:sz w:val="16"/>
                <w:szCs w:val="16"/>
                <w:color w:val="auto"/>
              </w:rPr>
              <w:t>600,831</w:t>
            </w:r>
          </w:p>
        </w:tc>
      </w:tr>
      <w:tr>
        <w:trPr>
          <w:trHeight w:val="180"/>
        </w:trPr>
        <w:tc>
          <w:tcPr>
            <w:tcW w:w="2880" w:type="dxa"/>
            <w:vAlign w:val="bottom"/>
            <w:tcBorders>
              <w:right w:val="single" w:sz="8" w:color="auto"/>
            </w:tcBorders>
          </w:tcPr>
          <w:p>
            <w:pPr>
              <w:spacing w:after="0" w:line="180" w:lineRule="exact"/>
              <w:rPr>
                <w:sz w:val="20"/>
                <w:szCs w:val="20"/>
                <w:color w:val="auto"/>
              </w:rPr>
            </w:pPr>
            <w:r>
              <w:rPr>
                <w:rFonts w:ascii="Arial" w:cs="Arial" w:eastAsia="Arial" w:hAnsi="Arial"/>
                <w:sz w:val="16"/>
                <w:szCs w:val="16"/>
                <w:color w:val="auto"/>
                <w:w w:val="95"/>
              </w:rPr>
              <w:t>Equity Compensation Plans Not Approved</w:t>
            </w:r>
          </w:p>
        </w:tc>
        <w:tc>
          <w:tcPr>
            <w:tcW w:w="2860" w:type="dxa"/>
            <w:vAlign w:val="bottom"/>
            <w:tcBorders>
              <w:right w:val="single" w:sz="8" w:color="auto"/>
            </w:tcBorders>
          </w:tcPr>
          <w:p>
            <w:pPr>
              <w:spacing w:after="0"/>
              <w:rPr>
                <w:sz w:val="15"/>
                <w:szCs w:val="15"/>
                <w:color w:val="auto"/>
              </w:rPr>
            </w:pPr>
          </w:p>
        </w:tc>
        <w:tc>
          <w:tcPr>
            <w:tcW w:w="286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r>
      <w:tr>
        <w:trPr>
          <w:trHeight w:val="209"/>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By Shareholders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w:t>
            </w:r>
          </w:p>
        </w:tc>
        <w:tc>
          <w:tcPr>
            <w:tcW w:w="2840" w:type="dxa"/>
            <w:vAlign w:val="bottom"/>
            <w:tcBorders>
              <w:bottom w:val="single" w:sz="8" w:color="auto"/>
            </w:tcBorders>
          </w:tcPr>
          <w:p>
            <w:pPr>
              <w:jc w:val="right"/>
              <w:ind w:right="1320"/>
              <w:spacing w:after="0"/>
              <w:rPr>
                <w:sz w:val="20"/>
                <w:szCs w:val="20"/>
                <w:color w:val="auto"/>
              </w:rPr>
            </w:pPr>
            <w:r>
              <w:rPr>
                <w:rFonts w:ascii="Arial" w:cs="Arial" w:eastAsia="Arial" w:hAnsi="Arial"/>
                <w:sz w:val="16"/>
                <w:szCs w:val="16"/>
                <w:color w:val="auto"/>
              </w:rPr>
              <w:t>0</w:t>
            </w:r>
          </w:p>
        </w:tc>
      </w:tr>
      <w:tr>
        <w:trPr>
          <w:trHeight w:val="196"/>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105,457 (1)</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$7.30</w:t>
            </w:r>
          </w:p>
        </w:tc>
        <w:tc>
          <w:tcPr>
            <w:tcW w:w="2840" w:type="dxa"/>
            <w:vAlign w:val="bottom"/>
            <w:tcBorders>
              <w:bottom w:val="single" w:sz="8" w:color="auto"/>
              <w:right w:val="single" w:sz="8" w:color="auto"/>
            </w:tcBorders>
          </w:tcPr>
          <w:p>
            <w:pPr>
              <w:jc w:val="right"/>
              <w:ind w:right="1100"/>
              <w:spacing w:after="0"/>
              <w:rPr>
                <w:sz w:val="20"/>
                <w:szCs w:val="20"/>
                <w:color w:val="auto"/>
              </w:rPr>
            </w:pPr>
            <w:r>
              <w:rPr>
                <w:rFonts w:ascii="Arial" w:cs="Arial" w:eastAsia="Arial" w:hAnsi="Arial"/>
                <w:sz w:val="16"/>
                <w:szCs w:val="16"/>
                <w:color w:val="auto"/>
              </w:rPr>
              <w:t>600,831</w:t>
            </w:r>
          </w:p>
        </w:tc>
      </w:tr>
    </w:tbl>
    <w:p>
      <w:pPr>
        <w:spacing w:after="0" w:line="204" w:lineRule="exact"/>
        <w:rPr>
          <w:sz w:val="20"/>
          <w:szCs w:val="20"/>
          <w:color w:val="auto"/>
        </w:rPr>
      </w:pPr>
    </w:p>
    <w:p>
      <w:pPr>
        <w:ind w:left="284" w:right="60" w:hanging="284"/>
        <w:spacing w:after="0" w:line="274" w:lineRule="auto"/>
        <w:tabs>
          <w:tab w:leader="none" w:pos="284"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44,000 non-qualified stock options awarded under the Twin Disc, Incorporated 1998 Incentive Compensation Plan and the 1998 Stock Option Plan for Non-Employee Directors, and 21,600 non-qualified stock options awarded under the Twin Disc, Incorporated 2004 Stock Incentive Plan for Non-Employee Directors. No further awards may be made under either of the 1998 plans referenced above. Also includes 87,055 shares of performance stock that may be issued as of June 30, 2013 under the Twin Disc, Incorporated 2004 Stock Incentive Plan (as amended), assuming the maximum performance goals are achieved. As of June 30, 2012, the Corporation believes that it is likely that the maximum performance goals will be achieved. Also includes 18,402 shares of performance stock that may be issued as of June 30, 2014 under the Twin Disc, Incorporated 2010 Stock Incentive Plan, assuming the target performance level will be achieved. Because performance stock awards do not have an exercise price, the weighted-average exercise price does not take performance stock awards into account.</w:t>
      </w:r>
    </w:p>
    <w:p>
      <w:pPr>
        <w:spacing w:after="0" w:line="17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28" w:lineRule="exact"/>
        <w:rPr>
          <w:sz w:val="20"/>
          <w:szCs w:val="20"/>
          <w:color w:val="auto"/>
        </w:rPr>
      </w:pPr>
    </w:p>
    <w:p>
      <w:pPr>
        <w:ind w:left="4" w:right="40"/>
        <w:spacing w:after="0" w:line="259" w:lineRule="auto"/>
        <w:rPr>
          <w:sz w:val="20"/>
          <w:szCs w:val="20"/>
          <w:color w:val="auto"/>
        </w:rPr>
      </w:pPr>
      <w:r>
        <w:rPr>
          <w:rFonts w:ascii="Arial" w:cs="Arial" w:eastAsia="Arial" w:hAnsi="Arial"/>
          <w:sz w:val="16"/>
          <w:szCs w:val="16"/>
          <w:color w:val="auto"/>
        </w:rPr>
        <w:t>Section 16 of the Securities Exchange Act of 1934 requires the Corporation’s Directors, executive officers and 10% shareholders to file reports of ownership and changes in ownership of Twin Disc stock. Based solely on a review of the copies of such forms furnished to the Corporation and representations from executive officers and Directors, the Corporation believes that during the period from July 1, 2011 to June 30, 2012, all Section 16(a) filing requirements applicable to its executive officers, Directors and greater than ten (10%) beneficial owners were properly filed with the Securities and Exchange Commission.</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GENERAL</w:t>
      </w:r>
    </w:p>
    <w:p>
      <w:pPr>
        <w:spacing w:after="0" w:line="228" w:lineRule="exact"/>
        <w:rPr>
          <w:sz w:val="20"/>
          <w:szCs w:val="20"/>
          <w:color w:val="auto"/>
        </w:rPr>
      </w:pPr>
    </w:p>
    <w:p>
      <w:pPr>
        <w:ind w:left="4" w:right="200"/>
        <w:spacing w:after="0" w:line="277" w:lineRule="auto"/>
        <w:rPr>
          <w:sz w:val="20"/>
          <w:szCs w:val="20"/>
          <w:color w:val="auto"/>
        </w:rPr>
      </w:pPr>
      <w:r>
        <w:rPr>
          <w:rFonts w:ascii="Arial" w:cs="Arial" w:eastAsia="Arial" w:hAnsi="Arial"/>
          <w:sz w:val="16"/>
          <w:szCs w:val="16"/>
          <w:color w:val="auto"/>
        </w:rPr>
        <w:t>The Corporation will bear the cost of the solicitation of proxies. The firm of Georgeson Inc., New York, NY has been retained to assist in solicitation of proxies for the Annual Meeting at a fee not to exceed $8,500 plus expenses.</w:t>
      </w:r>
    </w:p>
    <w:p>
      <w:pPr>
        <w:spacing w:after="0" w:line="176" w:lineRule="exact"/>
        <w:rPr>
          <w:sz w:val="20"/>
          <w:szCs w:val="20"/>
          <w:color w:val="auto"/>
        </w:rPr>
      </w:pPr>
    </w:p>
    <w:p>
      <w:pPr>
        <w:ind w:left="4" w:right="100"/>
        <w:spacing w:after="0" w:line="312" w:lineRule="auto"/>
        <w:rPr>
          <w:sz w:val="20"/>
          <w:szCs w:val="20"/>
          <w:color w:val="auto"/>
        </w:rPr>
      </w:pPr>
      <w:r>
        <w:rPr>
          <w:rFonts w:ascii="Arial" w:cs="Arial" w:eastAsia="Arial" w:hAnsi="Arial"/>
          <w:sz w:val="15"/>
          <w:szCs w:val="15"/>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152"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meeting. Alternatively, shareholders may transmit voting instructions via the Internet by accessing </w:t>
      </w:r>
      <w:r>
        <w:rPr>
          <w:rFonts w:ascii="Arial" w:cs="Arial" w:eastAsia="Arial" w:hAnsi="Arial"/>
          <w:sz w:val="16"/>
          <w:szCs w:val="16"/>
          <w:u w:val="single" w:color="auto"/>
          <w:color w:val="auto"/>
        </w:rPr>
        <w:t>www.proxyvoting.com/twin</w:t>
      </w:r>
      <w:r>
        <w:rPr>
          <w:rFonts w:ascii="Arial" w:cs="Arial" w:eastAsia="Arial" w:hAnsi="Arial"/>
          <w:sz w:val="16"/>
          <w:szCs w:val="16"/>
          <w:color w:val="auto"/>
        </w:rPr>
        <w:t xml:space="preserve"> or by telephone at 1-866-540-5760.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71" w:right="219" w:bottom="1440" w:gutter="0" w:footer="0" w:header="0"/>
        </w:sectPr>
      </w:pPr>
    </w:p>
    <w:bookmarkStart w:id="40" w:name="page41"/>
    <w:bookmarkEnd w:id="40"/>
    <w:p>
      <w:pPr>
        <w:spacing w:after="0" w:line="5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APPENDIX A</w:t>
      </w:r>
    </w:p>
    <w:p>
      <w:pPr>
        <w:spacing w:after="0" w:line="224" w:lineRule="exact"/>
        <w:rPr>
          <w:sz w:val="20"/>
          <w:szCs w:val="20"/>
          <w:color w:val="auto"/>
        </w:rPr>
      </w:pPr>
    </w:p>
    <w:p>
      <w:pPr>
        <w:jc w:val="right"/>
        <w:ind w:right="2019"/>
        <w:spacing w:after="0"/>
        <w:rPr>
          <w:sz w:val="20"/>
          <w:szCs w:val="20"/>
          <w:color w:val="auto"/>
        </w:rPr>
      </w:pPr>
      <w:r>
        <w:rPr>
          <w:rFonts w:ascii="Arial" w:cs="Arial" w:eastAsia="Arial" w:hAnsi="Arial"/>
          <w:sz w:val="16"/>
          <w:szCs w:val="16"/>
          <w:color w:val="auto"/>
        </w:rPr>
        <w:t>COMPENSATION SURVEYS: PARTICIPATING COMPANIES UTILIZED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3M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7-Eleven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A&amp;P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 H. Belo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A.O. Smith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 Cross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AAF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AAR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AB Mauri Food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Abbott Laboratories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Accenture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ACH Food Companies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Acme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Acuity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ACUMED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Adobe Systems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ADTRAN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Advance Auto Parts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Advanced Micro Devices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Aeropostale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Affinia Group Intermediate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AGCO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Agilent Technologies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Agrium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Air Liquide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Air Products &amp; Chemicals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Aker Solutions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AKSteel Holding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Akzo Nobel,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Albemarle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Alcatel Lucent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Alcoa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Alcon Laboratories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Alexander &amp; Baldwin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Alfa Laval,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Allegheny Technologies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Allergan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Alliant Techsystems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Alstom Power US - Alstom Transport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Amazon.com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Amcor PET Packaging,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American Crystal Sugar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American Dehydrated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American Greetings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Ameron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Ames True Temper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AMETEK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Amgen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Amkor 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Amphenol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Amway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Analog Devices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Andersen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ANH Refractories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Anixter Intl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AOC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AOL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Apple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Appleton Papers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Applied Materials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Applied Signal Technology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AptarGroup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ARAMARK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Archer Daniels Midland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Arctic Cat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Armstrong World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Arrow Electronics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ArvinMeritor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Asahi Kasei Plastics N.A.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ASCO - Valve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Ash Grove Cement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AstraZeneca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AT&amp;T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Autoliv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Automatic Data Processing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Avanade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Avery Dennison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w:t>
      </w:r>
    </w:p>
    <w:p>
      <w:pPr>
        <w:sectPr>
          <w:pgSz w:w="11900" w:h="16897" w:orient="portrait"/>
          <w:cols w:equalWidth="0" w:num="1">
            <w:col w:w="10219"/>
          </w:cols>
          <w:pgMar w:left="240" w:top="259" w:right="1440" w:bottom="0" w:gutter="0" w:footer="0" w:header="0"/>
        </w:sectPr>
      </w:pPr>
    </w:p>
    <w:bookmarkStart w:id="41" w:name="page42"/>
    <w:bookmarkEnd w:id="41"/>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Avon Products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Axsys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AZZ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 Braun Medical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 Aerospace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Bacardi U.S.A., Inc.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BAE Systems, Inc. Land &amp; Armaments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Baldor Electric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Ball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Barilla America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Barnes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Barrick Gold of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Basler Electric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Baxter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Bayer CropScience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Beckman Coulter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Becton Dickinson &amp;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Belo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Bemis Mfg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Benchmark Electronics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Benjamin Moore &amp;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Berry Plastics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Berwick Offray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Best Buy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Big Lots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Bimbo Bakeries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Biogen Idec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Biomet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Bio-Rad Laboratories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BJ's Wholesale Club</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Blockbuster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Blyth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BMW Manufacturing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Boehringer Ingelheim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Boeing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Boise Cascade,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Boise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Bombardier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Borg Warner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Bosch Rexroth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Boston Scientific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Bovis Lend Lease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Bradley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Brady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Briggs &amp; Stratton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Bristol-Myers Squibb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Broadcom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Broadridge Financial Solutns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Brocade Communications Sys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Brown Shoe 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Brown-Forman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Brunswick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BSH Home Appliances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Bucyrus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Burlington Northern Santa Fe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Bush Brothers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 Robinson Worldwide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C.R. Bard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Cabot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Cadbury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Calgon Carbon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Callaway Golf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Cameron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Campbell Soup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Cardinal Health,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CareFusion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Cargill,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Carhartt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CaridianBCT,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Carlisle Cos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Carlson Companies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Carmeuse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Carnival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Carpenter Technology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Carter's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Cascade Engineering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Catalent Pharma Solutions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Caterpillar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Celgard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Celgene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Cemex, Inc.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Central Garden &amp; Pet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CenturyLink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Cenveo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Cephalon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Cerner Corp</w:t>
      </w:r>
    </w:p>
    <w:p>
      <w:pPr>
        <w:sectPr>
          <w:pgSz w:w="11900" w:h="16861" w:orient="portrait"/>
          <w:cols w:equalWidth="0" w:num="1">
            <w:col w:w="10219"/>
          </w:cols>
          <w:pgMar w:left="240" w:top="127" w:right="1440" w:bottom="0" w:gutter="0" w:footer="0" w:header="0"/>
        </w:sectPr>
      </w:pPr>
    </w:p>
    <w:bookmarkStart w:id="42" w:name="page43"/>
    <w:bookmarkEnd w:id="42"/>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CFIndustries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CH2M Hill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Chemtreat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Chemtura Corporation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Chiquita Brands International,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Choice Hotels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Church &amp; Dwight 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Cimarex Energy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Cinetic Automation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Cinetic Sorting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Cintas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Cisco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Citrix Systems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Clearwater Paper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Cliffs Natural Resources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Clorox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COACH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Coats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Coca Cola Co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Coca-Cola Bottling Co. Consolidated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Colgate-Palmolive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Columbia Sportswear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Columbian Chemicals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Commercial Metals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Commonwealth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CommScope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Community Coffee Company, LLC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ConAgra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Constellation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Continental Automotive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ConvaTec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Convergys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Cook Communications Ministries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Cooper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Cooper Tire &amp; Rubber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Cooper-Standard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CooperVision,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Corn Products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Corning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Covance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Covidien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Cox Enterprises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Cox Target Media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Crane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Cree,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Crocs,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Crown Castle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CSR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CSX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CTS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Cubic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Cummins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Curtiss-Wright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CVS Caremark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Cytec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Daiichi Sankyo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Dal-Tile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Dana Holding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Danaher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Danaher Motion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Dannon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Darden Restaurants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Dassault Falcon Jet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Day &amp; Zimmermann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Dean Foods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Deckers Outdoor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Deere &amp;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Del Monte Foods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Delta Air Lines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Deluxe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Denny's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Denso International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DENTSPLY Internatl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Dex One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Diageo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Diebold,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Dionex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Disney Consumer Products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Diversey,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Dole Food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Domtar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Donaldson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Dover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Dow Chemical</w:t>
      </w:r>
    </w:p>
    <w:p>
      <w:pPr>
        <w:sectPr>
          <w:pgSz w:w="11900" w:h="16861" w:orient="portrait"/>
          <w:cols w:equalWidth="0" w:num="1">
            <w:col w:w="10219"/>
          </w:cols>
          <w:pgMar w:left="240" w:top="127" w:right="1440" w:bottom="0" w:gutter="0" w:footer="0" w:header="0"/>
        </w:sectPr>
      </w:pPr>
    </w:p>
    <w:bookmarkStart w:id="43" w:name="page44"/>
    <w:bookmarkEnd w:id="43"/>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Dow Corning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Pepper Snapple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Dresser-Rand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DuPont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 I. du Pont de Nemours and Company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E.W. Scripps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Eastman Chemical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Eastman Kodak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Eaton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Echostar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Ecolab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Edwards Lifesciences,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Eisai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Eli Lilly &amp;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Elizabeth Arden,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Elkay Manufacturing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Elster AMCO Water,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Elster American Meter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Elster Electricity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EMC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EMCOR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Emerson Climate Technologies,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Emerson Electric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EMI Music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Energizer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Enpro Industries (Fairbanks Morse Engine)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Equifax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Equity Office Properties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ESCO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ESCO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Essilor of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Estee Lauder Companies,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Esterline Technologies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Etnyre International Ltd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Evergreen Packaging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Evraz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Exact Software North America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Exide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Express Scripts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Exterran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Fair Isaac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Fairchild Controls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Fairfield Manufacturing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FANUC Robotics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Farmland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Federal-Mogul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FedEx Office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FEI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Fender Musical Instruments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Fenwal,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Ferrero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Ferro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Fiberweb</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Fidelity National Information Services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First Solar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Fiserv</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Fiskars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Fleetwood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Flexcon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Flexible Steel Lacing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Flowers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Flowserve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Fluor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FMC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Forest Laboratories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Fortune Brands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Fossil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Foster Poultry Farms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Franklin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Freeport-McMoRan Copper &amp; Gold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Fresenius Medical Care NA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Friendly Ice Cream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GAF Materials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Gannett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Gardner Denver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GATX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Gavilon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 Healthcare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GenCorp,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Atomics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Cable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Dynamics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Mills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General Motors</w:t>
      </w:r>
    </w:p>
    <w:p>
      <w:pPr>
        <w:sectPr>
          <w:pgSz w:w="11900" w:h="16861" w:orient="portrait"/>
          <w:cols w:equalWidth="0" w:num="1">
            <w:col w:w="10219"/>
          </w:cols>
          <w:pgMar w:left="240" w:top="127" w:right="1440" w:bottom="0" w:gutter="0" w:footer="0" w:header="0"/>
        </w:sectPr>
      </w:pPr>
    </w:p>
    <w:bookmarkStart w:id="44" w:name="page45"/>
    <w:bookmarkEnd w:id="44"/>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General Nutrition Inc -- Manufacturing (GNC)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Genzyme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Georg Fischer Signet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Georgia Gulf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Gerdau Ameristeel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Getty Images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Gibraltar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Gilbarco,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Gilead Sciences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Givaudan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GKN America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Glatfelter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GlaxoSmithKline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GOJO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Gold Eagle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Goodman Manufacturing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Goodrich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Goodyear Tire &amp; Rubber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Gorton's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Graco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Graham Packaging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Grande Cheese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Graphic Packaging Holding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Greene, Tweed &amp;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Greenheck Fan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Greif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Gruma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Grupo Ferrovial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GTECH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GXS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 J. Heinz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H.B. Fuller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Hanesbrands,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Hannaford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Harland Clarke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Harley-Davidson,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Harman International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Harsco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Harvey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Hasbro,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Hayward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HBO*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Hendrickson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Henkel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Henkel of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Herman Miller,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Hertz</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Hewlett-Packard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Hexion Specialty Chemicals,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High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High Liner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Hill Phoenix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Hilti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Hilton Worldwide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Hitachi America, Ltd.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Hitachi Data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HNI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HNTB</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Hoffmann-La Roche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Holden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Hologic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Home Depot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Honeywell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Hormel Foods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Hospira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Hostess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Houghton Mifflin Harcourt Publishing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Hubbell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Hu-Friedy Manufacturing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Hunt Consolidated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Hunter Douglas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Hunter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Huntsman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Husky Injection Molding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Hutchinson Technology Incorporated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Hyatt Hotels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Hyundai Motor Manufacturing of Alabama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IBM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IDEX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IDEXX Laboratories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IKON Office Solutions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Illinois Tool Works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IMAX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IMS Health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Infragistics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Ingersoll-Rand Company Limited</w:t>
      </w:r>
    </w:p>
    <w:p>
      <w:pPr>
        <w:sectPr>
          <w:pgSz w:w="11900" w:h="16861" w:orient="portrait"/>
          <w:cols w:equalWidth="0" w:num="1">
            <w:col w:w="10219"/>
          </w:cols>
          <w:pgMar w:left="240" w:top="127" w:right="1440" w:bottom="0" w:gutter="0" w:footer="0" w:header="0"/>
        </w:sectPr>
      </w:pPr>
    </w:p>
    <w:bookmarkStart w:id="45" w:name="page46"/>
    <w:bookmarkEnd w:id="45"/>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Ingram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Ingram Micro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In-Sink-Erator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Insurance Auto Auctions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Intel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Interbake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Intercontinental Hotels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InterMetro Industries Corp</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International Business Machines Corp</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International Flavors &amp; Fragrances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Game Technology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International Imaging Materials,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International Paper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Intertape Polymer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Intuit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Invacare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Invensys Controls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ION Geophysical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Iron Mountain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Irvine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Itron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ITT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 J Keller &amp; Associates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 R Simplot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 Crew</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J.M. Smucker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J.R. Simplot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Jabil Circuit,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Jack in the Box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Jacobs Engineering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James Hardie Building Products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Jarden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JM Family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Jockey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John Crane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John Wiley &amp; Sons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Johns Manville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Johnson &amp; Johnson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Johnson Controls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Jones Apparel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Jostens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Joy Global,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Juniper Networks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Kalsec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Kaman Industrial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KBR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Keihin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Kellogg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Kerry, Inc.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Kewaunee Scientific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Keystone Automotive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Keystone Foods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KIK Custom Products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Kimberly-Clark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Kinetic Concepts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King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Kingston Technology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Kinross Gold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KLA-Tencor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Klein Tools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Knowles Electronics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Koch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Kohler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Kohl's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Komatsu America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Kone, Inc. (USK)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Kraft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Kyocera America,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L.L. Bean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L-3 Communications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Lab Volt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Lafarge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Lake Region Medical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Lance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Land O'Lakes,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Lantech.com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LANXESS Corporation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Lear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Leggett &amp; Platt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Lennox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Leprino Foods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Level 3 Communications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Levi Strauss &amp;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Lexmark Intl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LG Electronics USA, Inc.</w:t>
      </w:r>
    </w:p>
    <w:p>
      <w:pPr>
        <w:sectPr>
          <w:pgSz w:w="11900" w:h="16861" w:orient="portrait"/>
          <w:cols w:equalWidth="0" w:num="1">
            <w:col w:w="10219"/>
          </w:cols>
          <w:pgMar w:left="240" w:top="127" w:right="1440" w:bottom="0" w:gutter="0" w:footer="0" w:header="0"/>
        </w:sectPr>
      </w:pPr>
    </w:p>
    <w:bookmarkStart w:id="46" w:name="page47"/>
    <w:bookmarkEnd w:id="46"/>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Life Technologies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Limited Brands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Lincoln Electric Hldgs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Lindt &amp; Sprungli (USA)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Link-Belt Construction Equipment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Littelfuse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Little Lady Foods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LKQ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Lockheed Martin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Lonza North America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Lorillard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Louisiana-Pacific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Lozier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LSG Sky Chefs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LSI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Lubrizol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Luck Stone Corporation - Charles Luck Stone Centers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Lutron Electronics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Luvata Franklin,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MAG Industrial Automation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Magellan Midstream Partners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Malco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Malt-O-Meal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Manitowoc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MANN+HUMMEL USA,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Markem-Imaje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Marriott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Mars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Masco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Master Halco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Mattel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Matthews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Maxim Integrated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McAfee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McClatchy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McCormick &amp; Company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McDermott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McDonald's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McGraw-Hill Companies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McKesson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MeadWestvaco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Medicines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Medline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Medlmmune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Medtronic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Merck &amp;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Merit Medical 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Merrill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MetalTek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Mettler-Toledo Intl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 SWACO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Michael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Michelin North America,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Microsoft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Milacron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Millennium Inorganic Chemicals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MillerCoors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Millipore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Mine Safety Appliances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Mission Foods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Mitsubishi Motor Manufacturing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Mizuno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Mohawk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Molex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Molson Coors Brewing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Molycorp Minerals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Momentive Performance Materials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Monsanto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Moog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Mosaic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Motorola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MTD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MTS Systems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Mueller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Murphy Oil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MWH Global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Mylan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NACCO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Nalco Holding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National Tobacco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Nature's Sunshine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Nautilus,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Navistar International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NBTY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NCH Corporation</w:t>
      </w:r>
    </w:p>
    <w:p>
      <w:pPr>
        <w:sectPr>
          <w:pgSz w:w="11900" w:h="16861" w:orient="portrait"/>
          <w:cols w:equalWidth="0" w:num="1">
            <w:col w:w="10219"/>
          </w:cols>
          <w:pgMar w:left="240" w:top="127" w:right="1440" w:bottom="0" w:gutter="0" w:footer="0" w:header="0"/>
        </w:sectPr>
      </w:pPr>
    </w:p>
    <w:bookmarkStart w:id="47" w:name="page48"/>
    <w:bookmarkEnd w:id="47"/>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NCR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Nestlé USA,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NetJets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 York Times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Newell Rubbermaid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Newmont Mining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NewPage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NIKE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Nissan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Nissin Foods (USA) 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Nokia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Noranda Aluminum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Nordson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Norfolk Southern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Novartis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Novell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Novo Nordisk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Nucor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Nutricia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NVIDIA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Nycomed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Nypro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Occidental Petroleum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Ocean Spray Cranberries,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Oerlikon Balzers Coating USA,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Office Depot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Ohly Americas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Oil States Industries, Inc.- Arlington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Oil-Dri Corporation of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Omnova Solutions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ON Semiconductor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Orange Business Services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Orbital Science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Oshkosh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OSI Industries,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Owens Corning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Owens-Illinois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Oxford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PACCAR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Packaging Corporation of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Pactiv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Pall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Panduit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Parker Hannifin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Parsons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Patterson Companies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Pearson Education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Peet's Coffee &amp; Tea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Pentair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Pepsi Bottling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PepsiCo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PerkinElmer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Pervasive Software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PetSmart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Pfizer Inc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Pharmaceutical Product Development,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Pharmavite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Philips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Phillips-Van Heusen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PHOENIX Process Equipment Company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Pilgrim's Pride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Pinnacle Foods Finance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Pitney Bowes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Pittsburgh Corning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Plexus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PM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Polaris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Polymer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Polymer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PolyOne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Potash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PPG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Praxair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Preformed Line Products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Pressure Chemical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Printpack,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Probuild Holdings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Psion Teklogix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Pulte Homes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Purdue Pharma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QSC Audio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Qualcomm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Quest Diagnostics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Quiksilver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Quintiles</w:t>
      </w:r>
    </w:p>
    <w:p>
      <w:pPr>
        <w:sectPr>
          <w:pgSz w:w="11900" w:h="16861" w:orient="portrait"/>
          <w:cols w:equalWidth="0" w:num="1">
            <w:col w:w="10219"/>
          </w:cols>
          <w:pgMar w:left="240" w:top="127" w:right="1440" w:bottom="0" w:gutter="0" w:footer="0" w:header="0"/>
        </w:sectPr>
      </w:pPr>
    </w:p>
    <w:bookmarkStart w:id="48" w:name="page49"/>
    <w:bookmarkEnd w:id="48"/>
    <w:p>
      <w:pPr>
        <w:spacing w:after="0" w:line="23" w:lineRule="exact"/>
        <w:rPr>
          <w:sz w:val="20"/>
          <w:szCs w:val="20"/>
          <w:color w:val="auto"/>
        </w:rPr>
      </w:pPr>
    </w:p>
    <w:p>
      <w:pPr>
        <w:ind w:left="4"/>
        <w:spacing w:after="0"/>
        <w:rPr>
          <w:sz w:val="20"/>
          <w:szCs w:val="20"/>
          <w:color w:val="auto"/>
        </w:rPr>
      </w:pPr>
      <w:r>
        <w:rPr>
          <w:rFonts w:ascii="Arial" w:cs="Arial" w:eastAsia="Arial" w:hAnsi="Arial"/>
          <w:sz w:val="14"/>
          <w:szCs w:val="14"/>
          <w:color w:val="auto"/>
        </w:rPr>
        <w:t>Qwest Communications International Inc</w:t>
      </w:r>
    </w:p>
    <w:p>
      <w:pPr>
        <w:spacing w:after="0" w:line="44" w:lineRule="exact"/>
        <w:rPr>
          <w:sz w:val="20"/>
          <w:szCs w:val="20"/>
          <w:color w:val="auto"/>
        </w:rPr>
      </w:pPr>
    </w:p>
    <w:p>
      <w:pPr>
        <w:ind w:left="4" w:right="8839" w:hanging="4"/>
        <w:spacing w:after="0" w:line="250" w:lineRule="auto"/>
        <w:tabs>
          <w:tab w:leader="none" w:pos="3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Donnelley Ralcorp Holdings Inc Raytheon Co</w:t>
      </w:r>
    </w:p>
    <w:p>
      <w:pPr>
        <w:spacing w:after="0" w:line="1" w:lineRule="exact"/>
        <w:rPr>
          <w:rFonts w:ascii="Arial" w:cs="Arial" w:eastAsia="Arial" w:hAnsi="Arial"/>
          <w:sz w:val="16"/>
          <w:szCs w:val="16"/>
          <w:color w:val="auto"/>
        </w:rPr>
      </w:pPr>
    </w:p>
    <w:p>
      <w:pPr>
        <w:ind w:left="4" w:right="8119"/>
        <w:spacing w:after="0" w:line="250" w:lineRule="auto"/>
        <w:rPr>
          <w:rFonts w:ascii="Arial" w:cs="Arial" w:eastAsia="Arial" w:hAnsi="Arial"/>
          <w:sz w:val="16"/>
          <w:szCs w:val="16"/>
          <w:color w:val="auto"/>
        </w:rPr>
      </w:pPr>
      <w:r>
        <w:rPr>
          <w:rFonts w:ascii="Arial" w:cs="Arial" w:eastAsia="Arial" w:hAnsi="Arial"/>
          <w:sz w:val="16"/>
          <w:szCs w:val="16"/>
          <w:color w:val="auto"/>
        </w:rPr>
        <w:t>REA Magnet Wire Company Inc Reckitt Benckiser, Inc.</w:t>
      </w:r>
    </w:p>
    <w:p>
      <w:pPr>
        <w:spacing w:after="0" w:line="1" w:lineRule="exact"/>
        <w:rPr>
          <w:rFonts w:ascii="Arial" w:cs="Arial" w:eastAsia="Arial" w:hAnsi="Arial"/>
          <w:sz w:val="16"/>
          <w:szCs w:val="16"/>
          <w:color w:val="auto"/>
        </w:rPr>
      </w:pPr>
    </w:p>
    <w:p>
      <w:pPr>
        <w:ind w:left="4" w:right="8979"/>
        <w:spacing w:after="0" w:line="250" w:lineRule="auto"/>
        <w:rPr>
          <w:rFonts w:ascii="Arial" w:cs="Arial" w:eastAsia="Arial" w:hAnsi="Arial"/>
          <w:sz w:val="16"/>
          <w:szCs w:val="16"/>
          <w:color w:val="auto"/>
        </w:rPr>
      </w:pPr>
      <w:r>
        <w:rPr>
          <w:rFonts w:ascii="Arial" w:cs="Arial" w:eastAsia="Arial" w:hAnsi="Arial"/>
          <w:sz w:val="16"/>
          <w:szCs w:val="16"/>
          <w:color w:val="auto"/>
        </w:rPr>
        <w:t>Red Wing Shoe Co Redcats USA Reddy Ice Regal-Beloit Reichhold, Inc.</w:t>
      </w:r>
    </w:p>
    <w:p>
      <w:pPr>
        <w:spacing w:after="0" w:line="2" w:lineRule="exact"/>
        <w:rPr>
          <w:rFonts w:ascii="Arial" w:cs="Arial" w:eastAsia="Arial" w:hAnsi="Arial"/>
          <w:sz w:val="16"/>
          <w:szCs w:val="16"/>
          <w:color w:val="auto"/>
        </w:rPr>
      </w:pPr>
    </w:p>
    <w:p>
      <w:pPr>
        <w:jc w:val="both"/>
        <w:ind w:left="4" w:right="8139"/>
        <w:spacing w:after="0" w:line="286" w:lineRule="auto"/>
        <w:rPr>
          <w:rFonts w:ascii="Arial" w:cs="Arial" w:eastAsia="Arial" w:hAnsi="Arial"/>
          <w:sz w:val="16"/>
          <w:szCs w:val="16"/>
          <w:color w:val="auto"/>
        </w:rPr>
      </w:pPr>
      <w:r>
        <w:rPr>
          <w:rFonts w:ascii="Arial" w:cs="Arial" w:eastAsia="Arial" w:hAnsi="Arial"/>
          <w:sz w:val="14"/>
          <w:szCs w:val="14"/>
          <w:color w:val="auto"/>
        </w:rPr>
        <w:t>Reliance Steel &amp; Aluminum Co Remington Arms Company, Inc. Renaissance Learning, Inc.</w:t>
      </w:r>
    </w:p>
    <w:p>
      <w:pPr>
        <w:spacing w:after="0" w:line="1" w:lineRule="exact"/>
        <w:rPr>
          <w:rFonts w:ascii="Arial" w:cs="Arial" w:eastAsia="Arial" w:hAnsi="Arial"/>
          <w:sz w:val="16"/>
          <w:szCs w:val="16"/>
          <w:color w:val="auto"/>
        </w:rPr>
      </w:pPr>
    </w:p>
    <w:p>
      <w:pPr>
        <w:ind w:left="4" w:right="9519"/>
        <w:spacing w:after="0" w:line="286" w:lineRule="auto"/>
        <w:rPr>
          <w:rFonts w:ascii="Arial" w:cs="Arial" w:eastAsia="Arial" w:hAnsi="Arial"/>
          <w:sz w:val="16"/>
          <w:szCs w:val="16"/>
          <w:color w:val="auto"/>
        </w:rPr>
      </w:pPr>
      <w:r>
        <w:rPr>
          <w:rFonts w:ascii="Arial" w:cs="Arial" w:eastAsia="Arial" w:hAnsi="Arial"/>
          <w:sz w:val="14"/>
          <w:szCs w:val="14"/>
          <w:color w:val="auto"/>
        </w:rPr>
        <w:t>Revlon Rexel, Inc.</w:t>
      </w:r>
    </w:p>
    <w:p>
      <w:pPr>
        <w:ind w:left="4" w:right="8619"/>
        <w:spacing w:after="0" w:line="250" w:lineRule="auto"/>
        <w:rPr>
          <w:rFonts w:ascii="Arial" w:cs="Arial" w:eastAsia="Arial" w:hAnsi="Arial"/>
          <w:sz w:val="16"/>
          <w:szCs w:val="16"/>
          <w:color w:val="auto"/>
        </w:rPr>
      </w:pPr>
      <w:r>
        <w:rPr>
          <w:rFonts w:ascii="Arial" w:cs="Arial" w:eastAsia="Arial" w:hAnsi="Arial"/>
          <w:sz w:val="16"/>
          <w:szCs w:val="16"/>
          <w:color w:val="auto"/>
        </w:rPr>
        <w:t>Reynolds American, Inc. RF Micro Devices RiceTec, Inc.</w:t>
      </w:r>
    </w:p>
    <w:p>
      <w:pPr>
        <w:spacing w:after="0" w:line="1" w:lineRule="exact"/>
        <w:rPr>
          <w:rFonts w:ascii="Arial" w:cs="Arial" w:eastAsia="Arial" w:hAnsi="Arial"/>
          <w:sz w:val="16"/>
          <w:szCs w:val="16"/>
          <w:color w:val="auto"/>
        </w:rPr>
      </w:pPr>
    </w:p>
    <w:p>
      <w:pPr>
        <w:ind w:left="4" w:right="8499"/>
        <w:spacing w:after="0" w:line="250" w:lineRule="auto"/>
        <w:rPr>
          <w:rFonts w:ascii="Arial" w:cs="Arial" w:eastAsia="Arial" w:hAnsi="Arial"/>
          <w:sz w:val="16"/>
          <w:szCs w:val="16"/>
          <w:color w:val="auto"/>
        </w:rPr>
      </w:pPr>
      <w:r>
        <w:rPr>
          <w:rFonts w:ascii="Arial" w:cs="Arial" w:eastAsia="Arial" w:hAnsi="Arial"/>
          <w:sz w:val="16"/>
          <w:szCs w:val="16"/>
          <w:color w:val="auto"/>
        </w:rPr>
        <w:t>Rich Products Corporation Richco</w:t>
      </w:r>
    </w:p>
    <w:p>
      <w:pPr>
        <w:spacing w:after="0" w:line="1" w:lineRule="exact"/>
        <w:rPr>
          <w:rFonts w:ascii="Arial" w:cs="Arial" w:eastAsia="Arial" w:hAnsi="Arial"/>
          <w:sz w:val="16"/>
          <w:szCs w:val="16"/>
          <w:color w:val="auto"/>
        </w:rPr>
      </w:pPr>
    </w:p>
    <w:p>
      <w:pPr>
        <w:ind w:left="4" w:right="8379"/>
        <w:spacing w:after="0" w:line="286" w:lineRule="auto"/>
        <w:rPr>
          <w:rFonts w:ascii="Arial" w:cs="Arial" w:eastAsia="Arial" w:hAnsi="Arial"/>
          <w:sz w:val="16"/>
          <w:szCs w:val="16"/>
          <w:color w:val="auto"/>
        </w:rPr>
      </w:pPr>
      <w:r>
        <w:rPr>
          <w:rFonts w:ascii="Arial" w:cs="Arial" w:eastAsia="Arial" w:hAnsi="Arial"/>
          <w:sz w:val="14"/>
          <w:szCs w:val="14"/>
          <w:color w:val="auto"/>
        </w:rPr>
        <w:t>Ricoh Americas Corporation Ricoh Electronics Inc</w:t>
      </w:r>
    </w:p>
    <w:p>
      <w:pPr>
        <w:ind w:left="4"/>
        <w:spacing w:after="0"/>
        <w:rPr>
          <w:rFonts w:ascii="Arial" w:cs="Arial" w:eastAsia="Arial" w:hAnsi="Arial"/>
          <w:sz w:val="16"/>
          <w:szCs w:val="16"/>
          <w:color w:val="auto"/>
        </w:rPr>
      </w:pPr>
      <w:r>
        <w:rPr>
          <w:rFonts w:ascii="Arial" w:cs="Arial" w:eastAsia="Arial" w:hAnsi="Arial"/>
          <w:sz w:val="16"/>
          <w:szCs w:val="16"/>
          <w:color w:val="auto"/>
        </w:rPr>
        <w:t>Rio Tinto</w:t>
      </w:r>
    </w:p>
    <w:p>
      <w:pPr>
        <w:spacing w:after="0" w:line="8" w:lineRule="exact"/>
        <w:rPr>
          <w:rFonts w:ascii="Arial" w:cs="Arial" w:eastAsia="Arial" w:hAnsi="Arial"/>
          <w:sz w:val="16"/>
          <w:szCs w:val="16"/>
          <w:color w:val="auto"/>
        </w:rPr>
      </w:pPr>
    </w:p>
    <w:p>
      <w:pPr>
        <w:ind w:left="4" w:right="8159"/>
        <w:spacing w:after="0" w:line="267" w:lineRule="auto"/>
        <w:rPr>
          <w:rFonts w:ascii="Arial" w:cs="Arial" w:eastAsia="Arial" w:hAnsi="Arial"/>
          <w:sz w:val="16"/>
          <w:szCs w:val="16"/>
          <w:color w:val="auto"/>
        </w:rPr>
      </w:pPr>
      <w:r>
        <w:rPr>
          <w:rFonts w:ascii="Arial" w:cs="Arial" w:eastAsia="Arial" w:hAnsi="Arial"/>
          <w:sz w:val="15"/>
          <w:szCs w:val="15"/>
          <w:color w:val="auto"/>
        </w:rPr>
        <w:t>Rite - Hite Holding Corporation Riviana Foods, Inc.</w:t>
      </w:r>
    </w:p>
    <w:p>
      <w:pPr>
        <w:ind w:left="4"/>
        <w:spacing w:after="0"/>
        <w:rPr>
          <w:rFonts w:ascii="Arial" w:cs="Arial" w:eastAsia="Arial" w:hAnsi="Arial"/>
          <w:sz w:val="16"/>
          <w:szCs w:val="16"/>
          <w:color w:val="auto"/>
        </w:rPr>
      </w:pPr>
      <w:r>
        <w:rPr>
          <w:rFonts w:ascii="Arial" w:cs="Arial" w:eastAsia="Arial" w:hAnsi="Arial"/>
          <w:sz w:val="16"/>
          <w:szCs w:val="16"/>
          <w:color w:val="auto"/>
        </w:rPr>
        <w:t>Robert Bosch LLC</w:t>
      </w:r>
    </w:p>
    <w:p>
      <w:pPr>
        <w:spacing w:after="0" w:line="8" w:lineRule="exact"/>
        <w:rPr>
          <w:rFonts w:ascii="Arial" w:cs="Arial" w:eastAsia="Arial" w:hAnsi="Arial"/>
          <w:sz w:val="16"/>
          <w:szCs w:val="16"/>
          <w:color w:val="auto"/>
        </w:rPr>
      </w:pPr>
    </w:p>
    <w:p>
      <w:pPr>
        <w:jc w:val="both"/>
        <w:ind w:left="4" w:right="8199"/>
        <w:spacing w:after="0" w:line="286" w:lineRule="auto"/>
        <w:rPr>
          <w:rFonts w:ascii="Arial" w:cs="Arial" w:eastAsia="Arial" w:hAnsi="Arial"/>
          <w:sz w:val="16"/>
          <w:szCs w:val="16"/>
          <w:color w:val="auto"/>
        </w:rPr>
      </w:pPr>
      <w:r>
        <w:rPr>
          <w:rFonts w:ascii="Arial" w:cs="Arial" w:eastAsia="Arial" w:hAnsi="Arial"/>
          <w:sz w:val="14"/>
          <w:szCs w:val="14"/>
          <w:color w:val="auto"/>
        </w:rPr>
        <w:t>Robert Bosch Tool Corporation Roche Diagnostics Corporation Rock-Tenn Co</w:t>
      </w:r>
    </w:p>
    <w:p>
      <w:pPr>
        <w:spacing w:after="0" w:line="1" w:lineRule="exact"/>
        <w:rPr>
          <w:rFonts w:ascii="Arial" w:cs="Arial" w:eastAsia="Arial" w:hAnsi="Arial"/>
          <w:sz w:val="16"/>
          <w:szCs w:val="16"/>
          <w:color w:val="auto"/>
        </w:rPr>
      </w:pPr>
    </w:p>
    <w:p>
      <w:pPr>
        <w:ind w:left="4" w:right="8479"/>
        <w:spacing w:after="0" w:line="250" w:lineRule="auto"/>
        <w:rPr>
          <w:rFonts w:ascii="Arial" w:cs="Arial" w:eastAsia="Arial" w:hAnsi="Arial"/>
          <w:sz w:val="16"/>
          <w:szCs w:val="16"/>
          <w:color w:val="auto"/>
        </w:rPr>
      </w:pPr>
      <w:r>
        <w:rPr>
          <w:rFonts w:ascii="Arial" w:cs="Arial" w:eastAsia="Arial" w:hAnsi="Arial"/>
          <w:sz w:val="16"/>
          <w:szCs w:val="16"/>
          <w:color w:val="auto"/>
        </w:rPr>
        <w:t>Rockwell Automation, Inc. Rockwell Collins, Inc. Rockwood Holdings Inc Roper Industries Inc</w:t>
      </w:r>
    </w:p>
    <w:p>
      <w:pPr>
        <w:spacing w:after="0" w:line="2" w:lineRule="exact"/>
        <w:rPr>
          <w:rFonts w:ascii="Arial" w:cs="Arial" w:eastAsia="Arial" w:hAnsi="Arial"/>
          <w:sz w:val="16"/>
          <w:szCs w:val="16"/>
          <w:color w:val="auto"/>
        </w:rPr>
      </w:pPr>
    </w:p>
    <w:p>
      <w:pPr>
        <w:ind w:left="4" w:right="8119"/>
        <w:spacing w:after="0" w:line="250" w:lineRule="auto"/>
        <w:rPr>
          <w:rFonts w:ascii="Arial" w:cs="Arial" w:eastAsia="Arial" w:hAnsi="Arial"/>
          <w:sz w:val="16"/>
          <w:szCs w:val="16"/>
          <w:color w:val="auto"/>
        </w:rPr>
      </w:pPr>
      <w:r>
        <w:rPr>
          <w:rFonts w:ascii="Arial" w:cs="Arial" w:eastAsia="Arial" w:hAnsi="Arial"/>
          <w:sz w:val="16"/>
          <w:szCs w:val="16"/>
          <w:color w:val="auto"/>
        </w:rPr>
        <w:t>RR Donnelley &amp; Sons Company Ryder System</w:t>
      </w:r>
    </w:p>
    <w:p>
      <w:pPr>
        <w:spacing w:after="0" w:line="1" w:lineRule="exact"/>
        <w:rPr>
          <w:rFonts w:ascii="Arial" w:cs="Arial" w:eastAsia="Arial" w:hAnsi="Arial"/>
          <w:sz w:val="16"/>
          <w:szCs w:val="16"/>
          <w:color w:val="auto"/>
        </w:rPr>
      </w:pPr>
    </w:p>
    <w:p>
      <w:pPr>
        <w:ind w:left="4" w:right="8699"/>
        <w:spacing w:after="0" w:line="286" w:lineRule="auto"/>
        <w:rPr>
          <w:rFonts w:ascii="Arial" w:cs="Arial" w:eastAsia="Arial" w:hAnsi="Arial"/>
          <w:sz w:val="16"/>
          <w:szCs w:val="16"/>
          <w:color w:val="auto"/>
        </w:rPr>
      </w:pPr>
      <w:r>
        <w:rPr>
          <w:rFonts w:ascii="Arial" w:cs="Arial" w:eastAsia="Arial" w:hAnsi="Arial"/>
          <w:sz w:val="14"/>
          <w:szCs w:val="14"/>
          <w:color w:val="auto"/>
        </w:rPr>
        <w:t>S&amp;C Electric Company S.C. Johnson Safety-Kleen Systems SAGE Publications</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SAIC</w:t>
      </w:r>
    </w:p>
    <w:p>
      <w:pPr>
        <w:spacing w:after="0" w:line="8" w:lineRule="exact"/>
        <w:rPr>
          <w:rFonts w:ascii="Arial" w:cs="Arial" w:eastAsia="Arial" w:hAnsi="Arial"/>
          <w:sz w:val="16"/>
          <w:szCs w:val="16"/>
          <w:color w:val="auto"/>
        </w:rPr>
      </w:pPr>
    </w:p>
    <w:p>
      <w:pPr>
        <w:ind w:left="4" w:right="8659"/>
        <w:spacing w:after="0" w:line="250" w:lineRule="auto"/>
        <w:rPr>
          <w:rFonts w:ascii="Arial" w:cs="Arial" w:eastAsia="Arial" w:hAnsi="Arial"/>
          <w:sz w:val="16"/>
          <w:szCs w:val="16"/>
          <w:color w:val="auto"/>
        </w:rPr>
      </w:pPr>
      <w:r>
        <w:rPr>
          <w:rFonts w:ascii="Arial" w:cs="Arial" w:eastAsia="Arial" w:hAnsi="Arial"/>
          <w:sz w:val="16"/>
          <w:szCs w:val="16"/>
          <w:color w:val="auto"/>
        </w:rPr>
        <w:t>Sakura Finetek USA Inc Sanderson Farms Inc Sandisk Corp Sandvik, Inc. Sanmina-Sci Corp Sanofi Pasteur Sanofi-Aventis</w:t>
      </w:r>
    </w:p>
    <w:p>
      <w:pPr>
        <w:spacing w:after="0" w:line="3" w:lineRule="exact"/>
        <w:rPr>
          <w:rFonts w:ascii="Arial" w:cs="Arial" w:eastAsia="Arial" w:hAnsi="Arial"/>
          <w:sz w:val="16"/>
          <w:szCs w:val="16"/>
          <w:color w:val="auto"/>
        </w:rPr>
      </w:pPr>
    </w:p>
    <w:p>
      <w:pPr>
        <w:ind w:left="4" w:right="8679"/>
        <w:spacing w:after="0" w:line="250" w:lineRule="auto"/>
        <w:rPr>
          <w:rFonts w:ascii="Arial" w:cs="Arial" w:eastAsia="Arial" w:hAnsi="Arial"/>
          <w:sz w:val="16"/>
          <w:szCs w:val="16"/>
          <w:color w:val="auto"/>
        </w:rPr>
      </w:pPr>
      <w:r>
        <w:rPr>
          <w:rFonts w:ascii="Arial" w:cs="Arial" w:eastAsia="Arial" w:hAnsi="Arial"/>
          <w:sz w:val="16"/>
          <w:szCs w:val="16"/>
          <w:color w:val="auto"/>
        </w:rPr>
        <w:t>Sara Lee Corp. SAS Institute Sauer-Danfoss SC Johnson SCA Americas Schein Henry Inc Schlumberger Schneider Electric Schnitzer Steel Ind Scholle Corporation Schreiber Foods, Inc. Schwan Food Company Scotts Miracle-Gro Co Seaboard Corp Seagate Technology Sealed Air Corp Sealy Inc</w:t>
      </w:r>
    </w:p>
    <w:p>
      <w:pPr>
        <w:spacing w:after="0" w:line="9" w:lineRule="exact"/>
        <w:rPr>
          <w:rFonts w:ascii="Arial" w:cs="Arial" w:eastAsia="Arial" w:hAnsi="Arial"/>
          <w:sz w:val="16"/>
          <w:szCs w:val="16"/>
          <w:color w:val="auto"/>
        </w:rPr>
      </w:pPr>
    </w:p>
    <w:p>
      <w:pPr>
        <w:ind w:left="4" w:right="8899"/>
        <w:spacing w:after="0" w:line="286" w:lineRule="auto"/>
        <w:rPr>
          <w:rFonts w:ascii="Arial" w:cs="Arial" w:eastAsia="Arial" w:hAnsi="Arial"/>
          <w:sz w:val="16"/>
          <w:szCs w:val="16"/>
          <w:color w:val="auto"/>
        </w:rPr>
      </w:pPr>
      <w:r>
        <w:rPr>
          <w:rFonts w:ascii="Arial" w:cs="Arial" w:eastAsia="Arial" w:hAnsi="Arial"/>
          <w:sz w:val="14"/>
          <w:szCs w:val="14"/>
          <w:color w:val="auto"/>
        </w:rPr>
        <w:t>Seamen Corporation Seco Tools Inc</w:t>
      </w:r>
    </w:p>
    <w:p>
      <w:pPr>
        <w:ind w:left="4" w:right="8519"/>
        <w:spacing w:after="0" w:line="250" w:lineRule="auto"/>
        <w:rPr>
          <w:rFonts w:ascii="Arial" w:cs="Arial" w:eastAsia="Arial" w:hAnsi="Arial"/>
          <w:sz w:val="16"/>
          <w:szCs w:val="16"/>
          <w:color w:val="auto"/>
        </w:rPr>
      </w:pPr>
      <w:r>
        <w:rPr>
          <w:rFonts w:ascii="Arial" w:cs="Arial" w:eastAsia="Arial" w:hAnsi="Arial"/>
          <w:sz w:val="16"/>
          <w:szCs w:val="16"/>
          <w:color w:val="auto"/>
        </w:rPr>
        <w:t>Sensata Technologies, Inc. Sentry Group</w:t>
      </w:r>
    </w:p>
    <w:p>
      <w:pPr>
        <w:spacing w:after="0" w:line="1" w:lineRule="exact"/>
        <w:rPr>
          <w:rFonts w:ascii="Arial" w:cs="Arial" w:eastAsia="Arial" w:hAnsi="Arial"/>
          <w:sz w:val="16"/>
          <w:szCs w:val="16"/>
          <w:color w:val="auto"/>
        </w:rPr>
      </w:pPr>
    </w:p>
    <w:p>
      <w:pPr>
        <w:ind w:left="4" w:right="8799"/>
        <w:spacing w:after="0" w:line="286" w:lineRule="auto"/>
        <w:rPr>
          <w:rFonts w:ascii="Arial" w:cs="Arial" w:eastAsia="Arial" w:hAnsi="Arial"/>
          <w:sz w:val="16"/>
          <w:szCs w:val="16"/>
          <w:color w:val="auto"/>
        </w:rPr>
      </w:pPr>
      <w:r>
        <w:rPr>
          <w:rFonts w:ascii="Arial" w:cs="Arial" w:eastAsia="Arial" w:hAnsi="Arial"/>
          <w:sz w:val="14"/>
          <w:szCs w:val="14"/>
          <w:color w:val="auto"/>
        </w:rPr>
        <w:t>Seventh Generation Shaw Group Inc Sherwin-Williams Co Shire Pharmaceuticals Shure Incorporated Siemens</w:t>
      </w:r>
    </w:p>
    <w:p>
      <w:pPr>
        <w:spacing w:after="0" w:line="2" w:lineRule="exact"/>
        <w:rPr>
          <w:rFonts w:ascii="Arial" w:cs="Arial" w:eastAsia="Arial" w:hAnsi="Arial"/>
          <w:sz w:val="16"/>
          <w:szCs w:val="16"/>
          <w:color w:val="auto"/>
        </w:rPr>
      </w:pPr>
    </w:p>
    <w:p>
      <w:pPr>
        <w:ind w:left="4" w:right="8379"/>
        <w:spacing w:after="0" w:line="250" w:lineRule="auto"/>
        <w:rPr>
          <w:rFonts w:ascii="Arial" w:cs="Arial" w:eastAsia="Arial" w:hAnsi="Arial"/>
          <w:sz w:val="16"/>
          <w:szCs w:val="16"/>
          <w:color w:val="auto"/>
        </w:rPr>
      </w:pPr>
      <w:r>
        <w:rPr>
          <w:rFonts w:ascii="Arial" w:cs="Arial" w:eastAsia="Arial" w:hAnsi="Arial"/>
          <w:sz w:val="16"/>
          <w:szCs w:val="16"/>
          <w:color w:val="auto"/>
        </w:rPr>
        <w:t>Sigma Foods Inc. Sigma-Aldrich Corp Silgan Holdings Inc Simmons Bedding Company Simpson Manufacturing Sirius XM Radio SJE-Rhombus</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Skype</w:t>
      </w:r>
    </w:p>
    <w:p>
      <w:pPr>
        <w:spacing w:after="0" w:line="8" w:lineRule="exact"/>
        <w:rPr>
          <w:rFonts w:ascii="Arial" w:cs="Arial" w:eastAsia="Arial" w:hAnsi="Arial"/>
          <w:sz w:val="16"/>
          <w:szCs w:val="16"/>
          <w:color w:val="auto"/>
        </w:rPr>
      </w:pPr>
    </w:p>
    <w:p>
      <w:pPr>
        <w:ind w:left="4" w:right="8139"/>
        <w:spacing w:after="0" w:line="250" w:lineRule="auto"/>
        <w:rPr>
          <w:rFonts w:ascii="Arial" w:cs="Arial" w:eastAsia="Arial" w:hAnsi="Arial"/>
          <w:sz w:val="16"/>
          <w:szCs w:val="16"/>
          <w:color w:val="auto"/>
        </w:rPr>
      </w:pPr>
      <w:r>
        <w:rPr>
          <w:rFonts w:ascii="Arial" w:cs="Arial" w:eastAsia="Arial" w:hAnsi="Arial"/>
          <w:sz w:val="16"/>
          <w:szCs w:val="16"/>
          <w:color w:val="auto"/>
        </w:rPr>
        <w:t>Smead Manufacturing Company Smith &amp; Nephew</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Smith International</w:t>
      </w:r>
    </w:p>
    <w:p>
      <w:pPr>
        <w:sectPr>
          <w:pgSz w:w="11900" w:h="16861" w:orient="portrait"/>
          <w:cols w:equalWidth="0" w:num="1">
            <w:col w:w="10223"/>
          </w:cols>
          <w:pgMar w:left="236" w:top="127" w:right="1440" w:bottom="0" w:gutter="0" w:footer="0" w:header="0"/>
        </w:sectPr>
      </w:pPr>
    </w:p>
    <w:bookmarkStart w:id="49" w:name="page50"/>
    <w:bookmarkEnd w:id="49"/>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Smurfit-Stone Container Corp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Snap-On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Snyder's of Hanover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Sodexo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Solae,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Solo Cup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Solutia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Sonoco Products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Sony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Southco,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Spartan Light Metal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Spectra Energy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Spectrum Brands,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Spirit AeroSystems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Sprint Nextel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SPX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SRA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 Jude Medical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Stampin' 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Standard Motor Products,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Stanley Black &amp; Decker,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Stantec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Starbucks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StarTek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Starwood Hotels &amp; Resorts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Steel Dynamics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Steel Technologies- Corporate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Steelcase,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Stepan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Sterilite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STERIS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Stewart &amp; Stevenson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Stonyfield Farm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Straumann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Stryker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Subaru of Indiana Automotive,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Sulzer Pumps US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Sun Microsystems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Sunoco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Sunrise Medical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Sunstar Americas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Sunsweet Growers,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Supermedia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Swagelok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Sybron Dental Specialties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Synacor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Synthes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Takeda Pharmaceutical Company Limited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Target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Taubman Centers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Taylor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Teknion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Tekni-Plex,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Teleflex</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Tellabs Operations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Temple-Inland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Tenaris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Tennant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Tenneco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Teradata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Terex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Ternium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Ternium USA,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Terra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Tescom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Texas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Textron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Bergquist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Chamberlain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Colman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Gleason Works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Hershey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Nordam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Pampered Chef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Raymond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Toro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Woodbridge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Thermo Fisher Scientific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Thomas &amp; Betts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 Group Automotive Systems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TIMET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Timken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T-Mobile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Toray Plastics (America),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Total System Services</w:t>
      </w:r>
    </w:p>
    <w:p>
      <w:pPr>
        <w:sectPr>
          <w:pgSz w:w="11900" w:h="16861" w:orient="portrait"/>
          <w:cols w:equalWidth="0" w:num="1">
            <w:col w:w="10219"/>
          </w:cols>
          <w:pgMar w:left="240" w:top="127" w:right="1440" w:bottom="0" w:gutter="0" w:footer="0" w:header="0"/>
        </w:sectPr>
      </w:pPr>
    </w:p>
    <w:bookmarkStart w:id="50" w:name="page51"/>
    <w:bookmarkEnd w:id="50"/>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Toyota Industrial Equipment Manufacturing,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Travelcenters Of America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Trelleborg Coated Systems U.S.,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Trelleborg Sealing Profiles U.S.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Tremco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Tribune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Trinity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TRW Automotive Holdings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TUI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Tupperware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Tyco Electronics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Tyco International - Electrical and Metal Products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Tyson Foods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U.S. Foodservice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Unifi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Unilever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Unilife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Union Pacific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Unisys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United Airlines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United Parcel Service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United Rentals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United States Cellular</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United States Enrichment Corporation (USEC) - Gaseous Diffusion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United States Steel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United Technologies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Universal Hospital Services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Uponor,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USG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Valero Energy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Valhi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Valmont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Varian Medical Systems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Ventura Foods, LLC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Venturedyne Ltd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Verde Realty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Verizon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Vermeer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Vertex Pharmaceuticals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VF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Viacom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Videojet Technologies,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Village Farms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Vishay Intertechnology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Vision Service Plan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Vistar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Visteon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Volvo Group North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Vought Aircraft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Vulcan Materials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VWR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 C Bradley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 R Grace &amp;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W.L. Gore &amp; Associates,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Walt Disney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Warnaco Group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Washington Post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Watsco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Watson Pharmaceuticals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Watts Water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Wells' Dairy,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Wendy's/Arby's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Werner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West Pharmaceutical Services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Western Digital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Western Textile Companies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Westlake Chemical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Weyerhaeuser 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Whip Mix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Whirlpool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Whole Foods Market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Wilsonart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Winpak Portion Packaging Ltd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Winston Industries,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Wm. Wrigley Jr.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Wolverine World Wide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Worthington Industries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Wyndham Worldwide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Xerox Corp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Yahoo!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Yankee Candle Company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YKK Corporation of America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YRC Worldwide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YSI</w:t>
      </w:r>
    </w:p>
    <w:p>
      <w:pPr>
        <w:sectPr>
          <w:pgSz w:w="11900" w:h="16861" w:orient="portrait"/>
          <w:cols w:equalWidth="0" w:num="1">
            <w:col w:w="10219"/>
          </w:cols>
          <w:pgMar w:left="240" w:top="127" w:right="1440" w:bottom="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Yum! Brands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Zale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Zebra Technologies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Zeon Chemicals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Zimmer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643255</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309880</wp:posOffset>
            </wp:positionV>
            <wp:extent cx="7317740" cy="9473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9473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Letter"/>
      <w:start w:val="1"/>
    </w:lvl>
    <w:lvl w:ilvl="1">
      <w:lvlJc w:val="left"/>
      <w:lvlText w:val="%2."/>
      <w:numFmt w:val="lowerRoman"/>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3"/>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lvl w:ilvl="1">
      <w:lvlJc w:val="left"/>
      <w:lvlText w:val="(%2)"/>
      <w:numFmt w:val="decimal"/>
      <w:start w:val="1"/>
    </w:lvl>
  </w:abstractNum>
  <w:abstractNum w:abstractNumId="33">
    <w:nsid w:val="440BADFC"/>
    <w:multiLevelType w:val="hybridMultilevel"/>
    <w:lvl w:ilvl="0">
      <w:lvlJc w:val="left"/>
      <w:lvlText w:val="(%1)"/>
      <w:numFmt w:val="decimal"/>
      <w:start w:val="2"/>
    </w:lvl>
    <w:lvl w:ilvl="1">
      <w:lvlJc w:val="left"/>
      <w:lvlText w:val="%2"/>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R.%1."/>
      <w:numFmt w:val="upperLetter"/>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2019-12-09T08:44:58Z</dcterms:created>
  <dcterms:modified xsi:type="dcterms:W3CDTF">2019-12-09T08:44:58Z</dcterms:modified>
</cp:coreProperties>
</file>