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9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6" w:lineRule="exact"/>
        <w:rPr>
          <w:rFonts w:ascii="MS PGothic" w:cs="MS PGothic" w:eastAsia="MS PGothic" w:hAnsi="MS PGothic"/>
          <w:sz w:val="18"/>
          <w:szCs w:val="18"/>
          <w:color w:val="auto"/>
        </w:rPr>
      </w:pPr>
    </w:p>
    <w:p>
      <w:pPr>
        <w:ind w:right="5180" w:firstLine="7"/>
        <w:spacing w:after="0" w:line="214" w:lineRule="exact"/>
        <w:tabs>
          <w:tab w:leader="none" w:pos="2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240.14a-2.</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Twin Disc, Incorporated</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 w:lineRule="exact"/>
        <w:rPr>
          <w:sz w:val="24"/>
          <w:szCs w:val="24"/>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7" w:lineRule="exact"/>
        <w:rPr>
          <w:sz w:val="24"/>
          <w:szCs w:val="24"/>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6" w:lineRule="exact"/>
        <w:rPr>
          <w:rFonts w:ascii="MS PGothic" w:cs="MS PGothic" w:eastAsia="MS PGothic" w:hAnsi="MS PGothic"/>
          <w:sz w:val="18"/>
          <w:szCs w:val="18"/>
          <w:color w:val="auto"/>
        </w:rPr>
      </w:pPr>
    </w:p>
    <w:p>
      <w:pPr>
        <w:ind w:left="960" w:hanging="313"/>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transactions computed pursuant to Exchange Act Rule 0-11 (Set forth the amount on which the filing</w:t>
      </w:r>
    </w:p>
    <w:p>
      <w:pPr>
        <w:spacing w:after="0" w:line="18"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fee is calculated and state how it was determined):</w:t>
      </w:r>
    </w:p>
    <w:p>
      <w:pPr>
        <w:spacing w:after="0" w:line="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 w:lineRule="exact"/>
        <w:rPr>
          <w:sz w:val="24"/>
          <w:szCs w:val="24"/>
          <w:color w:val="auto"/>
        </w:rPr>
      </w:pPr>
    </w:p>
    <w:p>
      <w:pPr>
        <w:ind w:left="960" w:hanging="313"/>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transactions:</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00"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right="720" w:firstLine="7"/>
        <w:spacing w:after="0" w:line="258" w:lineRule="auto"/>
        <w:tabs>
          <w:tab w:leader="none" w:pos="205"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960" w:hanging="313"/>
        <w:spacing w:after="0"/>
        <w:tabs>
          <w:tab w:leader="none" w:pos="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6" w:lineRule="exact"/>
        <w:rPr>
          <w:sz w:val="24"/>
          <w:szCs w:val="24"/>
          <w:color w:val="auto"/>
        </w:rPr>
      </w:pPr>
    </w:p>
    <w:p>
      <w:pPr>
        <w:ind w:left="960" w:hanging="31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428" w:right="39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19050</wp:posOffset>
            </wp:positionV>
            <wp:extent cx="1703070" cy="762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0307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1328 Racine Street, Racine, Wisconsin 53403</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 – OCTOBER 29, 2020</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IS HEREBY GIVEN TO THE SHAREHOLDERS OF TWIN DISC, INCORPORATED</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Annual Meeting of Shareholders of Twin Disc, Incorporated, a Wisconsin corporation (the “Corporation”), will be held at 2:00 P.M. (Central Time) on Thursday, October 29, 2020 (the “Annual Meeting”). </w:t>
      </w:r>
      <w:r>
        <w:rPr>
          <w:rFonts w:ascii="Times New Roman" w:cs="Times New Roman" w:eastAsia="Times New Roman" w:hAnsi="Times New Roman"/>
          <w:sz w:val="18"/>
          <w:szCs w:val="18"/>
          <w:b w:val="1"/>
          <w:bCs w:val="1"/>
          <w:color w:val="auto"/>
        </w:rPr>
        <w:t>The Annual Meeting will be conducted in virtual format only – there will be no physical location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the Annual Meeting</w:t>
      </w:r>
      <w:r>
        <w:rPr>
          <w:rFonts w:ascii="Times New Roman" w:cs="Times New Roman" w:eastAsia="Times New Roman" w:hAnsi="Times New Roman"/>
          <w:sz w:val="18"/>
          <w:szCs w:val="18"/>
          <w:color w:val="auto"/>
        </w:rPr>
        <w:t>. The Annual Meeting will be held for the following purposes:</w:t>
      </w:r>
    </w:p>
    <w:p>
      <w:pPr>
        <w:spacing w:after="0" w:line="176" w:lineRule="exact"/>
        <w:rPr>
          <w:sz w:val="20"/>
          <w:szCs w:val="20"/>
          <w:color w:val="auto"/>
        </w:rPr>
      </w:pPr>
    </w:p>
    <w:p>
      <w:pPr>
        <w:ind w:left="800" w:hanging="31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serve until the Annual Meeting of Shareholders in 2023.</w:t>
      </w:r>
    </w:p>
    <w:p>
      <w:pPr>
        <w:spacing w:after="0" w:line="219"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 advisory vote to approve the compensation of the Corporation’s Named Executive Officers.</w:t>
      </w:r>
    </w:p>
    <w:p>
      <w:pPr>
        <w:spacing w:after="0" w:line="219" w:lineRule="exact"/>
        <w:rPr>
          <w:rFonts w:ascii="Times New Roman" w:cs="Times New Roman" w:eastAsia="Times New Roman" w:hAnsi="Times New Roman"/>
          <w:sz w:val="18"/>
          <w:szCs w:val="18"/>
          <w:color w:val="auto"/>
        </w:rPr>
      </w:pPr>
    </w:p>
    <w:p>
      <w:pPr>
        <w:ind w:left="800" w:right="360" w:hanging="313"/>
        <w:spacing w:after="0" w:line="277"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RSM US LLP, an independent registered public accounting firm, as our independent auditors for the fiscal year ending June 30, 2021.</w:t>
      </w:r>
    </w:p>
    <w:p>
      <w:pPr>
        <w:spacing w:after="0" w:line="162"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Twin Disc, Incorporated 2020 Stock Incentive Plan for Non-Employee Directors.</w:t>
      </w:r>
    </w:p>
    <w:p>
      <w:pPr>
        <w:spacing w:after="0" w:line="219"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amendment to the Corporation's Articles of Incorporation regarding the minimum number of directors.</w:t>
      </w:r>
    </w:p>
    <w:p>
      <w:pPr>
        <w:spacing w:after="0" w:line="219"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w:t>
      </w:r>
    </w:p>
    <w:p>
      <w:pPr>
        <w:spacing w:after="0" w:line="22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Only holders of record of shares of common stock of the Corporation at the close of business on August 20, 2020, shall be entitled to vote at the Annual Meeting.</w:t>
      </w:r>
    </w:p>
    <w:p>
      <w:pPr>
        <w:spacing w:after="0" w:line="163"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via the Internet. Please review these proxy materials and follow the applicable instructions.</w:t>
      </w:r>
    </w:p>
    <w:p>
      <w:pPr>
        <w:spacing w:after="0" w:line="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Secretary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October 29, 2020</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proxy materials, including the Proxy Statement and 2020 Annual Report on Form 10-K, are available over the internet at </w:t>
      </w:r>
      <w:r>
        <w:rPr>
          <w:rFonts w:ascii="Times New Roman" w:cs="Times New Roman" w:eastAsia="Times New Roman" w:hAnsi="Times New Roman"/>
          <w:sz w:val="18"/>
          <w:szCs w:val="18"/>
          <w:b w:val="1"/>
          <w:bCs w:val="1"/>
          <w:u w:val="single" w:color="auto"/>
          <w:color w:val="auto"/>
        </w:rPr>
        <w:t>http://ir.twindisc.com/proxy</w:t>
      </w:r>
      <w:r>
        <w:rPr>
          <w:rFonts w:ascii="Times New Roman" w:cs="Times New Roman" w:eastAsia="Times New Roman" w:hAnsi="Times New Roman"/>
          <w:sz w:val="18"/>
          <w:szCs w:val="18"/>
          <w:color w:val="auto"/>
        </w:rPr>
        <w:t>, and most of our stockholders will receive only a notice (“Notice”) containing instructions on how to access the proxy materials over the internet and vote online. If you receive this Notice but would still like to receive paper copies of the proxy materials, please follow the instructions on the Notice or on the website referred to on the Notice.</w:t>
      </w:r>
    </w:p>
    <w:p>
      <w:pPr>
        <w:spacing w:after="0" w:line="17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OF SHAREHOLDERS VIA THE INTERNET, WE ASK YOU TO PLEASE TAKE ADVANTAGE OF ONE OF THE OPTIONS YOU HAVE FOR VOTING YOUR SHARES IN ADVANCE OF THE ANNUAL MEETING. MOST SHAREHOLDERS HAVE THREE OPTIONS FOR SUBMITTING THEIR VOTE: (1) VIA THE INTERNET; (2) BY TELEPHONE; OR (3) IF YOU RECEIVED PAPER COPIES OF THE PROXY MATERIALS, BY SIGNING AND RETURNING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1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562"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Proxy Statement</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10, 2020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AND TIME OF MEETING</w:t>
      </w:r>
    </w:p>
    <w:p>
      <w:pPr>
        <w:spacing w:after="0" w:line="2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the Corporation of proxies for use at the Annual Meeting of Shareholders to be held at 2:00 P.M. (Central Time), on Thursday, October 29, 2020, or any adjournment thereof. Holders of common stock of record at the close of business on August 20, 2020 (the “Record Date”),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 intends to commence distribution of this proxy statement and accompanying form of proxy to shareholders on or about September 10,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FORMAT OF ANNUAL MEETING</w:t>
      </w:r>
    </w:p>
    <w:p>
      <w:pPr>
        <w:spacing w:after="0" w:line="2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Due to the public health impact of the coronavirus (COVID-19) pandemic, the Annual Meeting will be a completely virtual meeting of shareholders, which will be conducted exclusively by webcast. No physical meeting will be held.</w:t>
      </w:r>
    </w:p>
    <w:p>
      <w:pPr>
        <w:spacing w:after="0" w:line="16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you were a shareholder of the Corporation as of the close of business on the Record Date, you may vote during the virtual Annual Meeting by following the instructions available on the meeting website during the meeting. Shareholders will need a control number and password to participate in and vote during the Annual Meeting. For registered shareholders of the Corporation (i.e., shareholders who hold shares through the Corporation’s transfer agent, Computershare), the control number can be found on your proxy card or notice, or email you previously received. If you hold your shares through an intermediary, such as a bank or broker, you must register in advance to receive your control number in order to participate and vote in the Annual Meeting. The password for the meeting is TWIN2020.</w:t>
      </w:r>
    </w:p>
    <w:p>
      <w:pPr>
        <w:spacing w:after="0" w:line="18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The virtual Annual Meeting will begin promptly at 2:00 p.m., Central Time on Thursday, October 29, 2020. Shareholders should access the meeting prior to the start time leaving ample time for the check 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REGISTER TO ATTEND THE ANNUAL MEETING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Shareholders</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Registered shareholders of the Corporation (shareholders who hold shares through the Corporation’s transfer agent, Computershare) do not need to register to attend the Annual Meeting virtually on the Internet. Instead, they should follow the instructions on the notice or proxy card that they received.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Street Name Shareholders</w:t>
      </w: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Shareholders who hold their shares through an intermediary, such as a bank or broker (“street name shareholders”), must register in advance to attend the Annual Meeting virtually on the Internet. To register to attend the Annual Meeting online by webcast, a street name shareholder must submit proof of its proxy power (legal proxy) reflecting its Twin Disc, Incorporated holdings along with its name and email address to Computershare. Requests for registration must be labeled as “Legal Proxy” and be received no later than 5:00 p.m., Eastern Time, on Monday, October 26, 2020. You will receive a confirmation email from Computershare of your registration.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Written requests for registration may be directed to Computershare at the following mailing address: Computershare, TWIN DISC Legal Proxy, P.O.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43001, Providence, RI 02940-3001. Written requests for registration may also be directed to Computershare by email at: legalproxy@computershare.com.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forward the email or other correspondence from your broker, or attach an image of your legal proxy.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ATTEND THE ANNUAL MEETING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access the virtual Annual Meeting please go to the following Internet website: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www.meetingcenter.io/296794086</w:t>
      </w:r>
    </w:p>
    <w:p>
      <w:pPr>
        <w:spacing w:after="0" w:line="2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To login to the virtual meeting you have two options: “I have a control number” or “I am a guest.” In order to participate in the Annual Meeting as a shareholder, including voting your shares and asking questions, you will be required to have a control number and password. The password for the meeting is TWIN2020. If you join as a guest you will not have the option to vote your shares or ask questions at the Annual Meeting.</w:t>
      </w:r>
    </w:p>
    <w:p>
      <w:pPr>
        <w:spacing w:after="0" w:line="17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For registered shareholders of the Corporation (shareholders who hold shares through the Corporation’s transfer agent, Computershare ), the control number can be found on your proxy card or notice, or email you previously received.</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For street name shareholders of the Corporation (shareholders whose shares are registered in the name of a bank or brokerage firm), the control number will be found in the email you receive from Computershare confirming your registration to attend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22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Shareholders may vote their shares by properly appointing a proxy, voting in advance of the Annual Meeting via the Internet or by phone, or attending the Annual Meeting on the Internet and voting electronically during the Annual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Shareholders</w:t>
      </w:r>
    </w:p>
    <w:p>
      <w:pPr>
        <w:spacing w:after="0" w:line="22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Registered shareholders of the Corporation (shareholders who hold shares through the Corporation’s transfer agent, Computershare ) may appoint a proxy by delivering, either in person, by mail or by messenger, the enclosed proxy appointment form. Appointment forms must be received by the Secretary of the Corporation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Registered shareholders may also vote via the Internet by accessing </w:t>
      </w:r>
      <w:r>
        <w:rPr>
          <w:rFonts w:ascii="Times New Roman" w:cs="Times New Roman" w:eastAsia="Times New Roman" w:hAnsi="Times New Roman"/>
          <w:sz w:val="18"/>
          <w:szCs w:val="18"/>
          <w:u w:val="single" w:color="auto"/>
          <w:color w:val="auto"/>
        </w:rPr>
        <w:t>www.investorvote.com/twin</w:t>
      </w:r>
      <w:r>
        <w:rPr>
          <w:rFonts w:ascii="Times New Roman" w:cs="Times New Roman" w:eastAsia="Times New Roman" w:hAnsi="Times New Roman"/>
          <w:sz w:val="18"/>
          <w:szCs w:val="18"/>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Registered shareholders may vote via the Internet or by telephone up to the time that the polls close during the Annual Meeting on October 29, 2020. Shareholders that vote via the Internet should understand that there might be costs associated with electronic access that they must bear, such as usage charges from Internet access providers and telecommunications companies.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Street Name Shareholders</w:t>
      </w:r>
    </w:p>
    <w:p>
      <w:pPr>
        <w:spacing w:after="0" w:line="2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Street name shareholders (shareholders whose shares are registered in the name of a bank or brokerage firm) will receive instructions from the bank or broker that they must follow to have their shares voted. Street name shareholders may be eligible to vote their shares electronically via the Internet or by telephone. If the bank or brokerage firm is participating in the Broadridge Investor Communication Services’ program, the voting form will provide instructions about how to vote shares electronically.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REVOKE YOUR PROXY</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virtually attending the Annual Meeting and voting the shares electronically at the Annual Meeting, or by delivering a signed written statement revoking the proxy to the Secretary prior to the date of the Annual Meeting. ANY ATTEMPTED REVOCATIONS NOT MEETING THE ABOVE REQUIREMENTS WILL BE RULED INVALID.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QUORUM REQUIREMENTS</w:t>
      </w:r>
    </w:p>
    <w:p>
      <w:pPr>
        <w:spacing w:after="0" w:line="22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record date with respect to this solicitation is August 20, 2020. On that date, there were outstanding 13,552,100 shares of common stock of the Corporation entitled to vote at the Annual Meeting. There also are 200,000 shares of no-par preferred stock authorized, of which 150,000 shares have been designated Series A Junior Preferred Stock, but none are outstanding. The presence of a majority of the outstanding shares of common stock of the Corporation, either represented by a signed proxy appointment or electronic proxy vote or present via the Internet, will constitute a quorum at the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2021</w:t>
      </w:r>
    </w:p>
    <w:p>
      <w:pPr>
        <w:spacing w:after="0" w:line="22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If a shareholder wishes to present a proposal for consideration for inclusion in the Notice of the Meeting and Proxy Statement for the 2021 Annual Meeting of Shareholders, the proposal must be received at the Corporation’s principal executive offices no later than May 13, 2021. Shareholder proposals received later than July 12, 2021 will be considered untimely, and will not be considered at the Corporation’s 2021 Annual Meeting. Any such proposal must comply with the requirements of Section (14)(a) of the Corporation’s Restated Bylaws.</w:t>
      </w:r>
    </w:p>
    <w:p>
      <w:pPr>
        <w:spacing w:after="0" w:line="18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If a shareholder wishes to nominate a person for election to the Board of Directors of the Corporation, such nomination shall be made pursuant to timely notice in writing to the Secretary of the Corporation. To be timely for the 2021 Annual Meeting, such notice must be delivered to or mailed and received at the principal executive offices of the Corporation no later than July 12, 2021. Any such notice must comply with the requirements of Section (14)(b) of the Corporation’s Restated Bylaws.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MAKING THE SOLICITATION</w:t>
      </w:r>
    </w:p>
    <w:p>
      <w:pPr>
        <w:spacing w:after="0" w:line="224" w:lineRule="exact"/>
        <w:rPr>
          <w:sz w:val="20"/>
          <w:szCs w:val="20"/>
          <w:color w:val="auto"/>
        </w:rPr>
      </w:pPr>
    </w:p>
    <w:p>
      <w:pPr>
        <w:ind w:right="260"/>
        <w:spacing w:after="0" w:line="307" w:lineRule="auto"/>
        <w:rPr>
          <w:sz w:val="20"/>
          <w:szCs w:val="20"/>
          <w:color w:val="auto"/>
        </w:rPr>
      </w:pPr>
      <w:r>
        <w:rPr>
          <w:rFonts w:ascii="Times New Roman" w:cs="Times New Roman" w:eastAsia="Times New Roman" w:hAnsi="Times New Roman"/>
          <w:sz w:val="17"/>
          <w:szCs w:val="17"/>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VOTES REQUIRED FOR PROPOSALS AND HOW VOTES WILL BE COUNTED</w:t>
      </w:r>
    </w:p>
    <w:p>
      <w:pPr>
        <w:spacing w:after="0" w:line="22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85"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8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7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With respect to approval of the Twin Disc, Incorporated 2020 Stock Incentive Plan for Non-Employee Directors (“the Plan”) (Proposal No. 4), votes may be cast “For” or “Against.” The affirmative vote of a majority of votes cast at the annual meeting (assuming a quorum is present) shall be required for the approval of the Plan. Broker non-votes, as defined below, will not be counted as votes cast in connection with this proposal, and will have no effect on the outcome of the approval of the Plan.</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With respect to the approval of the amendment to the Corporation's Articles of Incorporation regarding the minimum number of directors (Proposal No. 5), votes may be cast “For” or “Against.” The affirmative vote of a majority of votes cast at the annual meeting (assuming a quorum is present) shall be required for the approval of the amendment. Broker non-votes, as defined below, will not be counted as votes cast in connection with this proposal, and will have no effect on the outcome of the approval of the amendment.</w:t>
      </w:r>
    </w:p>
    <w:p>
      <w:pPr>
        <w:spacing w:after="0" w:line="1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Brokers and other nominees may vote on the ratification of the appointment of RSM US LLP as our independent auditors for the fiscal year ending June 30, 2021 (Proposal No. 3) without specific instructions from beneficial owners. Therefore, no broker non-votes are expected to exist in connection with this proposal. However, brokers or other nominees may not vote on the election of Directors (Proposal No. 1), the advisory vote on Named Executive Officer compensation (Proposal No. 2), the approval of the Twin Disc, Incorporated 2020 Stock Incentive Plan for Non-Employee Directors (Proposal No. 4) or the amendment to the Corporation's Articles of Incorporation (Proposal No. 5) without specific instructions from the beneficial owners of the shares. Therefore, an undetermined number of broker non-votes may occur on Proposals No. 1, 2, 4 and 5.</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PRINCIPAL SHAREHOLDERS, DIRECTORS AND EXECUTIVE 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14, 2020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6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Pr>
          <w:p>
            <w:pPr>
              <w:spacing w:after="0"/>
              <w:rPr>
                <w:sz w:val="18"/>
                <w:szCs w:val="18"/>
                <w:color w:val="auto"/>
              </w:rPr>
            </w:pPr>
          </w:p>
        </w:tc>
        <w:tc>
          <w:tcPr>
            <w:tcW w:w="15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6"/>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660" w:type="dxa"/>
            <w:vAlign w:val="bottom"/>
            <w:tcBorders>
              <w:bottom w:val="single" w:sz="8" w:color="auto"/>
            </w:tcBorders>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6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Owned</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07"/>
        </w:trPr>
        <w:tc>
          <w:tcPr>
            <w:tcW w:w="22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2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704 Waters Edge Rd.</w:t>
            </w:r>
          </w:p>
        </w:tc>
        <w:tc>
          <w:tcPr>
            <w:tcW w:w="2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Power to vote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2,412,647</w:t>
            </w:r>
          </w:p>
        </w:tc>
        <w:tc>
          <w:tcPr>
            <w:tcW w:w="4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3"/>
        </w:trPr>
        <w:tc>
          <w:tcPr>
            <w:tcW w:w="2240" w:type="dxa"/>
            <w:vAlign w:val="bottom"/>
          </w:tcPr>
          <w:p>
            <w:pPr>
              <w:spacing w:after="0"/>
              <w:rPr>
                <w:sz w:val="18"/>
                <w:szCs w:val="18"/>
                <w:color w:val="auto"/>
              </w:rPr>
            </w:pP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Racine, WI</w:t>
            </w:r>
          </w:p>
        </w:tc>
        <w:tc>
          <w:tcPr>
            <w:tcW w:w="2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Beneficial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276,921</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22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GAMCO Investors, Inc.</w:t>
            </w: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One Corporate Center</w:t>
            </w:r>
          </w:p>
        </w:tc>
        <w:tc>
          <w:tcPr>
            <w:tcW w:w="2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Power to vote &amp;</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1,727,000</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3"/>
        </w:trPr>
        <w:tc>
          <w:tcPr>
            <w:tcW w:w="2240" w:type="dxa"/>
            <w:vAlign w:val="bottom"/>
            <w:shd w:val="clear" w:color="auto" w:fill="CCEEFF"/>
          </w:tcPr>
          <w:p>
            <w:pPr>
              <w:spacing w:after="0"/>
              <w:rPr>
                <w:sz w:val="18"/>
                <w:szCs w:val="18"/>
                <w:color w:val="auto"/>
              </w:rPr>
            </w:pPr>
          </w:p>
        </w:tc>
        <w:tc>
          <w:tcPr>
            <w:tcW w:w="2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Rye, NY</w:t>
            </w:r>
          </w:p>
        </w:tc>
        <w:tc>
          <w:tcPr>
            <w:tcW w:w="2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dispose of stock</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Juniper Investment</w:t>
            </w:r>
          </w:p>
        </w:tc>
        <w:tc>
          <w:tcPr>
            <w:tcW w:w="2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555 Madison Avenue</w:t>
            </w:r>
          </w:p>
        </w:tc>
        <w:tc>
          <w:tcPr>
            <w:tcW w:w="2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Power to vote &amp;</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1,207,000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Company, LLC</w:t>
            </w: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New York, NY</w:t>
            </w:r>
          </w:p>
        </w:tc>
        <w:tc>
          <w:tcPr>
            <w:tcW w:w="2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dispose of stock</w:t>
            </w: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Pacific Ridge Capital</w:t>
            </w: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4900 Meadows Road</w:t>
            </w:r>
          </w:p>
        </w:tc>
        <w:tc>
          <w:tcPr>
            <w:tcW w:w="2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Power to vote &amp;</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LLC</w:t>
            </w:r>
          </w:p>
        </w:tc>
        <w:tc>
          <w:tcPr>
            <w:tcW w:w="2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Lake Oswego, OR</w:t>
            </w:r>
          </w:p>
        </w:tc>
        <w:tc>
          <w:tcPr>
            <w:tcW w:w="2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dispose of stock</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Dimensional Fund</w:t>
            </w:r>
          </w:p>
        </w:tc>
        <w:tc>
          <w:tcPr>
            <w:tcW w:w="2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6300 Bee Cave Road</w:t>
            </w:r>
          </w:p>
        </w:tc>
        <w:tc>
          <w:tcPr>
            <w:tcW w:w="2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Power to vote &amp;</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736,000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2"/>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Advisors, L.P.</w:t>
            </w: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Austin, TX</w:t>
            </w:r>
          </w:p>
        </w:tc>
        <w:tc>
          <w:tcPr>
            <w:tcW w:w="2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dispose of stock</w:t>
            </w: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0" w:lineRule="exact"/>
        <w:rPr>
          <w:sz w:val="20"/>
          <w:szCs w:val="20"/>
          <w:color w:val="auto"/>
        </w:rPr>
      </w:pPr>
    </w:p>
    <w:p>
      <w:pPr>
        <w:spacing w:after="0" w:line="216" w:lineRule="exact"/>
        <w:rPr>
          <w:sz w:val="20"/>
          <w:szCs w:val="20"/>
          <w:color w:val="auto"/>
        </w:rPr>
      </w:pPr>
    </w:p>
    <w:p>
      <w:pPr>
        <w:ind w:left="640" w:hanging="36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as trustee under various trusts and as guardian for a non-immediate family member.</w:t>
      </w:r>
    </w:p>
    <w:p>
      <w:pPr>
        <w:spacing w:after="0" w:line="25" w:lineRule="exact"/>
        <w:rPr>
          <w:rFonts w:ascii="Times New Roman" w:cs="Times New Roman" w:eastAsia="Times New Roman" w:hAnsi="Times New Roman"/>
          <w:sz w:val="18"/>
          <w:szCs w:val="18"/>
          <w:color w:val="auto"/>
        </w:rPr>
      </w:pPr>
    </w:p>
    <w:p>
      <w:pPr>
        <w:ind w:left="640" w:right="220" w:hanging="366"/>
        <w:spacing w:after="0" w:line="255"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various entities which are directly or indirectly controlled by Mario J. Gabelli and for which he acts as chief investment officer.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14, 2020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77"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Amount and Nature</w:t>
            </w:r>
          </w:p>
        </w:tc>
        <w:tc>
          <w:tcPr>
            <w:tcW w:w="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60" w:type="dxa"/>
            <w:vAlign w:val="bottom"/>
            <w:gridSpan w:val="2"/>
            <w:vMerge w:val="continue"/>
          </w:tcPr>
          <w:p>
            <w:pPr>
              <w:spacing w:after="0"/>
              <w:rPr>
                <w:sz w:val="15"/>
                <w:szCs w:val="15"/>
                <w:color w:val="auto"/>
              </w:rPr>
            </w:pPr>
          </w:p>
        </w:tc>
        <w:tc>
          <w:tcPr>
            <w:tcW w:w="2680" w:type="dxa"/>
            <w:vAlign w:val="bottom"/>
          </w:tcPr>
          <w:p>
            <w:pPr>
              <w:ind w:left="760"/>
              <w:spacing w:after="0" w:line="182" w:lineRule="exact"/>
              <w:rPr>
                <w:sz w:val="20"/>
                <w:szCs w:val="20"/>
                <w:color w:val="auto"/>
              </w:rPr>
            </w:pPr>
            <w:r>
              <w:rPr>
                <w:rFonts w:ascii="Times New Roman" w:cs="Times New Roman" w:eastAsia="Times New Roman" w:hAnsi="Times New Roman"/>
                <w:sz w:val="18"/>
                <w:szCs w:val="18"/>
                <w:b w:val="1"/>
                <w:bCs w:val="1"/>
                <w:color w:val="auto"/>
              </w:rPr>
              <w:t>of Beneficial Ownership</w:t>
            </w:r>
          </w:p>
        </w:tc>
        <w:tc>
          <w:tcPr>
            <w:tcW w:w="420" w:type="dxa"/>
            <w:vAlign w:val="bottom"/>
          </w:tcPr>
          <w:p>
            <w:pPr>
              <w:spacing w:after="0"/>
              <w:rPr>
                <w:sz w:val="15"/>
                <w:szCs w:val="15"/>
                <w:color w:val="auto"/>
              </w:rPr>
            </w:pPr>
          </w:p>
        </w:tc>
        <w:tc>
          <w:tcPr>
            <w:tcW w:w="1940" w:type="dxa"/>
            <w:vAlign w:val="bottom"/>
            <w:vMerge w:val="restart"/>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0" w:type="dxa"/>
            <w:vAlign w:val="bottom"/>
          </w:tcPr>
          <w:p>
            <w:pPr>
              <w:spacing w:after="0"/>
              <w:rPr>
                <w:sz w:val="1"/>
                <w:szCs w:val="1"/>
                <w:color w:val="auto"/>
              </w:rPr>
            </w:pPr>
          </w:p>
        </w:tc>
      </w:tr>
      <w:tr>
        <w:trPr>
          <w:trHeight w:val="22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680" w:type="dxa"/>
            <w:vAlign w:val="bottom"/>
          </w:tcPr>
          <w:p>
            <w:pPr>
              <w:ind w:left="760"/>
              <w:spacing w:after="0"/>
              <w:rPr>
                <w:sz w:val="20"/>
                <w:szCs w:val="20"/>
                <w:color w:val="auto"/>
              </w:rPr>
            </w:pPr>
            <w:r>
              <w:rPr>
                <w:rFonts w:ascii="Times New Roman" w:cs="Times New Roman" w:eastAsia="Times New Roman" w:hAnsi="Times New Roman"/>
                <w:sz w:val="15"/>
                <w:szCs w:val="15"/>
                <w:b w:val="1"/>
                <w:bCs w:val="1"/>
                <w:color w:val="auto"/>
              </w:rPr>
              <w:t>(1)</w:t>
            </w:r>
          </w:p>
        </w:tc>
        <w:tc>
          <w:tcPr>
            <w:tcW w:w="42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2,689,568</w:t>
            </w:r>
          </w:p>
        </w:tc>
        <w:tc>
          <w:tcPr>
            <w:tcW w:w="42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(2)</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James E. Feiertag</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(3)</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S. Knutson</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86,730</w:t>
            </w:r>
          </w:p>
        </w:tc>
        <w:tc>
          <w:tcPr>
            <w:tcW w:w="4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(4)</w:t>
            </w:r>
          </w:p>
        </w:tc>
        <w:tc>
          <w:tcPr>
            <w:tcW w:w="1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Michael Doar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56,819</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(5)</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P. Giesselman</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4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(5)</w:t>
            </w:r>
          </w:p>
        </w:tc>
        <w:tc>
          <w:tcPr>
            <w:tcW w:w="1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David W. Johnson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20,535</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(5)</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Rayburn</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73,793</w:t>
            </w:r>
          </w:p>
        </w:tc>
        <w:tc>
          <w:tcPr>
            <w:tcW w:w="4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(5)</w:t>
            </w:r>
          </w:p>
        </w:tc>
        <w:tc>
          <w:tcPr>
            <w:tcW w:w="1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Michael C. Smiley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(5)</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M. Stratton II</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46,519</w:t>
            </w:r>
          </w:p>
        </w:tc>
        <w:tc>
          <w:tcPr>
            <w:tcW w:w="4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(5)</w:t>
            </w:r>
          </w:p>
        </w:tc>
        <w:tc>
          <w:tcPr>
            <w:tcW w:w="1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David R. Zimmer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41,869</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(5)</w:t>
            </w:r>
          </w:p>
        </w:tc>
        <w:tc>
          <w:tcPr>
            <w:tcW w:w="1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(15 persons)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3,265,125</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(5)</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hanging="133"/>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ownership of less than one percent of shares outstanding.</w:t>
      </w:r>
    </w:p>
    <w:p>
      <w:pPr>
        <w:spacing w:after="0" w:line="219" w:lineRule="exact"/>
        <w:rPr>
          <w:rFonts w:ascii="Times New Roman" w:cs="Times New Roman" w:eastAsia="Times New Roman" w:hAnsi="Times New Roman"/>
          <w:sz w:val="18"/>
          <w:szCs w:val="18"/>
          <w:color w:val="auto"/>
        </w:rPr>
      </w:pPr>
    </w:p>
    <w:p>
      <w:pPr>
        <w:ind w:left="520" w:right="220" w:hanging="353"/>
        <w:spacing w:after="0" w:line="258"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520" w:right="700" w:hanging="353"/>
        <w:spacing w:after="0" w:line="247"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2,412,647 shares held by Mr. Batten as trustee under various family trusts and as guardian for non-immediate family member. Also includes restricted stock grants of 44,986 shares that vest in fiscal 2023 and 51,994 shares that vest in fiscal 2024.</w:t>
      </w:r>
    </w:p>
    <w:p>
      <w:pPr>
        <w:ind w:left="520" w:right="380" w:hanging="353"/>
        <w:spacing w:after="0" w:line="247"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7,721 shares that vest in fiscal 2022, 18,724 shares that vest in fiscal 2023 and 22,877 shares that vest in fiscal 2024.</w:t>
      </w:r>
    </w:p>
    <w:p>
      <w:pPr>
        <w:ind w:left="520" w:hanging="353"/>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15,066 shares that vest in fiscal 20231 and 24,264 shares that vest in fiscal 2024.</w:t>
      </w:r>
    </w:p>
    <w:p>
      <w:pPr>
        <w:spacing w:after="0" w:line="14" w:lineRule="exact"/>
        <w:rPr>
          <w:rFonts w:ascii="Times New Roman" w:cs="Times New Roman" w:eastAsia="Times New Roman" w:hAnsi="Times New Roman"/>
          <w:sz w:val="18"/>
          <w:szCs w:val="18"/>
          <w:color w:val="auto"/>
        </w:rPr>
      </w:pPr>
    </w:p>
    <w:p>
      <w:pPr>
        <w:ind w:left="520" w:right="620" w:hanging="353"/>
        <w:spacing w:after="0" w:line="277"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above are unvested restricted shares as follows: Mr. Doar 6,737, Ms. Giesselman 6,737, Mr. Johnson 6,737, Mr. Rayburn 6,737, Mr. Smiley 6,737, Mr. Stratton 6,737 and Mr. Zimmer 6,737.</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4"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The Board of Directors has nominated the following persons to serve as Directors for the Corporation, each for a term to expire at the Annual Meeting of Shareholders following the fiscal years ending June 30, 2023, as indicated below. Shares of common stock represented by properly executed proxy appointments will be voted for the two nominees listed unless authority to do so is withheld.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Pr>
          <w:p>
            <w:pPr>
              <w:spacing w:after="0"/>
              <w:rPr>
                <w:sz w:val="18"/>
                <w:szCs w:val="18"/>
                <w:color w:val="auto"/>
              </w:rPr>
            </w:pP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Name and</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Served as Director</w:t>
            </w:r>
          </w:p>
        </w:tc>
        <w:tc>
          <w:tcPr>
            <w:tcW w:w="0" w:type="dxa"/>
            <w:vAlign w:val="bottom"/>
          </w:tcPr>
          <w:p>
            <w:pPr>
              <w:spacing w:after="0"/>
              <w:rPr>
                <w:sz w:val="1"/>
                <w:szCs w:val="1"/>
                <w:color w:val="auto"/>
              </w:rPr>
            </w:pPr>
          </w:p>
        </w:tc>
      </w:tr>
      <w:tr>
        <w:trPr>
          <w:trHeight w:val="232"/>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Current Age</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Continuously Since</w:t>
            </w:r>
          </w:p>
        </w:tc>
        <w:tc>
          <w:tcPr>
            <w:tcW w:w="0" w:type="dxa"/>
            <w:vAlign w:val="bottom"/>
          </w:tcPr>
          <w:p>
            <w:pPr>
              <w:spacing w:after="0"/>
              <w:rPr>
                <w:sz w:val="1"/>
                <w:szCs w:val="1"/>
                <w:color w:val="auto"/>
              </w:rPr>
            </w:pPr>
          </w:p>
        </w:tc>
      </w:tr>
      <w:tr>
        <w:trPr>
          <w:trHeight w:val="207"/>
        </w:trPr>
        <w:tc>
          <w:tcPr>
            <w:tcW w:w="200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TERMS EXPIRE IN 2023:</w:t>
            </w:r>
          </w:p>
        </w:tc>
        <w:tc>
          <w:tcPr>
            <w:tcW w:w="3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580" w:type="dxa"/>
            <w:vAlign w:val="bottom"/>
            <w:gridSpan w:val="4"/>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Michael Doar</w:t>
            </w:r>
          </w:p>
        </w:tc>
        <w:tc>
          <w:tcPr>
            <w:tcW w:w="3640" w:type="dxa"/>
            <w:vAlign w:val="bottom"/>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Chairman and Chief Executive Officer, Hurco</w:t>
            </w:r>
          </w:p>
        </w:tc>
        <w:tc>
          <w:tcPr>
            <w:tcW w:w="3580" w:type="dxa"/>
            <w:vAlign w:val="bottom"/>
            <w:gridSpan w:val="4"/>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Mr. Doar is a sitting CEO of a public company.</w:t>
            </w:r>
          </w:p>
        </w:tc>
        <w:tc>
          <w:tcPr>
            <w:tcW w:w="2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October 2008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65</w:t>
            </w: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Companies, Inc., Indianapolis, Indiana (A global</w:t>
            </w:r>
          </w:p>
        </w:tc>
        <w:tc>
          <w:tcPr>
            <w:tcW w:w="35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His  experience  includes  strategic  planning,</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manufacturer of machine tools)</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w:t>
            </w: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oversight,</w:t>
            </w:r>
          </w:p>
        </w:tc>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0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organizational competencies.</w:t>
            </w:r>
          </w:p>
        </w:tc>
        <w:tc>
          <w:tcPr>
            <w:tcW w:w="2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Michael C. Smiley</w:t>
            </w:r>
          </w:p>
        </w:tc>
        <w:tc>
          <w:tcPr>
            <w:tcW w:w="3640" w:type="dxa"/>
            <w:vAlign w:val="bottom"/>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Former Chief Financial Officer, Zebra</w:t>
            </w:r>
          </w:p>
        </w:tc>
        <w:tc>
          <w:tcPr>
            <w:tcW w:w="3320" w:type="dxa"/>
            <w:vAlign w:val="bottom"/>
            <w:gridSpan w:val="3"/>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Mr. Smiley is a former CFO of a public</w:t>
            </w:r>
          </w:p>
        </w:tc>
        <w:tc>
          <w:tcPr>
            <w:tcW w:w="26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August 2019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61</w:t>
            </w: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Technologies Corp., Lincolnshire, Illinois (A</w:t>
            </w:r>
          </w:p>
        </w:tc>
        <w:tc>
          <w:tcPr>
            <w:tcW w:w="3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company. His competencies include strategic</w:t>
            </w: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provider of enterprise asset intelligence</w:t>
            </w:r>
          </w:p>
        </w:tc>
        <w:tc>
          <w:tcPr>
            <w:tcW w:w="3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planning, financial oversight, mergers and</w:t>
            </w: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solutions to identify, track and manage the</w:t>
            </w:r>
          </w:p>
        </w:tc>
        <w:tc>
          <w:tcPr>
            <w:tcW w:w="3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acquisitions, extensive domestic and</w:t>
            </w: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deployment of critical assets for improved</w:t>
            </w:r>
          </w:p>
        </w:tc>
        <w:tc>
          <w:tcPr>
            <w:tcW w:w="3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 experience in complex</w:t>
            </w: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efficiency). Mr. Smiley was previously</w:t>
            </w:r>
          </w:p>
        </w:tc>
        <w:tc>
          <w:tcPr>
            <w:tcW w:w="35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and engineered and technology</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00" w:type="dxa"/>
            <w:vAlign w:val="bottom"/>
            <w:shd w:val="clear" w:color="auto" w:fill="CCEEFF"/>
          </w:tcPr>
          <w:p>
            <w:pPr>
              <w:spacing w:after="0"/>
              <w:rPr>
                <w:sz w:val="20"/>
                <w:szCs w:val="20"/>
                <w:color w:val="auto"/>
              </w:rPr>
            </w:pP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Director of the Corporation from 2010-2018.</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w:t>
            </w:r>
          </w:p>
        </w:tc>
        <w:tc>
          <w:tcPr>
            <w:tcW w:w="10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p>
      <w:pPr>
        <w:spacing w:after="0" w:line="277" w:lineRule="auto"/>
        <w:rPr>
          <w:sz w:val="20"/>
          <w:szCs w:val="20"/>
          <w:color w:val="auto"/>
        </w:rPr>
      </w:pPr>
      <w:r>
        <w:rPr>
          <w:rFonts w:ascii="Times New Roman" w:cs="Times New Roman" w:eastAsia="Times New Roman" w:hAnsi="Times New Roman"/>
          <w:sz w:val="18"/>
          <w:szCs w:val="18"/>
          <w:color w:val="auto"/>
        </w:rPr>
        <w:t>The Directors whose terms are continuing, and the classes to which they have been elected, are set forth below. Each Director whose term is continuing was elected to his or her present term of office by a vote of shareholders at a meeting for which proxies were solicited.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Name and</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37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Served as Director</w:t>
            </w: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Current Age</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Continuously Since</w:t>
            </w:r>
          </w:p>
        </w:tc>
        <w:tc>
          <w:tcPr>
            <w:tcW w:w="0" w:type="dxa"/>
            <w:vAlign w:val="bottom"/>
          </w:tcPr>
          <w:p>
            <w:pPr>
              <w:spacing w:after="0"/>
              <w:rPr>
                <w:sz w:val="1"/>
                <w:szCs w:val="1"/>
                <w:color w:val="auto"/>
              </w:rPr>
            </w:pPr>
          </w:p>
        </w:tc>
      </w:tr>
      <w:tr>
        <w:trPr>
          <w:trHeight w:val="207"/>
        </w:trPr>
        <w:tc>
          <w:tcPr>
            <w:tcW w:w="178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DIRECTORS WHOSE TERMS EXPIRE IN 2021:</w:t>
            </w:r>
          </w:p>
        </w:tc>
        <w:tc>
          <w:tcPr>
            <w:tcW w:w="37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David B. Rayburn</w:t>
            </w:r>
          </w:p>
        </w:tc>
        <w:tc>
          <w:tcPr>
            <w:tcW w:w="374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Retired President and Chief Executive Officer,</w:t>
            </w:r>
          </w:p>
        </w:tc>
        <w:tc>
          <w:tcPr>
            <w:tcW w:w="370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As a former CEO of a public company, Mr.</w:t>
            </w:r>
          </w:p>
        </w:tc>
        <w:tc>
          <w:tcPr>
            <w:tcW w:w="2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July 2000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72</w:t>
            </w: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Modine Manufacturing Company, Racine,</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Rayburn has experience and skill sets in</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Wisconsin (A manufacturer of heat exchange</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strategic planning, financial oversight,</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equipment); Also Director, Lindsay Corporation</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policy and practices as well as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(A provider of irrigation and water management</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organizational structure. In addition, Mr.</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systems).</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Rayburn’s background includes international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mergers and acquisitions, engineering</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manufacturing in an industry related to the</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Corporation.</w:t>
            </w:r>
          </w:p>
        </w:tc>
        <w:tc>
          <w:tcPr>
            <w:tcW w:w="2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Janet P. Giesselman</w:t>
            </w:r>
          </w:p>
        </w:tc>
        <w:tc>
          <w:tcPr>
            <w:tcW w:w="374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Retired President of Dow Oil &amp; Gas, a business</w:t>
            </w:r>
          </w:p>
        </w:tc>
        <w:tc>
          <w:tcPr>
            <w:tcW w:w="370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w w:val="98"/>
              </w:rPr>
              <w:t>Ms. Giesselman is a retired senior executive of a</w:t>
            </w:r>
          </w:p>
        </w:tc>
        <w:tc>
          <w:tcPr>
            <w:tcW w:w="2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June 2015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66</w:t>
            </w: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 of The Dow Chemical Company, Midland,</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public company. Her background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Michigan. Also Director, Ag Growth</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includes strategic planning, financial oversight,</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International (A global provider of grain</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marketing, start-ups, mergers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handling and storage equipment), Director, GCP</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acquisitions and global regulatory expertise. Ms.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 construction products technology company),</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Giesselman has extensive international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 Avicanna, Inc. (A biopharmaceutical</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experience and a broad background in the oil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 and Former Director, Omnova</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gas and the agricultural sectors.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Solutions (A global provider of emulsion</w:t>
            </w:r>
          </w:p>
        </w:tc>
        <w:tc>
          <w:tcPr>
            <w:tcW w:w="37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polymers and specialty chemicals).</w:t>
            </w:r>
          </w:p>
        </w:tc>
        <w:tc>
          <w:tcPr>
            <w:tcW w:w="37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David W. Johnson</w:t>
            </w:r>
          </w:p>
        </w:tc>
        <w:tc>
          <w:tcPr>
            <w:tcW w:w="374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Vice President and Chief Financial Officer,</w:t>
            </w:r>
          </w:p>
        </w:tc>
        <w:tc>
          <w:tcPr>
            <w:tcW w:w="370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Mr. Johnson is a sitting CFO of a public</w:t>
            </w:r>
          </w:p>
        </w:tc>
        <w:tc>
          <w:tcPr>
            <w:tcW w:w="2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July 2016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57</w:t>
            </w: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Johnson Outdoors, Inc., Racine, Wisconsin (A</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His strengths include financial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global provider of outdoor recreation products).</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leadership, new business development,</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operational restructuring, cost savings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strategic analysis.</w:t>
            </w:r>
          </w:p>
        </w:tc>
        <w:tc>
          <w:tcPr>
            <w:tcW w:w="2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520" w:type="dxa"/>
            <w:vAlign w:val="bottom"/>
            <w:gridSpan w:val="2"/>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DIRECTORS WHOSE TERMS EXPIRE IN 2022:</w:t>
            </w:r>
          </w:p>
        </w:tc>
        <w:tc>
          <w:tcPr>
            <w:tcW w:w="37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John H. Batten</w:t>
            </w:r>
          </w:p>
        </w:tc>
        <w:tc>
          <w:tcPr>
            <w:tcW w:w="374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Chief Executive Officer, Twin Disc,</w:t>
            </w:r>
          </w:p>
        </w:tc>
        <w:tc>
          <w:tcPr>
            <w:tcW w:w="370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w w:val="97"/>
              </w:rPr>
              <w:t>Mr. Batten is a sitting CEO of a public company.</w:t>
            </w:r>
          </w:p>
        </w:tc>
        <w:tc>
          <w:tcPr>
            <w:tcW w:w="2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December 2002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55</w:t>
            </w: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Incorporated since May 2019; formerly</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His skill sets include strategic and operational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President and CEO since July 2013; formerly</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planning, financial oversight, and organizational</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President and Chief Operating Officer since July</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development as well as extensive domestic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2008, and Executive Vice President since</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experience in engineered products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October 2004.</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a complex manufacturing environment.</w:t>
            </w:r>
          </w:p>
        </w:tc>
        <w:tc>
          <w:tcPr>
            <w:tcW w:w="2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Harold M. Stratton II</w:t>
            </w:r>
          </w:p>
        </w:tc>
        <w:tc>
          <w:tcPr>
            <w:tcW w:w="374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Chairman of the Board and retired Chief</w:t>
            </w:r>
          </w:p>
        </w:tc>
        <w:tc>
          <w:tcPr>
            <w:tcW w:w="370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w w:val="98"/>
              </w:rPr>
              <w:t>Mr. Stratton is Board Chairman and retired CEO</w:t>
            </w:r>
          </w:p>
        </w:tc>
        <w:tc>
          <w:tcPr>
            <w:tcW w:w="2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July 2004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72</w:t>
            </w: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Executive Officer, Strattec Security Corporation,</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a public company. He is skilled in strategic</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Milwaukee, Wisconsin (A leading manufacturer</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planning, financial oversight, compensation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of mechanical and electro-mechanical locks,</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organizational matters. In addition, he has</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latches, power opening/closing systems and</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experience in international markets and in an</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related security/access control products for</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industry involving complex manufacturing and</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spacing w:after="0"/>
              <w:rPr>
                <w:sz w:val="20"/>
                <w:szCs w:val="20"/>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global automotive manufacturers).</w:t>
            </w:r>
          </w:p>
        </w:tc>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products with high engineering content.</w:t>
            </w:r>
          </w:p>
        </w:tc>
        <w:tc>
          <w:tcPr>
            <w:tcW w:w="2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7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 ADVISORY VOTE ON THE COMPENSATION OF</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CORPORATION’S NAMED EXECUTIVE OFFICERS</w:t>
      </w:r>
    </w:p>
    <w:p>
      <w:pPr>
        <w:spacing w:after="0" w:line="20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2020 compensation practices and programs for the Named Executive Officers by voting on the following resolution:</w:t>
      </w:r>
    </w:p>
    <w:p>
      <w:pPr>
        <w:spacing w:after="0" w:line="177" w:lineRule="exact"/>
        <w:rPr>
          <w:sz w:val="20"/>
          <w:szCs w:val="20"/>
          <w:color w:val="auto"/>
        </w:rPr>
      </w:pPr>
    </w:p>
    <w:p>
      <w:pPr>
        <w:ind w:left="640" w:right="720"/>
        <w:spacing w:after="0" w:line="281"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Corporation’s Named Executive Officers, as disclosed pursuant to Item 402 of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S-K including the executive compensation disclosures, is hereby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As described in the “Executive Compensation” section of this Proxy Statement, and in particular the “Executive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awards were granted in 2017 subject to three-year objectives for revenue, return on invested capital and earnings per share. Based on the cumulative performance of the Corporation over the past three fiscal years with respect to these three performance measures, the 2017 awards vested at 67.5% of target. The remaining shares expired unvested in 2020.</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86"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3: RATIFICATION OF APPOINTMENT OF</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The Audit Committee has selected RSM US LLP (“RSM”) as our independent registered public accounting firm for the fiscal year ending June 30, 2021, including service to our consolidated subsidiaries. RSM has acted in this capacity since fiscal 2018, following a competitive bidding process. A representative of RSM will attend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to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Aggregate fees billed or expected to be billed for professional services rendered by RSM in connection with (i) the audit of the Corporation’s consolidated financial statements as of and for the years ended June 30, 2020 and June 30, 2019, including statutory audits of the financial statements of the Corporation’s affiliates, and (ii) the reviews of the Corporation’s quarterly financial statements were $1,155,800 and $1,251,200,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Aggregate fees billed for professional services rendered by RSM for assurance and services reasonably related to the performance of the audit or review of the Corporation’s financial statements not included in audit fees above were $8,800 and $298,200 for the years ended June 30, 2020 and 2019, respectively. The fiscal 2020 fees are related to a statutory certification provided at one of the Corporation’s foreign affiliates. The fiscal 2019 fees are related to the Corporation’s registration statements, and consist of services performed to provide consents and comfort letters in support of the Form S-3 and Form S-8. Audit-related fees in fiscal 2019 also consist of the audit of the pre-acquisition financial statements, interim reviews and related financial information of Veth Propulsion that were included in the Form 8-K/A.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Aggregate fees of $0 and $0 were billed by RSM during the years ended June 30, 2020 and 2019, respectively, pertaining to tax compliance, tax advice, and tax planning.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June 30, 2020 and 2019, $0 and $0 were billed by RSM for products and services other than those listed above.</w:t>
      </w:r>
    </w:p>
    <w:p>
      <w:pPr>
        <w:spacing w:after="0" w:line="20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The Audit Committee has determined that the provision of services rendered above that were not related to its audit of the Corporation’s financial statements were at all times compatible with maintaining RSM’s independence.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2020, 100% of audit-related, tax and other fees were pre-approved.</w:t>
      </w:r>
    </w:p>
    <w:p>
      <w:pPr>
        <w:spacing w:after="0" w:line="177"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THE SELECTION OF RSM US LLP AS OUR INDEPENDENT AUDITORS FOR THE FISCAL YEAR ENDING JUNE 30, 2021. UNLESS YOU INDICATE OTHERWISE, YOUR PROXY WILL BE VOTED "FOR" RATIFICATION.</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 APPROVAL OF THE TWIN DISC, INCORPORATED</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STOCK INCENTIVE PLAN FOR NON-EMPLOYEE DIRECTORS</w:t>
      </w:r>
    </w:p>
    <w:p>
      <w:pPr>
        <w:spacing w:after="0" w:line="20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Board of Directors has presented for approval the Twin Disc, Incorporated 2020 Stock Incentive Plan for Non-Employee Directors (the “2020 Directors’ Plan”). The adoption of the 2020 Directors’ Plan is expected to benefit the Corporation and its shareholders by enabling the Corporation to continue to be competitive in its search for and retention of outstanding Directors, and to encourage them to increase their proprietary interests in the Corporation.</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Corporation currently maintains the Twin Disc, Incorporated 2010 Stock Incentive Plan for Non-Employee Directors (the “2010 Directors’ Plan”), under which the Board of Directors has discretion to make various equity awards to non-employee Directors of the Corporation. The 2010 Directors’ Plan also allows the Board of Directors to designate that all or a portion of the annual retainer payable to non-employee Directors for service as members of the Board (exclusive of any committee chair or meeting fees) be paid in shares of restricted stock. The 2020 Directors’ Plan would retain these features, and would also allow non-employee Directors to elect to receive all or a portion of their base cash retainer in the form of restricted stock.</w:t>
      </w:r>
    </w:p>
    <w:p>
      <w:pPr>
        <w:spacing w:after="0" w:line="1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2010 Directors’ Plan provides that no awards may be granted more than ten years after the effective date of the plan. The effective date of the 2010 Directors’ Plan was October 15, 2010, the date it was approved by the Corporation’s shareholders. Therefore, as of the date of the 2020 Annual Meeting, no new awards may be made under the 2010 Directors’ Plan. Shareholder approval of the 2020 Directors’ Plan is necessary to allow the Corporation to continue to make equity awards to its non-employee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about the 2020 Directors’ Plan are qualified by and subject to the actual provisions of the Plan, which is attached as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Features of the 2020 Directors’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2020 Directors’ Plan will be administered by the Corporation’s Board of Directors. The Board will have the discretion to grant options, shares of restricted stock and cash-settled restricted stock units under the 2020 Directors’ Plan, and to designate the portion of the retainer payable to non-employee Directors that will be paid in the form of restricted stock. The Board shall have discretionary authority to determine all issues with respect to the interpretation of the 2020 Directors’ Plan, awards made under the 2020 Directors’ Plan, and with respect to all administration issues relating to the 2020 Directors’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All present or future Directors of the Corporation who are not employees of the Corporation shall be eligible to participate in the 2020 Directors’ Plan. As of August 14, 2020, the Corporation has seven non-employee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 Available Under the 2020 Directors’ Plan</w:t>
      </w:r>
    </w:p>
    <w:p>
      <w:pPr>
        <w:spacing w:after="0" w:line="2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Awards under the 2020 Directors’ Plan (“Awards”) may be granted, awarded or paid in any one or a combination of stock options, restricted stock awards, or cash-settled restricted stock units. The 2020 Directors’ Plan would allow the Board of Directors to designate that all, or such portion as the Board shall from time to time designate, of the annual retainer payable to non-employee Directors (exclusive of committee chair fees) be paid in shares of restricted stock. In addition, the 2020 Directors’ Plan would allow Directors to receive all or a portion of their base cash retainer fee in the form of restricted stock.</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Shares Reserved and Maximum Annual Awards</w:t>
      </w:r>
    </w:p>
    <w:p>
      <w:pPr>
        <w:spacing w:after="0" w:line="22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There is reserved for issuance under the 2020 Directors’ Plan an aggregate of 750,000 shares of the Corporation's common stock, which may be authorized and unissued shares or shares reacquired by the Corporation in the open market or a combination thereof. The aggregate amount is subject to proportionate adjustments for stock dividends, stock splits and similar changes. In addition, the aggregate grant date fair value (as determined in accordance with FASB ASC Topic 718 or any successor provision) of all Awards granted to during any fiscal year of the Corporation to any participant shall not exceed $250,000.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to be Issued</w:t>
      </w:r>
    </w:p>
    <w:p>
      <w:pPr>
        <w:spacing w:after="0" w:line="193"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The number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who will participate in the 2020 Director’s Plan cannot be determined with certainty. Therefore, it is not possible to determine with certainty the dollar value or number of shares of our common stock that will be issued under the 2020 Plan. For the fiscal year ended June 30, 2020, non-employee Directors of the Corporation received a total of 47,159 shares of restricted stock as a group under the 2010 Directors’ Plan. They also received an aggregate of $437,500 in base cash retainer payments for FY2020, which non-employee Directors could have elected to receive in the form of restricted stock in lieu of cash had the 2020 Directors’ Plan been in place during FY2020.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Stock options will consist of options to purchase shares of the Corporation’s common stock. The Board will establish the time(s) at which options may be exercised and whether all of the options may be exercisable at one time or in increments over time. An option shall not be exercisable more than ten years after the date it is granted, and will terminate no later than three years after termination of director status for any reason other than death. The option price shall be equal to the fair market value of the Corporation's stock on the date of grant, which is defined as the arithmetic mean of the daily volume weighted average price per share of Common Stock traded on the NASDAQ Stock Market for each of the 20 consecutive trading days immediately preceding such date. The option holder must pay the Corporation, at the time of exercise, the amount of federal, state and local withholding taxes required to be withheld by the Corporation. These taxes may be settled in cash or with common stock of the Corporation, including stock that is part of the Award or that is received upon exercise of the stock option that gives rise to withholding requirement. Options are generally only transferable by will or pursuant to the laws of descent and distribution, except that a participant may transfer an option to or for the benefit of a member of the participant’s immediate family or to trusts created for their benefit. Any unexpired and unexercised Options held by a participant shall be immediately forfeited if the participant is prohibited from serving on the Board by any court of competent jurisdiction or other government authority, or if, in the discretion of the Board, a participant is no longer competent to serve on the Board due to the participant’s violation of state or federal securities law or other rule of the NASDAQ Stock Market (or such other listing standards then applicable to the Corporation).</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3"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2"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17"/>
          <w:szCs w:val="17"/>
          <w:color w:val="auto"/>
        </w:rPr>
        <w:t>Restricted stock becomes vested only if earned by the recipient by continuing to serve on the Board for a specified period of time or any other factors as the Board deems appropriate. Until the restrictions lapse, the holder of restricted stock may not sell, assign, pledge or otherwise transfer the restricted stock.</w:t>
      </w:r>
    </w:p>
    <w:p>
      <w:pPr>
        <w:spacing w:after="0" w:line="14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In addition to discretionary grants of restricted stock, the Board may designate that all, or such portion as it shall from time to time designate, of the annual retainer payable to participants for service as members of the Board (exclusive of committee chair or meeting fees) be paid in shares of restricted stock. As of the date of each annual meeting of shareholders of the Corporation, each participant who is elected or re-elected to the Board at such meeting or who continues to serve on the Board after such meeting will receive an award of restricted stock equal to the portion of the annual retainer designated by the Board. The number of shares of restricted stock shall be based on the annual retainer in effect as of the date of the annual meeting, and shall be determined by dividing the dollar value of the portion of such annual retainer designated as payable in restricted stock by the fair market value of the Corporation’s common stock as of the date of the annual meeting, rounded down to the nearest whole share. Restrictions on shares of restricted stock that the Board designates shall be paid as part of the participant’s annual retainer shall lapse as of the date of the annual meeting of shareholders that is subsequent to the date the restricted stock was awarded if the participant continues to serve on the Board up to such meeting.</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Directors may also elect to receive shares of restricted stock in lieu of all or a portion of their base annual retainer that would otherwise be paid in cash. The amount that would otherwise be paid in cash shall be converted to a fixed number of shares of restricted stock by dividing the dollar value of the cash that would otherwise have been paid by the fair market value per share of common stock as of the date such payment would have been made, and rounding down to the nearest whole share. Elections to receive restricted stock in lieu of cash may be made semi-annually, and will apply to amounts earned for service during the six months after the deadline to make the election. Shares of restricted stock that are issued in lieu of cash pursuant to such an election will vest on the one-year anniversary of the date that the cash would have otherwise been paid to the participant.</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shares of restricted stock shall fully vest if the participant’s service on the Board terminates due to death or disability. In addition, restricted stock will be forfeited if: (1) the participant’s service as a member of the Board ends prior to the vesting date; (2) the participant is recommended by the Corporation to be re-elected to the Board and fails to be re-elected by the shareholders of the Corporation to the Board in that election; or (3) the participant is prohibited from serving on the Board by any court of competent jurisdiction or other government authority, or in the discretion of the Board is no longer competent to serve on the Board due to the participant’s violation of state or federal securities law or other rule of the NASDAQ Stock Market (or other applicable listing standards).</w:t>
      </w:r>
    </w:p>
    <w:p>
      <w:pPr>
        <w:spacing w:after="0" w:line="18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Any cash or stock dividends paid on shares of restricted stock will be automatically deferred, and will be paid to the participant only if and to the extent the underlying shares of restricted stock vest. Cash or stock dividends payable with respect to shares of restricted stock that are forfeited shall also be forfeited. Cash or stock dividends will be paid within 30 days after the restrictions on the shares of restricted stock to which such dividends relate lapse, and cash dividends shall be paid with an appropriate rate of interest, as determined by the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Cash-Settled Restricted Stock Units</w:t>
      </w:r>
    </w:p>
    <w:p>
      <w:pPr>
        <w:spacing w:after="0" w:line="22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A cash-settled restricted stock unit will entitle the Director to a cash payment equal to the fair market value of a share of the common stock of the Corporation upon the lapse of a substantial risk of forfeiture, as specified by the Board. Because cash-settled restricted stock units are payable only in cash, Awards of cash-settled restricted stock units will not count against the 750,000 shares reserved under the 2020 Directors’ Plan.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2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Board of Directors may amend, alter or discontinue the 2020 Directors’ Plan. However, no amendment, alteration or discontinuation of the 2020 Directors’ Plan may impair the rights of any participant without the participant's consent, and no amendment shall, without the approval of the Corporation's shareholders: (i) increase the total number of shares of common stock that may be issued under the 2020 Directors’ Plan or increase the amount or type of option that may be granted under the 2020 Directors’ Plan or increase the amount of Restricted Stock that may be awarded under the Plan; (ii) change the minimum purchase price, if any, of shares of common stock that may be made subject to options under the 2020 Directors’ Plan; (iii) modify the requirements as to eligibility for an option under the 2020 Directors’ Plan; (iv) extend the term of the 2020 Directors’ Plan; or (v) constitute a material revision of the 2020 Directors’ Plan requiring shareholder approval under the listing standards of the NASDAQ Stock Market (or other applicable listing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w:t>
      </w:r>
    </w:p>
    <w:p>
      <w:pPr>
        <w:spacing w:after="0" w:line="22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The issuance of stock upon exercise of options or other grant of Awards will be subject to the registration with the Securities and Exchange Commission of the shares reserved by the Corporation for the 2020 Directors’ Plan.</w:t>
      </w:r>
    </w:p>
    <w:p>
      <w:pPr>
        <w:spacing w:after="0" w:line="16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closing price of the Corporation's common stock on the NASDAQ Stock Market on August 14, 2020, was $6.82 per share. The arithmetic mean of the daily volume weighted average price per share of common stock traded on the NASDAQ Stock Market for each of the 20 consecutive trading days immediately preceding August 15, 2020 was $6.31 per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Date</w:t>
      </w:r>
    </w:p>
    <w:p>
      <w:pPr>
        <w:spacing w:after="0" w:line="22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The 2020 Directors’ Plan will be effective on the date it is approved by the shareholders. No Awards included in the 2020 Directors’ Plan may be granted more than ten years after the effective date of the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discussion of the principal U.S. federal income tax consequences of the Twin Disc, Incorporated, 2020 Stock Incentive Plan for Non-Employee Directors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granting of an option does not produce taxable income to the participant or a tax deduction to the Corporation or any subsidiary.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such an option, the excess of the fair market value of the common stock acquired over the option price is (a) taxable to the Director as ordinary income and (b) deductible by the Corporation (assuming withholding, if required). The tax basis for the common stock acquired is the option price plus that taxable excess.</w:t>
      </w:r>
    </w:p>
    <w:p>
      <w:pPr>
        <w:spacing w:after="0" w:line="17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The grant of a restricted stock award will not result in taxable income to the participant on the date of the grant, unless the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30 days after transfer of the restricted stock to the participant, elects under Section 83(b) of the Code to include in income the fair market value of the restricted shares as of the date of such transfer. At the time the substantial risk of forfeiture terminates with respect to a restricted stock award, the then fair market value of the stock will constitute ordinary income to the participant, and the Corporation will then be entitled to a deduction in the same amount.</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3" w:right="419" w:bottom="1440" w:gutter="0" w:footer="0" w:header="0"/>
        </w:sectPr>
      </w:pPr>
    </w:p>
    <w:bookmarkStart w:id="16" w:name="page17"/>
    <w:bookmarkEnd w:id="16"/>
    <w:p>
      <w:pPr>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Cash-Settled Restricted Stock Units. </w:t>
      </w:r>
      <w:r>
        <w:rPr>
          <w:rFonts w:ascii="Times New Roman" w:cs="Times New Roman" w:eastAsia="Times New Roman" w:hAnsi="Times New Roman"/>
          <w:sz w:val="18"/>
          <w:szCs w:val="18"/>
          <w:color w:val="auto"/>
        </w:rPr>
        <w:t>The grant of cash-settled restricted stock units will not ordinarily result in taxable income to the participant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At the time the substantial risk of forfeiture terminates with respect to a cash-settled restricted stock unit award, any cash received will constitute ordinary income to the participant, and the Corporation will then be entitled to a deduction in the same amount.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2020 Directors’ Plan will be adopted if approved by the affirmative vote of the holders of at least a majority of the outstanding shares of the Corporation's common stock that are represented at the annual meeting (either remotely via the Internet or by proxy) and are voted in connection with the adoption of the 2020 Directors’ Plan.</w:t>
      </w:r>
    </w:p>
    <w:p>
      <w:pPr>
        <w:spacing w:after="0" w:line="17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APPROVAL OF THE TWIN DISC, INCORPORATED 2020 STOCK INCENTIVE PLAN FOR NON-EMPLOYEE DIRECTORS. UNLESS YOU INDICATE OTHERWISE ON YOUR PROXY, YOUR SHARES WILL BE VOTED “FOR” THIS PROPOSAL.</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573" w:right="4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APPROVAL OF AMENDMENT TO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INCORPORATION REGARDING THE MINIMUM NUMBER OF DIRECTORS</w:t>
      </w:r>
    </w:p>
    <w:p>
      <w:pPr>
        <w:spacing w:after="0" w:line="20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Board of Directors has presented for approval an amendment to the Corporation’s Articles of Incorporation (the “Articles”) regarding the minimum size of the Board. Currently, the Articles provide that the Board shall consist of no less than seven Directors. Under the proposed amendment to the Articles, the number of Directors shall be fixed from time to time by resolution of the Board, with no minimum size.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Text of Proposed Amendment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Article V of the Corporation’s Articles reads as follows:</w:t>
      </w:r>
    </w:p>
    <w:p>
      <w:pPr>
        <w:spacing w:after="0" w:line="220" w:lineRule="exact"/>
        <w:rPr>
          <w:sz w:val="20"/>
          <w:szCs w:val="20"/>
          <w:color w:val="auto"/>
        </w:rPr>
      </w:pPr>
    </w:p>
    <w:p>
      <w:pPr>
        <w:ind w:left="640" w:right="120"/>
        <w:spacing w:after="0" w:line="262" w:lineRule="auto"/>
        <w:rPr>
          <w:sz w:val="20"/>
          <w:szCs w:val="20"/>
          <w:color w:val="auto"/>
        </w:rPr>
      </w:pPr>
      <w:r>
        <w:rPr>
          <w:rFonts w:ascii="Times New Roman" w:cs="Times New Roman" w:eastAsia="Times New Roman" w:hAnsi="Times New Roman"/>
          <w:sz w:val="18"/>
          <w:szCs w:val="18"/>
          <w:color w:val="auto"/>
        </w:rPr>
        <w:t>The Board of Directors of this Corporation shall consist of such number of members as the By-Laws may provide, but not less than seven (7) members. Members of the Board of Directors shall have such qualifications and shall be elected in such manner, including division into classes for election, as may from time to time be provided by the By-Laws of this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proposed amendment, Article V of the Corporation’s Articles would read as follows:</w:t>
      </w:r>
    </w:p>
    <w:p>
      <w:pPr>
        <w:spacing w:after="0" w:line="220" w:lineRule="exact"/>
        <w:rPr>
          <w:sz w:val="20"/>
          <w:szCs w:val="20"/>
          <w:color w:val="auto"/>
        </w:rPr>
      </w:pPr>
    </w:p>
    <w:p>
      <w:pPr>
        <w:ind w:left="640"/>
        <w:spacing w:after="0" w:line="254" w:lineRule="auto"/>
        <w:rPr>
          <w:sz w:val="20"/>
          <w:szCs w:val="20"/>
          <w:color w:val="auto"/>
        </w:rPr>
      </w:pPr>
      <w:r>
        <w:rPr>
          <w:rFonts w:ascii="Times New Roman" w:cs="Times New Roman" w:eastAsia="Times New Roman" w:hAnsi="Times New Roman"/>
          <w:sz w:val="18"/>
          <w:szCs w:val="18"/>
          <w:color w:val="auto"/>
        </w:rPr>
        <w:t>The Board of Directors of this Corporation shall consist of such number of Directors as shall be fixed from time to time solely by resolution of the Board of Directors, acting by the vote of not less than a majority of the Directors then in office. No decrease in the number of authorized Directors constituting the entire Board of Directors shall shorten the term of any incumbent Director. Members of the Board of Directors shall have such qualifications and shall be elected in such manner, including division into classes for election, as may from time to time be provided by the By-Laws of this Corporation.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Proposal and General Effect of the Amendment</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believes that it is in the best interest of the Corporation amend the Articles to eliminate the currently mandated minimum of seven Directors. Although the Board does not intend to immediately reduce the number of Directors if the proposed amendment to the Corporation’s Articles is approved, the Board will likely choose to have fewer than seven Directors when current members of the Board retire or resign. A reduction in the size of the Board below the current minimum of seven Directors will result in decreased costs related to director compensation and will more closely align our Board size with the scope of the Corporation’s business operations. The proposed amendment would give the Board flexibility to determine the optimum size of the Board, rather than being required to fill a vacancy that exists solely because of the minimum number of Directors required by the Articles.</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If the amendment to the Articles is approved, the Board intends to make an immediate corresponding amendment to the Corporation’s Bylaws, which currently provide that the number of Directors shall be not less than seven and not more than nine Directors. The amendment to the Bylaws would state that the Board shall consist of such number of Directors as shall be fixed from time to time by resolution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proposed amendment to the Articles will be adopted if approved by the affirmative vote of the holders of at least a majority of the outstanding shares of the Corporation's common stock that are represented at the annual meeting (either remotely via the Internet or by proxy) and are voted in connection with the proposed amendment.</w:t>
      </w:r>
    </w:p>
    <w:p>
      <w:pPr>
        <w:spacing w:after="0" w:line="172"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APPROVAL OF THE AMENDMENT TO THE CORPORATION’S ARTICLES OF INCORPORATION. UNLESS YOU INDICATE OTHERWISE ON YOUR PROXY, YOUR SHARES WILL BE VOTED “FOR” THIS PROPOSAL.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7"/>
          <w:szCs w:val="17"/>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Chief Executive Officer and with key members of management, by reviewing materials provided to them, and by participating in meetings of the Board of Directors and its committees.</w:t>
      </w:r>
    </w:p>
    <w:p>
      <w:pPr>
        <w:spacing w:after="0" w:line="16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and/or through appropriate mailings.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90"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7"/>
          <w:szCs w:val="17"/>
          <w:color w:val="auto"/>
        </w:rPr>
        <w:t>The Board has determined that the following Directors are independent within the meaning of SEC regulations, the listing standards of the NASDAQ Stock Market and the Corporation's Guidelines for Corporate Governance: Messrs. Doar, Johnson, Rayburn, Smiley, Stratton and Zimmer, and Ms. Giesselman.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(“CEO”) are separated between Mr. Rayburn and Mr. Batten. This allows our CEO (Mr. Batten) to focus on the day-to-day business operations, while allowing the Chairman of the Board (Mr. Rayburn)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7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Various committees of the Board also have roles in the oversight of risk management.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Guidelines for Business Conduct and Ethics</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Our Guidelines for Business Conduct and Ethics (the "Guidelines") summarize the compliance and ethical standards and expectations we have for all our employees, executive officers and Directors with respect to their conduct in furtherance of the Corporation’s business. The Guidelines, which are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or in a current report on Form 8-K. In addition, if a waiver from the Guidelines is granted to an executive officer or Director, we will disclose the nature of such waiver on our website at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or in a current report on Form 8-K.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Pledging Policies</w:t>
      </w:r>
    </w:p>
    <w:p>
      <w:pPr>
        <w:spacing w:after="0" w:line="224"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Times New Roman" w:cs="Times New Roman" w:eastAsia="Times New Roman" w:hAnsi="Times New Roman"/>
          <w:sz w:val="17"/>
          <w:szCs w:val="17"/>
          <w:u w:val="single" w:color="auto"/>
          <w:color w:val="auto"/>
        </w:rPr>
        <w:t>www.twindisc.com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22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Our Guidelines also specifically require that all employees, executive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executive officers or employees, and their relatives or businesses.</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end of each fiscal year, each Director and officer must respond to a questionnaire that requires him or her to identify any transaction or relationship that occurred during the prior two fiscal years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executive officers during fiscal 2019 or fiscal 2020 requiring disclosure under the rules of the Securities and Exchange Commission.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ind w:left="3640"/>
        <w:spacing w:after="0"/>
        <w:rPr>
          <w:sz w:val="20"/>
          <w:szCs w:val="20"/>
          <w:color w:val="auto"/>
        </w:rPr>
      </w:pPr>
      <w:r>
        <w:rPr>
          <w:rFonts w:ascii="Times New Roman" w:cs="Times New Roman" w:eastAsia="Times New Roman" w:hAnsi="Times New Roman"/>
          <w:sz w:val="18"/>
          <w:szCs w:val="18"/>
          <w:b w:val="1"/>
          <w:bCs w:val="1"/>
          <w:color w:val="auto"/>
        </w:rPr>
        <w:t>DIRECTOR COMMITTEES AND ATTENDANCE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Board Committees; Attendance</w:t>
      </w:r>
    </w:p>
    <w:p>
      <w:pPr>
        <w:spacing w:after="0" w:line="2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Corporation’s Board of Directors met six times during the year ended June 30, 2020. Among incumbent Directors, there were no absences from these meetings. The Audit Committee met five times during the year. The Nominating and Governance Committee met two times during the year. The Compensation and Executive Development Committee met four times during the year. The Finance and Risk Management Committee met one time during the year. Each incumbent Director attended at least 75% of the aggregate of the total number of meetings of the Board of Directors and of the Committees on which the Director served.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Committee Functions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has a separately-designated Audit Committee established in accordance with Section 3(a)(58)(A) of the Securities Exchange Act of 1934.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charter of the Audit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It was most recently reviewed on August 6, 2020.</w:t>
      </w:r>
    </w:p>
    <w:p>
      <w:pPr>
        <w:spacing w:after="0" w:line="20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Johnson (Chair), Mr. Doar, Ms. Giesselman, Mr. Smiley and Mr. Zimmer) qualifies as an “audit committee financial expert” within the meaning of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purpose is to assist the Board of Directors in monitoring the:</w:t>
      </w:r>
    </w:p>
    <w:p>
      <w:pPr>
        <w:spacing w:after="0" w:line="220" w:lineRule="exact"/>
        <w:rPr>
          <w:sz w:val="20"/>
          <w:szCs w:val="20"/>
          <w:color w:val="auto"/>
        </w:rPr>
      </w:pPr>
    </w:p>
    <w:p>
      <w:pPr>
        <w:ind w:left="680" w:hanging="32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of the Corporation's financial statements;</w:t>
      </w:r>
    </w:p>
    <w:p>
      <w:pPr>
        <w:spacing w:after="0" w:line="25"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auditor's qualifications and independence;</w:t>
      </w:r>
    </w:p>
    <w:p>
      <w:pPr>
        <w:spacing w:after="0" w:line="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 Corporation's internal audit function and the independent auditors; and</w:t>
      </w:r>
    </w:p>
    <w:p>
      <w:pPr>
        <w:spacing w:after="0" w:line="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compliance with legal and regulatory requirements.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 carrying out these responsibilities, the Audit Committee, among other things:</w:t>
      </w:r>
    </w:p>
    <w:p>
      <w:pPr>
        <w:spacing w:after="0" w:line="220" w:lineRule="exact"/>
        <w:rPr>
          <w:sz w:val="20"/>
          <w:szCs w:val="20"/>
          <w:color w:val="auto"/>
        </w:rPr>
      </w:pPr>
    </w:p>
    <w:p>
      <w:pPr>
        <w:ind w:left="680" w:right="500" w:hanging="326"/>
        <w:spacing w:after="0" w:line="258"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the independent auditor for the purpose of preparing and issuing an audit report and to perform related work, and discusses with the independent auditor appropriate staffing and compensation;</w:t>
      </w:r>
    </w:p>
    <w:p>
      <w:pPr>
        <w:ind w:left="680" w:hanging="326"/>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as necessary or appropriate, independent legal, accounting or other advisors;</w:t>
      </w:r>
    </w:p>
    <w:p>
      <w:pPr>
        <w:spacing w:after="0" w:line="6" w:lineRule="exact"/>
        <w:rPr>
          <w:rFonts w:ascii="Times New Roman" w:cs="Times New Roman" w:eastAsia="Times New Roman" w:hAnsi="Times New Roman"/>
          <w:sz w:val="18"/>
          <w:szCs w:val="18"/>
          <w:color w:val="auto"/>
        </w:rPr>
      </w:pPr>
    </w:p>
    <w:p>
      <w:pPr>
        <w:ind w:left="680" w:right="280" w:hanging="326"/>
        <w:spacing w:after="0" w:line="24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680" w:right="220" w:hanging="326"/>
        <w:spacing w:after="0" w:line="24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680" w:right="40" w:hanging="326"/>
        <w:spacing w:after="0" w:line="24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management's programs to monitor compliance with the Corporation's Guidelines for Business Conduct and Ethics.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and Risk Management Committee</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Finance and Risk Management Committee was established to assist the Board in fulfilling its oversight responsibilities for considering management’s proposed financial policies and actions, and making appropriate recommendations to the Board regarding: debt and capital structure, acquisitions, capital budgets, dividend policy, pension funding, cyber security and other financial and risk management matters. The Committee also oversaw the Company’s risk management framework and strategy. Effective August 6, 2020, the Board has agreed to eliminate the Finance and Risk Management Committee. The responsibilities of this committee have been assigned to the Audit Committee, management and the full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The independence of the Committee is in compliance with SEC regulations, the listing standards of the NASDAQ Stock Market and the Corporation’s Guidelines for Corporate Governance.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2" w:name="page23"/>
    <w:bookmarkEnd w:id="22"/>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Shareholder recommendations to the Committee for Director candidates shall follow the following procedures:</w:t>
      </w:r>
    </w:p>
    <w:p>
      <w:pPr>
        <w:spacing w:after="0" w:line="186" w:lineRule="exact"/>
        <w:rPr>
          <w:sz w:val="20"/>
          <w:szCs w:val="20"/>
          <w:color w:val="auto"/>
        </w:rPr>
      </w:pPr>
    </w:p>
    <w:p>
      <w:pPr>
        <w:ind w:left="640" w:hanging="313"/>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must receive any such shareholder recommendations for Director candidates on or before the last business day in the month of March preceding that year's annual meeting.</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recommendation for nomination shall be in writing and shall include the following information:</w:t>
      </w:r>
    </w:p>
    <w:p>
      <w:pPr>
        <w:spacing w:after="0" w:line="25"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shareholder, whether an entity or an individual, making the recommendation;</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of the shareholder’s beneficial ownership of the Corporation's securities;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individual recommended for consideration as a Director nominee;</w:t>
      </w:r>
    </w:p>
    <w:p>
      <w:pPr>
        <w:spacing w:after="0" w:line="6" w:lineRule="exact"/>
        <w:rPr>
          <w:rFonts w:ascii="Times New Roman" w:cs="Times New Roman" w:eastAsia="Times New Roman" w:hAnsi="Times New Roman"/>
          <w:sz w:val="18"/>
          <w:szCs w:val="18"/>
          <w:color w:val="auto"/>
        </w:rPr>
      </w:pPr>
    </w:p>
    <w:p>
      <w:pPr>
        <w:ind w:left="1280" w:hanging="633"/>
        <w:spacing w:after="0" w:line="247"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why such recommended candidate would be able to fulfill the duties of a Director;</w:t>
      </w:r>
    </w:p>
    <w:p>
      <w:pPr>
        <w:ind w:left="1280" w:hanging="633"/>
        <w:spacing w:after="0" w:line="247"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how the recommended candidate meets the independence requirements established by the SEC and the NASDAQ Stock Market;</w:t>
      </w:r>
    </w:p>
    <w:p>
      <w:pPr>
        <w:ind w:left="1280" w:hanging="633"/>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the recommended candidate's beneficial ownership of the Corporation's securities;</w:t>
      </w:r>
    </w:p>
    <w:p>
      <w:pPr>
        <w:spacing w:after="0" w:line="6" w:lineRule="exact"/>
        <w:rPr>
          <w:rFonts w:ascii="Times New Roman" w:cs="Times New Roman" w:eastAsia="Times New Roman" w:hAnsi="Times New Roman"/>
          <w:sz w:val="18"/>
          <w:szCs w:val="18"/>
          <w:color w:val="auto"/>
        </w:rPr>
      </w:pPr>
    </w:p>
    <w:p>
      <w:pPr>
        <w:ind w:left="1280" w:hanging="633"/>
        <w:spacing w:after="0" w:line="247"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relationships between the recommended candidate and the Corporation which may constitute a conflict of interest; and</w:t>
      </w:r>
    </w:p>
    <w:p>
      <w:pPr>
        <w:ind w:left="1280" w:hanging="633"/>
        <w:spacing w:after="0" w:line="255"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recommended candidate that would be required to be disclosed in solicitations of proxies for the election of Directors under the Securities Exchange Act.</w:t>
      </w:r>
    </w:p>
    <w:p>
      <w:pPr>
        <w:spacing w:after="0" w:line="18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for nomination must be sent to the attention of the Committee via the U.S. Mail or by expedited delivery service, addressed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Racine, WI 53403</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Attn: Nominating and Governance Committee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 Secretary of Twin Disc, Incorporated</w:t>
      </w:r>
    </w:p>
    <w:p>
      <w:pPr>
        <w:spacing w:after="0" w:line="20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8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Compensation and Executive Development Committee</w:t>
      </w:r>
    </w:p>
    <w:p>
      <w:pPr>
        <w:spacing w:after="0" w:line="22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u w:val="single" w:color="auto"/>
          <w:color w:val="auto"/>
        </w:rPr>
        <w:t>Scope of Authority</w:t>
      </w:r>
      <w:r>
        <w:rPr>
          <w:rFonts w:ascii="Times New Roman" w:cs="Times New Roman" w:eastAsia="Times New Roman" w:hAnsi="Times New Roman"/>
          <w:sz w:val="18"/>
          <w:szCs w:val="18"/>
          <w:color w:val="auto"/>
        </w:rPr>
        <w:t xml:space="preserve"> - The primary purpose of the Compensation and Executive Development Committee is: (i) to assist the Board in discharging its responsibilities in respect to the compensation of the Corporation's executive officers and Directors;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spacing w:after="0" w:line="18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 xml:space="preserve">The charter of the Compensation and Executive Development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The Corporation last updated the Compensation and Executive Development Committee charter on August 5, 2020.</w:t>
      </w:r>
    </w:p>
    <w:p>
      <w:pPr>
        <w:spacing w:after="0" w:line="1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u w:val="single" w:color="auto"/>
          <w:color w:val="auto"/>
        </w:rPr>
        <w:t>Composition</w:t>
      </w:r>
      <w:r>
        <w:rPr>
          <w:rFonts w:ascii="Times New Roman" w:cs="Times New Roman" w:eastAsia="Times New Roman" w:hAnsi="Times New Roman"/>
          <w:sz w:val="18"/>
          <w:szCs w:val="18"/>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Role of Consultants</w:t>
      </w:r>
      <w:r>
        <w:rPr>
          <w:rFonts w:ascii="Times New Roman" w:cs="Times New Roman" w:eastAsia="Times New Roman" w:hAnsi="Times New Roman"/>
          <w:sz w:val="18"/>
          <w:szCs w:val="18"/>
          <w:color w:val="auto"/>
        </w:rPr>
        <w:t xml:space="preserve"> - The Compensation and Executive Development Committee periodically engages an independent consultant to review its compensation program for the executive officers of the Corporation, in order to ensure market competitiveness. Historically, the Committee engaged an independent compensation consultant for this purpose every two years. For fiscal 2020, the Committee engaged Willis Towers Watson, a global human resources firm, to conduct a detailed review of competitive compensation levels for similar positions in similar industries. The Committee considered that information in setting executive compensation for fiscal 2020.</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Role of Executive Officers</w:t>
      </w:r>
      <w:r>
        <w:rPr>
          <w:rFonts w:ascii="Times New Roman" w:cs="Times New Roman" w:eastAsia="Times New Roman" w:hAnsi="Times New Roman"/>
          <w:sz w:val="18"/>
          <w:szCs w:val="18"/>
          <w:color w:val="auto"/>
        </w:rPr>
        <w:t xml:space="preserve"> - The Compensation and Executive Development Committee makes all compensation decisions for the CEO, Mr. Batten, and approves recommendations for compensation actions for all other elected officers of the Corporation. As CEO, Mr.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CEO. It alone determines the salary adjustment, bonus payment and equity awards for Mr. Batten.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Committee Membership</w:t>
      </w:r>
    </w:p>
    <w:p>
      <w:pPr>
        <w:spacing w:after="0" w:line="22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Compensation &amp;</w:t>
            </w:r>
          </w:p>
        </w:tc>
        <w:tc>
          <w:tcPr>
            <w:tcW w:w="1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3"/>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Nominating and</w:t>
            </w:r>
          </w:p>
        </w:tc>
      </w:tr>
      <w:tr>
        <w:trPr>
          <w:trHeight w:val="23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Audit</w:t>
            </w:r>
          </w:p>
        </w:tc>
        <w:tc>
          <w:tcPr>
            <w:tcW w:w="180" w:type="dxa"/>
            <w:vAlign w:val="bottom"/>
          </w:tcPr>
          <w:p>
            <w:pPr>
              <w:spacing w:after="0"/>
              <w:rPr>
                <w:sz w:val="20"/>
                <w:szCs w:val="20"/>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Development</w:t>
            </w:r>
          </w:p>
        </w:tc>
        <w:tc>
          <w:tcPr>
            <w:tcW w:w="16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r>
      <w:tr>
        <w:trPr>
          <w:trHeight w:val="207"/>
        </w:trPr>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Johnson</w:t>
            </w:r>
          </w:p>
        </w:tc>
        <w:tc>
          <w:tcPr>
            <w:tcW w:w="180" w:type="dxa"/>
            <w:vAlign w:val="bottom"/>
            <w:shd w:val="clear" w:color="auto" w:fill="CCEEFF"/>
          </w:tcPr>
          <w:p>
            <w:pPr>
              <w:spacing w:after="0"/>
              <w:rPr>
                <w:sz w:val="17"/>
                <w:szCs w:val="17"/>
                <w:color w:val="auto"/>
              </w:rPr>
            </w:pP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Giesselman</w:t>
            </w:r>
          </w:p>
        </w:tc>
        <w:tc>
          <w:tcPr>
            <w:tcW w:w="16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Doar</w:t>
            </w:r>
          </w:p>
        </w:tc>
      </w:tr>
      <w:tr>
        <w:trPr>
          <w:trHeight w:val="21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Doar</w:t>
            </w:r>
          </w:p>
        </w:tc>
        <w:tc>
          <w:tcPr>
            <w:tcW w:w="1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Doar</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Giesselman</w:t>
            </w:r>
          </w:p>
        </w:tc>
      </w:tr>
      <w:tr>
        <w:trPr>
          <w:trHeight w:val="213"/>
        </w:trPr>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Giesselman</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Stratton</w:t>
            </w: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Johnson</w:t>
            </w:r>
          </w:p>
        </w:tc>
      </w:tr>
      <w:tr>
        <w:trPr>
          <w:trHeight w:val="21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Smiley</w:t>
            </w:r>
          </w:p>
        </w:tc>
        <w:tc>
          <w:tcPr>
            <w:tcW w:w="1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Zimmer</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Stratton</w:t>
            </w:r>
          </w:p>
        </w:tc>
      </w:tr>
      <w:tr>
        <w:trPr>
          <w:trHeight w:val="213"/>
        </w:trPr>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Zimmer</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The Corporation does not have a formal policy that its Directors attend the Annual Meeting of Shareholders, but they are expected to attend and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w:t>
      </w:r>
    </w:p>
    <w:p>
      <w:pPr>
        <w:spacing w:after="0" w:line="224"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63" w:lineRule="exact"/>
        <w:rPr>
          <w:sz w:val="20"/>
          <w:szCs w:val="20"/>
          <w:color w:val="auto"/>
        </w:rPr>
      </w:pPr>
    </w:p>
    <w:p>
      <w:pPr>
        <w:ind w:firstLine="7"/>
        <w:spacing w:after="0" w:line="277" w:lineRule="auto"/>
        <w:tabs>
          <w:tab w:leader="none" w:pos="5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Racine, WI 53403</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Chairman of the Board of Directors</w:t>
      </w:r>
    </w:p>
    <w:p>
      <w:pPr>
        <w:spacing w:after="0" w:line="201" w:lineRule="exact"/>
        <w:rPr>
          <w:sz w:val="20"/>
          <w:szCs w:val="20"/>
          <w:color w:val="auto"/>
        </w:rPr>
      </w:pPr>
    </w:p>
    <w:p>
      <w:pPr>
        <w:ind w:firstLine="7"/>
        <w:spacing w:after="0" w:line="277" w:lineRule="auto"/>
        <w:tabs>
          <w:tab w:leader="none" w:pos="4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Racine, WI 53403</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[Name of Individual Director]</w:t>
      </w:r>
    </w:p>
    <w:p>
      <w:pPr>
        <w:spacing w:after="0" w:line="20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5" w:name="page26"/>
    <w:bookmarkEnd w:id="25"/>
    <w:p>
      <w:pPr>
        <w:spacing w:after="0" w:line="257" w:lineRule="auto"/>
        <w:rPr>
          <w:sz w:val="20"/>
          <w:szCs w:val="20"/>
          <w:color w:val="auto"/>
        </w:rPr>
      </w:pPr>
      <w:r>
        <w:rPr>
          <w:rFonts w:ascii="Times New Roman" w:cs="Times New Roman" w:eastAsia="Times New Roman" w:hAnsi="Times New Roman"/>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1"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18"/>
          <w:szCs w:val="18"/>
          <w:color w:val="auto"/>
        </w:rPr>
        <w:t>From time to time, the Board may change the process by which stockholders may communicate with the Board or its members. Please refer to the Corporation's website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any changes to this process.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The following discussion describes the material components of compensation paid to the Corporation’s Chief Executive Officer and its two most highly compensated executive officers for the fiscal year ended June 30, 2020 (the “Named Executive Officers”). For the fiscal year ended June 30, 2020, the Named Executive Officers are:</w:t>
      </w:r>
    </w:p>
    <w:p>
      <w:pPr>
        <w:spacing w:after="0" w:line="176" w:lineRule="exact"/>
        <w:rPr>
          <w:sz w:val="20"/>
          <w:szCs w:val="20"/>
          <w:color w:val="auto"/>
        </w:rPr>
      </w:pPr>
    </w:p>
    <w:p>
      <w:pPr>
        <w:ind w:left="680" w:hanging="326"/>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 Batten, Chief Executive Officer;</w:t>
      </w:r>
    </w:p>
    <w:p>
      <w:pPr>
        <w:spacing w:after="0" w:line="25"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Feiertag, President, Chief Operating Officer; and</w:t>
      </w:r>
    </w:p>
    <w:p>
      <w:pPr>
        <w:spacing w:after="0" w:line="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 Knutson, Vice President – Finance, Chief Financial Officer, Treasurer and Secretary.</w:t>
      </w:r>
    </w:p>
    <w:p>
      <w:pPr>
        <w:spacing w:after="0" w:line="2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In the discussion that follows, we will also explain the objectives of our compensation programs, why we pay the compensation we do and how that fits with the Corporation’s commitment to provide value to our shareholders.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Summary</w:t>
      </w:r>
    </w:p>
    <w:p>
      <w:pPr>
        <w:spacing w:after="0" w:line="22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Through the Board’s Compensation and Executive Development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 that are tied to the Corporation’s stock price.</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5" w:right="419" w:bottom="1440" w:gutter="0" w:footer="0" w:header="0"/>
        </w:sectPr>
      </w:pPr>
    </w:p>
    <w:bookmarkStart w:id="26" w:name="page27"/>
    <w:bookmarkEnd w:id="26"/>
    <w:p>
      <w:pPr>
        <w:ind w:right="60"/>
        <w:spacing w:after="0" w:line="307" w:lineRule="auto"/>
        <w:rPr>
          <w:sz w:val="20"/>
          <w:szCs w:val="20"/>
          <w:color w:val="auto"/>
        </w:rPr>
      </w:pPr>
      <w:r>
        <w:rPr>
          <w:rFonts w:ascii="Times New Roman" w:cs="Times New Roman" w:eastAsia="Times New Roman" w:hAnsi="Times New Roman"/>
          <w:sz w:val="17"/>
          <w:szCs w:val="17"/>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40" w:lineRule="exact"/>
        <w:rPr>
          <w:sz w:val="20"/>
          <w:szCs w:val="20"/>
          <w:color w:val="auto"/>
        </w:rPr>
      </w:pPr>
    </w:p>
    <w:p>
      <w:pPr>
        <w:ind w:left="680" w:right="40" w:hanging="326"/>
        <w:spacing w:after="0" w:line="26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176" w:lineRule="exact"/>
        <w:rPr>
          <w:rFonts w:ascii="Times New Roman" w:cs="Times New Roman" w:eastAsia="Times New Roman" w:hAnsi="Times New Roman"/>
          <w:sz w:val="18"/>
          <w:szCs w:val="18"/>
          <w:color w:val="auto"/>
        </w:rPr>
      </w:pPr>
    </w:p>
    <w:p>
      <w:pPr>
        <w:ind w:left="680" w:right="160" w:hanging="326"/>
        <w:spacing w:after="0" w:line="26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p>
      <w:pPr>
        <w:spacing w:after="0" w:line="176" w:lineRule="exact"/>
        <w:rPr>
          <w:rFonts w:ascii="Times New Roman" w:cs="Times New Roman" w:eastAsia="Times New Roman" w:hAnsi="Times New Roman"/>
          <w:sz w:val="18"/>
          <w:szCs w:val="18"/>
          <w:color w:val="auto"/>
        </w:rPr>
      </w:pPr>
    </w:p>
    <w:p>
      <w:pPr>
        <w:ind w:left="680" w:right="140" w:hanging="326"/>
        <w:spacing w:after="0" w:line="277"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stock ownership guidelines for each of its Named Executive Officers, thereby aligning their long-term interests with those of shareholders.</w:t>
      </w:r>
    </w:p>
    <w:p>
      <w:pPr>
        <w:spacing w:after="0" w:line="162" w:lineRule="exact"/>
        <w:rPr>
          <w:rFonts w:ascii="Times New Roman" w:cs="Times New Roman" w:eastAsia="Times New Roman" w:hAnsi="Times New Roman"/>
          <w:sz w:val="18"/>
          <w:szCs w:val="18"/>
          <w:color w:val="auto"/>
        </w:rPr>
      </w:pPr>
    </w:p>
    <w:p>
      <w:pPr>
        <w:ind w:left="680" w:right="60" w:hanging="326"/>
        <w:spacing w:after="0" w:line="26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several years, the Corporation has included earnings per share as one of the performance goals in its long-term incentive awards. The Corporation also promoted additional equity ownership beyond the performance period for the long-term incentive awards by including performance stock as long-term incentive awards in FY2020.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also maintains compensation practices that it believes are consistent with good governance. For example:</w:t>
      </w:r>
    </w:p>
    <w:p>
      <w:pPr>
        <w:spacing w:after="0" w:line="220" w:lineRule="exact"/>
        <w:rPr>
          <w:sz w:val="20"/>
          <w:szCs w:val="20"/>
          <w:color w:val="auto"/>
        </w:rPr>
      </w:pPr>
    </w:p>
    <w:p>
      <w:pPr>
        <w:ind w:left="680" w:right="420" w:hanging="326"/>
        <w:spacing w:after="0" w:line="27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62" w:lineRule="exact"/>
        <w:rPr>
          <w:rFonts w:ascii="Times New Roman" w:cs="Times New Roman" w:eastAsia="Times New Roman" w:hAnsi="Times New Roman"/>
          <w:sz w:val="18"/>
          <w:szCs w:val="18"/>
          <w:color w:val="auto"/>
        </w:rPr>
      </w:pPr>
    </w:p>
    <w:p>
      <w:pPr>
        <w:ind w:left="680" w:hanging="326"/>
        <w:spacing w:after="0" w:line="284" w:lineRule="auto"/>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and the listing standards of the NASDAQ Stock Market, and provides mechanisms for the Corporation to enforce its recovery rights.</w:t>
      </w:r>
    </w:p>
    <w:p>
      <w:pPr>
        <w:spacing w:after="0" w:line="159" w:lineRule="exact"/>
        <w:rPr>
          <w:rFonts w:ascii="Times New Roman" w:cs="Times New Roman" w:eastAsia="Times New Roman" w:hAnsi="Times New Roman"/>
          <w:sz w:val="17"/>
          <w:szCs w:val="17"/>
          <w:color w:val="auto"/>
        </w:rPr>
      </w:pPr>
    </w:p>
    <w:p>
      <w:pPr>
        <w:ind w:left="680" w:right="440" w:hanging="326"/>
        <w:spacing w:after="0" w:line="307" w:lineRule="auto"/>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40" w:lineRule="exact"/>
        <w:rPr>
          <w:rFonts w:ascii="Times New Roman" w:cs="Times New Roman" w:eastAsia="Times New Roman" w:hAnsi="Times New Roman"/>
          <w:sz w:val="17"/>
          <w:szCs w:val="17"/>
          <w:color w:val="auto"/>
        </w:rPr>
      </w:pPr>
    </w:p>
    <w:p>
      <w:pPr>
        <w:ind w:left="680" w:right="320" w:hanging="326"/>
        <w:spacing w:after="0" w:line="27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considers internal pay equity when making compensation decisions, that is, whether employees within the Corporation are paid fairly relative to each other given their duties, experience and performance.</w:t>
      </w:r>
    </w:p>
    <w:p>
      <w:pPr>
        <w:spacing w:after="0" w:line="162"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Corporate Incentive Plan is performance-based and has caps on bonus payments.</w:t>
      </w:r>
    </w:p>
    <w:p>
      <w:pPr>
        <w:spacing w:after="0" w:line="219"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annually evaluates the Corporation’s compensation programs to ensure that they do not encourage unnecessary risk-taking.</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27" w:name="page28"/>
    <w:bookmarkEnd w:id="27"/>
    <w:p>
      <w:pPr>
        <w:ind w:right="240"/>
        <w:spacing w:after="0" w:line="277" w:lineRule="auto"/>
        <w:rPr>
          <w:sz w:val="20"/>
          <w:szCs w:val="20"/>
          <w:color w:val="auto"/>
        </w:rPr>
      </w:pPr>
      <w:r>
        <w:rPr>
          <w:rFonts w:ascii="Times New Roman" w:cs="Times New Roman" w:eastAsia="Times New Roman" w:hAnsi="Times New Roman"/>
          <w:sz w:val="18"/>
          <w:szCs w:val="18"/>
          <w:color w:val="auto"/>
        </w:rPr>
        <w:t>The following provides a brief overview of the highlights of the compensation received by the Corporation’s Named Executive Officers for the fiscal year that ended June 30, 2020:</w:t>
      </w:r>
    </w:p>
    <w:p>
      <w:pPr>
        <w:spacing w:after="0" w:line="163" w:lineRule="exact"/>
        <w:rPr>
          <w:sz w:val="20"/>
          <w:szCs w:val="20"/>
          <w:color w:val="auto"/>
        </w:rPr>
      </w:pPr>
    </w:p>
    <w:p>
      <w:pPr>
        <w:ind w:left="680" w:right="260" w:hanging="326"/>
        <w:spacing w:after="0" w:line="277"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beginning of FY2020, the Committee did not approve any increases to the base salaries of the Named Executive Officers. In addition, the Named Executive Officers took temporary pay reductions during parts of the third and fourth quarters of FY2020.</w:t>
      </w:r>
    </w:p>
    <w:p>
      <w:pPr>
        <w:spacing w:after="0" w:line="162" w:lineRule="exact"/>
        <w:rPr>
          <w:rFonts w:ascii="Times New Roman" w:cs="Times New Roman" w:eastAsia="Times New Roman" w:hAnsi="Times New Roman"/>
          <w:sz w:val="18"/>
          <w:szCs w:val="18"/>
          <w:color w:val="auto"/>
        </w:rPr>
      </w:pPr>
    </w:p>
    <w:p>
      <w:pPr>
        <w:ind w:left="680" w:right="160" w:hanging="326"/>
        <w:spacing w:after="0" w:line="277"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suspended its annual Corporate Incentive Program for FY2020 due to the decline in oil and gas prices and the global COVID-19 pandemic, which both impacted the financial performance of the Corporation.</w:t>
      </w:r>
    </w:p>
    <w:p>
      <w:pPr>
        <w:spacing w:after="0" w:line="162" w:lineRule="exact"/>
        <w:rPr>
          <w:rFonts w:ascii="Times New Roman" w:cs="Times New Roman" w:eastAsia="Times New Roman" w:hAnsi="Times New Roman"/>
          <w:sz w:val="18"/>
          <w:szCs w:val="18"/>
          <w:color w:val="auto"/>
        </w:rPr>
      </w:pPr>
    </w:p>
    <w:p>
      <w:pPr>
        <w:ind w:left="680" w:right="80" w:hanging="326"/>
        <w:spacing w:after="0" w:line="284" w:lineRule="auto"/>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achieved 56.3% of its cumulative Average Return on Invested Capital goal (weighted 40%), 150.0% on its cumulative average sales revenue goal (weighted 30%), and 0.0% on its average earnings per share (weighted 30%) goals for performance stock granted in 2017 under the Twin Disc, Incorporated 2010 Long-Term Incentive Compensation Plan. As a result, the performance stock awards vested at 67.5% of target.</w:t>
      </w:r>
    </w:p>
    <w:p>
      <w:pPr>
        <w:spacing w:after="0" w:line="16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the Corporation held its shareholder advisory vote on executive compensation at its October 31, 2019, Annual Meeting of Shareholders. The shareholders overwhelmingly approved the say on pay proposal, with more than 95% of the votes cast in favor of the compensation paid to the Corporation’s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Philosophy and Objectives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8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key elements of our executive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Corporation believes that its executive officers should hold a meaningful stake in Twin Disc in order to align their economic interests with those of the shareholders. To that end, the Corporation has had stock ownership guidelines in place for over a decade. Stock ownership targets are equal to five times annual base salary for the CEO, two times annual base salary for the CFO and President/COO, and one times annual base salary for the remainder of the executive officer team. Executive officers have a period of four years to attain their targeted ownership level. The Committee monitors compliance with this guideline, using its discretion to address non-attainment issues. Compliance is reviewed annually.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28" w:name="page29"/>
    <w:bookmarkEnd w:id="28"/>
    <w:p>
      <w:pPr>
        <w:ind w:right="60"/>
        <w:spacing w:after="0" w:line="251" w:lineRule="auto"/>
        <w:rPr>
          <w:sz w:val="20"/>
          <w:szCs w:val="20"/>
          <w:color w:val="auto"/>
        </w:rPr>
      </w:pPr>
      <w:r>
        <w:rPr>
          <w:rFonts w:ascii="Times New Roman" w:cs="Times New Roman" w:eastAsia="Times New Roman" w:hAnsi="Times New Roman"/>
          <w:sz w:val="18"/>
          <w:szCs w:val="18"/>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9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Setting Executive Compensation</w:t>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76"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The Committee looks to establish each element of total direct compensation (i.e., base salary, annual incentive compensation, and the annualized value of long-term incentive compensation granted during the year) near the market median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companies of a similar size and industry. The Committee believes an executive’s target compensation is competitive if it falls within a band of plus or minus 15% from the competitive median of data. Because a large portion of each executive’s long-term incentive compensation package consists of performance awards, actual payments of long term incentive compensation and total direct compensation in any given year may fall significantly above or below the market median, based on the performance of the Corporation.</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Committee periodically engages an independent consultant to review its compensation program for the executive officers of the Corporation, in order to provide information regarding market median compensation levels and the blend of short-term compensation to long-term types of compensation. Historically, a compensation consultant has been engaged to conduct a detailed review of competitive compensation data every two years.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5" w:right="399" w:bottom="1440" w:gutter="0" w:footer="0" w:header="0"/>
        </w:sectPr>
      </w:pPr>
    </w:p>
    <w:bookmarkStart w:id="29" w:name="page30"/>
    <w:bookmarkEnd w:id="29"/>
    <w:p>
      <w:pPr>
        <w:jc w:val="both"/>
        <w:ind w:right="220"/>
        <w:spacing w:after="0" w:line="251" w:lineRule="auto"/>
        <w:rPr>
          <w:sz w:val="20"/>
          <w:szCs w:val="20"/>
          <w:color w:val="auto"/>
        </w:rPr>
      </w:pPr>
      <w:r>
        <w:rPr>
          <w:rFonts w:ascii="Times New Roman" w:cs="Times New Roman" w:eastAsia="Times New Roman" w:hAnsi="Times New Roman"/>
          <w:sz w:val="18"/>
          <w:szCs w:val="18"/>
          <w:color w:val="auto"/>
        </w:rPr>
        <w:t>For FY2020, the Committee engaged Willis Towers Watson, a global human resources firm, to conduct a review of competitive compensation levels for the CEO and CFO for similar positions in similar industries. For this analysis, Willis Towers Watson referenced published data sources, reflecting a market sample of companies consistent with Twin Disc’s industry and size. The benchmark for CEO compensation was obtained from the 2017 Willis Towers Watson CDB Executive Compensation Survey (CDB) and the 2017 Willis Towers Watson CSR Top Management Compensation Survey. Relative to each of these data sources, Willis Towers Watson referenced a broad sample of both general industry companies with revenues of less than $1 billion (CDB survey) and durable goods manufacturing companies with revenues between $100 million and $450 million (U.S. Top Management Compensation Study). Market data was adjusted to reflect a revenue scope of approximately $241 million. The benchmark for CFO compensation was based on the 2019 Willis Towers Watson For Profit General Industry Executive Survey, with data adjusted to reflect revenues of $241 million.</w:t>
      </w:r>
    </w:p>
    <w:p>
      <w:pPr>
        <w:spacing w:after="0" w:line="190"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The Committee received information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percentiles of each element of executive compensation for comparable executive positions. The Committee did not consider any specific peer group of companies when making competitive comparisons or compensation decisions, and the Committee did not specify targeted individual companies from among the Willis Towers Watson survey participants.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81" w:lineRule="exact"/>
        <w:rPr>
          <w:sz w:val="20"/>
          <w:szCs w:val="20"/>
          <w:color w:val="auto"/>
        </w:rPr>
      </w:pPr>
    </w:p>
    <w:p>
      <w:pPr>
        <w:jc w:val="both"/>
        <w:ind w:right="240"/>
        <w:spacing w:after="0" w:line="211" w:lineRule="auto"/>
        <w:rPr>
          <w:sz w:val="20"/>
          <w:szCs w:val="20"/>
          <w:color w:val="auto"/>
        </w:rPr>
      </w:pPr>
      <w:r>
        <w:rPr>
          <w:rFonts w:ascii="Times New Roman" w:cs="Times New Roman" w:eastAsia="Times New Roman" w:hAnsi="Times New Roman"/>
          <w:sz w:val="18"/>
          <w:szCs w:val="18"/>
          <w:color w:val="auto"/>
        </w:rPr>
        <w:t>Base salaries are reviewed each year by the Committee. As discussed above, base salary levels have historically been compared to the market median (i.e.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as determined by using survey data and as determined by external consultants, in order to ensure executives are paid a competitive salary, aiding in attraction and retention.</w:t>
      </w:r>
    </w:p>
    <w:p>
      <w:pPr>
        <w:spacing w:after="0" w:line="19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Base salary adjustments, as may be appropriate, are determined annually and may be based on individual, team or Corporation performance results, as well as other factors including changes to job scope or responsibilities. In addition, 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30" w:name="page31"/>
    <w:bookmarkEnd w:id="30"/>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Committee determines and approves base salary adjustments for the CEO, and approves base salary adjustments for the other members of the executive officer team based on the recommendations from the CEO. Generally, executive base salaries are increased at rates comparable to the increases provided at other comparable companies and are at or near market levels.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Annual Incentive Compensation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spacing w:after="0" w:line="176" w:lineRule="exact"/>
        <w:rPr>
          <w:sz w:val="20"/>
          <w:szCs w:val="20"/>
          <w:color w:val="auto"/>
        </w:rPr>
      </w:pPr>
    </w:p>
    <w:p>
      <w:pPr>
        <w:jc w:val="both"/>
        <w:ind w:right="300"/>
        <w:spacing w:after="0" w:line="284" w:lineRule="auto"/>
        <w:rPr>
          <w:sz w:val="20"/>
          <w:szCs w:val="20"/>
          <w:color w:val="auto"/>
        </w:rPr>
      </w:pPr>
      <w:r>
        <w:rPr>
          <w:rFonts w:ascii="Times New Roman" w:cs="Times New Roman" w:eastAsia="Times New Roman" w:hAnsi="Times New Roman"/>
          <w:sz w:val="17"/>
          <w:szCs w:val="17"/>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business unit or individual goal achievement. In no event may the payout be more than 200% of the target.</w:t>
      </w:r>
    </w:p>
    <w:p>
      <w:pPr>
        <w:spacing w:after="0" w:line="160" w:lineRule="exact"/>
        <w:rPr>
          <w:sz w:val="20"/>
          <w:szCs w:val="20"/>
          <w:color w:val="auto"/>
        </w:rPr>
      </w:pPr>
    </w:p>
    <w:p>
      <w:pPr>
        <w:ind w:right="600"/>
        <w:spacing w:after="0" w:line="262" w:lineRule="auto"/>
        <w:rPr>
          <w:sz w:val="20"/>
          <w:szCs w:val="20"/>
          <w:color w:val="auto"/>
        </w:rPr>
      </w:pPr>
      <w:r>
        <w:rPr>
          <w:rFonts w:ascii="Times New Roman" w:cs="Times New Roman" w:eastAsia="Times New Roman" w:hAnsi="Times New Roman"/>
          <w:sz w:val="18"/>
          <w:szCs w:val="18"/>
          <w:color w:val="auto"/>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22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Twin Disc, Incorporated 2018 Long-Term Incentive Compensation Plan (“LTI Plan”), which was approved by the Corporation’s shareholders at the annual meeting in October 2018, provides for the opportunity for executive officers and key employees of the Corporation (and its subsidiaries) to acquire common stock of the Corporation or cash payments via stock options, stock appreciation rights, restricted stock, restricted stock units, performance stock awards, performance stock unit awards, performance unit awards or dividend equivalent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future values of stock options, performance stock and performance stock units become more unpredictable.</w:t>
      </w:r>
    </w:p>
    <w:p>
      <w:pPr>
        <w:spacing w:after="0" w:line="18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31" w:name="page32"/>
    <w:bookmarkEnd w:id="31"/>
    <w:p>
      <w:pPr>
        <w:spacing w:after="0" w:line="257" w:lineRule="auto"/>
        <w:rPr>
          <w:sz w:val="20"/>
          <w:szCs w:val="20"/>
          <w:color w:val="auto"/>
        </w:rPr>
      </w:pPr>
      <w:r>
        <w:rPr>
          <w:rFonts w:ascii="Times New Roman" w:cs="Times New Roman" w:eastAsia="Times New Roman" w:hAnsi="Times New Roman"/>
          <w:sz w:val="18"/>
          <w:szCs w:val="18"/>
          <w:color w:val="auto"/>
        </w:rPr>
        <w:t>The Committee establishes the vesting criteria, including the performance goals that must be achieved in order for the award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Grants are made at the beginning of each fiscal year, or as determined by the Committee, for the ensuing multi-year cycle period.</w:t>
      </w:r>
    </w:p>
    <w:p>
      <w:pPr>
        <w:spacing w:after="0" w:line="181"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2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Times New Roman" w:cs="Times New Roman" w:eastAsia="Times New Roman" w:hAnsi="Times New Roman"/>
          <w:sz w:val="18"/>
          <w:szCs w:val="18"/>
          <w:i w:val="1"/>
          <w:iCs w:val="1"/>
          <w:color w:val="auto"/>
        </w:rPr>
        <w:t xml:space="preserve">Outstanding Equity Awards at Fiscal Year-End </w:t>
      </w:r>
      <w:r>
        <w:rPr>
          <w:rFonts w:ascii="Times New Roman" w:cs="Times New Roman" w:eastAsia="Times New Roman" w:hAnsi="Times New Roman"/>
          <w:sz w:val="18"/>
          <w:szCs w:val="18"/>
          <w:color w:val="auto"/>
        </w:rPr>
        <w:t>table later in this Executive Compensation discussion.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Personal Benefits and Perquisites</w:t>
      </w:r>
    </w:p>
    <w:p>
      <w:pPr>
        <w:spacing w:after="0" w:line="222" w:lineRule="exact"/>
        <w:rPr>
          <w:sz w:val="20"/>
          <w:szCs w:val="20"/>
          <w:color w:val="auto"/>
        </w:rPr>
      </w:pPr>
    </w:p>
    <w:p>
      <w:pPr>
        <w:jc w:val="both"/>
        <w:ind w:right="700"/>
        <w:spacing w:after="0" w:line="262" w:lineRule="auto"/>
        <w:rPr>
          <w:sz w:val="20"/>
          <w:szCs w:val="20"/>
          <w:color w:val="auto"/>
        </w:rPr>
      </w:pPr>
      <w:r>
        <w:rPr>
          <w:rFonts w:ascii="Times New Roman" w:cs="Times New Roman" w:eastAsia="Times New Roman" w:hAnsi="Times New Roman"/>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5"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following table summarizes the “total compensation” of the Corporation’s Chief Executive Officer, and its two most highly compensated executive officers other than its Chief Executive Officer, for the fiscal year ended June 30, 2020.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320" w:type="dxa"/>
            <w:vAlign w:val="bottom"/>
            <w:tcBorders>
              <w:top w:val="single" w:sz="8" w:color="auto"/>
              <w:left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r>
      <w:tr>
        <w:trPr>
          <w:trHeight w:val="213"/>
        </w:trPr>
        <w:tc>
          <w:tcPr>
            <w:tcW w:w="33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100" w:type="dxa"/>
            <w:vAlign w:val="bottom"/>
            <w:tcBorders>
              <w:right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8"/>
              </w:rPr>
              <w:t>Non-Equity</w:t>
            </w:r>
          </w:p>
        </w:tc>
        <w:tc>
          <w:tcPr>
            <w:tcW w:w="260" w:type="dxa"/>
            <w:vAlign w:val="bottom"/>
          </w:tcPr>
          <w:p>
            <w:pPr>
              <w:spacing w:after="0"/>
              <w:rPr>
                <w:sz w:val="18"/>
                <w:szCs w:val="18"/>
                <w:color w:val="auto"/>
              </w:rPr>
            </w:pPr>
          </w:p>
        </w:tc>
        <w:tc>
          <w:tcPr>
            <w:tcW w:w="1060" w:type="dxa"/>
            <w:vAlign w:val="bottom"/>
            <w:tcBorders>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6"/>
              </w:rPr>
              <w:t>All Other</w:t>
            </w:r>
          </w:p>
        </w:tc>
        <w:tc>
          <w:tcPr>
            <w:tcW w:w="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3"/>
        </w:trPr>
        <w:tc>
          <w:tcPr>
            <w:tcW w:w="33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7"/>
              </w:rPr>
              <w:t>Stock</w:t>
            </w:r>
          </w:p>
        </w:tc>
        <w:tc>
          <w:tcPr>
            <w:tcW w:w="1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Incentive Plan</w:t>
            </w:r>
          </w:p>
        </w:tc>
        <w:tc>
          <w:tcPr>
            <w:tcW w:w="260" w:type="dxa"/>
            <w:vAlign w:val="bottom"/>
          </w:tcPr>
          <w:p>
            <w:pPr>
              <w:spacing w:after="0"/>
              <w:rPr>
                <w:sz w:val="18"/>
                <w:szCs w:val="18"/>
                <w:color w:val="auto"/>
              </w:rPr>
            </w:pPr>
          </w:p>
        </w:tc>
        <w:tc>
          <w:tcPr>
            <w:tcW w:w="1060" w:type="dxa"/>
            <w:vAlign w:val="bottom"/>
            <w:tcBorders>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8"/>
              </w:rPr>
              <w:t>Compen-</w:t>
            </w:r>
          </w:p>
        </w:tc>
        <w:tc>
          <w:tcPr>
            <w:tcW w:w="3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29"/>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12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Year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Salary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color w:val="auto"/>
                <w:w w:val="96"/>
              </w:rPr>
              <w:t>Awards</w:t>
            </w:r>
          </w:p>
        </w:tc>
        <w:tc>
          <w:tcPr>
            <w:tcW w:w="13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rPr>
              <w:t>sation</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3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H. Batten</w:t>
            </w:r>
          </w:p>
        </w:tc>
        <w:tc>
          <w:tcPr>
            <w:tcW w:w="12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589,616</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1,109,281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116,910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1,815,807</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w:t>
            </w:r>
          </w:p>
        </w:tc>
        <w:tc>
          <w:tcPr>
            <w:tcW w:w="12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576,924</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943,385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360,000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143,398</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2,023,707</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E. Feiertag</w:t>
            </w:r>
          </w:p>
        </w:tc>
        <w:tc>
          <w:tcPr>
            <w:tcW w:w="12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432,232</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428,031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43,450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903,713</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Chief Operating</w:t>
            </w: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12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347,981</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341,898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31,847</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721,726</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 – Finance,</w:t>
            </w:r>
          </w:p>
        </w:tc>
        <w:tc>
          <w:tcPr>
            <w:tcW w:w="12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343,346</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304,212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140,140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33,403</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821,101</w:t>
            </w:r>
          </w:p>
        </w:tc>
      </w:tr>
      <w:tr>
        <w:trPr>
          <w:trHeight w:val="207"/>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CFO, Treasurer and Sec’y</w:t>
            </w:r>
          </w:p>
        </w:tc>
        <w:tc>
          <w:tcPr>
            <w:tcW w:w="1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ind w:left="360" w:right="160" w:hanging="353"/>
        <w:spacing w:after="0" w:line="271" w:lineRule="auto"/>
        <w:tabs>
          <w:tab w:leader="none" w:pos="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FY2020, assuming the maximum performance goals are achieved, are as follows: Mr. Batten, $937,582; Mr. Feiertag, $321,023; and Mr. Knutson, $226,177. These calculations are based on the closing share price on the date of grant of $11.43 for those awards granted to Messrs. Feiertag and Knutson on August 1, 2019, and the closing share price on the date of grant of $10.76 for those awards granted to Messrs. Batten and Knutson on October 31, 2019.</w:t>
      </w:r>
    </w:p>
    <w:p>
      <w:pPr>
        <w:spacing w:after="0" w:line="170" w:lineRule="exact"/>
        <w:rPr>
          <w:sz w:val="20"/>
          <w:szCs w:val="20"/>
          <w:color w:val="auto"/>
        </w:rPr>
      </w:pPr>
    </w:p>
    <w:p>
      <w:pPr>
        <w:ind w:left="280" w:right="220"/>
        <w:spacing w:after="0" w:line="277" w:lineRule="auto"/>
        <w:rPr>
          <w:sz w:val="20"/>
          <w:szCs w:val="20"/>
          <w:color w:val="auto"/>
        </w:rPr>
      </w:pPr>
      <w:r>
        <w:rPr>
          <w:rFonts w:ascii="Times New Roman" w:cs="Times New Roman" w:eastAsia="Times New Roman" w:hAnsi="Times New Roman"/>
          <w:sz w:val="18"/>
          <w:szCs w:val="18"/>
          <w:color w:val="auto"/>
        </w:rPr>
        <w:t>The following table presents separately the compensation expense recognized in FY2020 and in FY2019 for outstanding awards of performance stock, restricted stock and restricted stock units for Messrs. Batten, Feiertag, and Knutson.</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120" w:type="dxa"/>
            <w:vAlign w:val="bottom"/>
            <w:tcBorders>
              <w:top w:val="single" w:sz="8" w:color="auto"/>
              <w:left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99"/>
              </w:rPr>
              <w:t>Restricted Stock</w:t>
            </w:r>
          </w:p>
        </w:tc>
      </w:tr>
      <w:tr>
        <w:trPr>
          <w:trHeight w:val="249"/>
        </w:trPr>
        <w:tc>
          <w:tcPr>
            <w:tcW w:w="4120" w:type="dxa"/>
            <w:vAlign w:val="bottom"/>
            <w:tcBorders>
              <w:left w:val="single" w:sz="8" w:color="auto"/>
              <w:bottom w:val="single" w:sz="8" w:color="auto"/>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2080" w:type="dxa"/>
            <w:vAlign w:val="bottom"/>
            <w:tcBorders>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Year</w:t>
            </w:r>
          </w:p>
        </w:tc>
        <w:tc>
          <w:tcPr>
            <w:tcW w:w="1720" w:type="dxa"/>
            <w:vAlign w:val="bottom"/>
            <w:tcBorders>
              <w:bottom w:val="single" w:sz="8" w:color="auto"/>
              <w:right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Performance Stock</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Units</w:t>
            </w:r>
          </w:p>
        </w:tc>
      </w:tr>
      <w:tr>
        <w:trPr>
          <w:trHeight w:val="190"/>
        </w:trPr>
        <w:tc>
          <w:tcPr>
            <w:tcW w:w="4120" w:type="dxa"/>
            <w:vAlign w:val="bottom"/>
            <w:tcBorders>
              <w:bottom w:val="single" w:sz="8" w:color="auto"/>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John H. Batten</w:t>
            </w:r>
          </w:p>
        </w:tc>
        <w:tc>
          <w:tcPr>
            <w:tcW w:w="2080" w:type="dxa"/>
            <w:vAlign w:val="bottom"/>
            <w:tcBorders>
              <w:bottom w:val="single" w:sz="8" w:color="auto"/>
              <w:right w:val="single" w:sz="8" w:color="auto"/>
            </w:tcBorders>
          </w:tcPr>
          <w:p>
            <w:pPr>
              <w:ind w:left="860"/>
              <w:spacing w:after="0" w:line="190" w:lineRule="exact"/>
              <w:rPr>
                <w:sz w:val="20"/>
                <w:szCs w:val="20"/>
                <w:color w:val="auto"/>
              </w:rPr>
            </w:pPr>
            <w:r>
              <w:rPr>
                <w:rFonts w:ascii="Times New Roman" w:cs="Times New Roman" w:eastAsia="Times New Roman" w:hAnsi="Times New Roman"/>
                <w:sz w:val="18"/>
                <w:szCs w:val="18"/>
                <w:color w:val="auto"/>
              </w:rPr>
              <w:t>2020</w:t>
            </w:r>
          </w:p>
        </w:tc>
        <w:tc>
          <w:tcPr>
            <w:tcW w:w="580" w:type="dxa"/>
            <w:vAlign w:val="bottom"/>
            <w:tcBorders>
              <w:bottom w:val="single" w:sz="8" w:color="auto"/>
            </w:tcBorders>
          </w:tcPr>
          <w:p>
            <w:pPr>
              <w:jc w:val="right"/>
              <w:ind w:right="291"/>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(158,041)</w:t>
            </w:r>
          </w:p>
        </w:tc>
        <w:tc>
          <w:tcPr>
            <w:tcW w:w="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Times New Roman" w:cs="Times New Roman" w:eastAsia="Times New Roman" w:hAnsi="Times New Roman"/>
                <w:sz w:val="18"/>
                <w:szCs w:val="18"/>
                <w:color w:val="auto"/>
              </w:rPr>
              <w:t>224,846</w:t>
            </w:r>
          </w:p>
        </w:tc>
        <w:tc>
          <w:tcPr>
            <w:tcW w:w="2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160,002</w:t>
            </w:r>
          </w:p>
        </w:tc>
      </w:tr>
      <w:tr>
        <w:trPr>
          <w:trHeight w:val="207"/>
        </w:trPr>
        <w:tc>
          <w:tcPr>
            <w:tcW w:w="4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2019</w:t>
            </w:r>
          </w:p>
        </w:tc>
        <w:tc>
          <w:tcPr>
            <w:tcW w:w="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469,797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230,972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146,669</w:t>
            </w:r>
          </w:p>
        </w:tc>
      </w:tr>
      <w:tr>
        <w:trPr>
          <w:trHeight w:val="207"/>
        </w:trPr>
        <w:tc>
          <w:tcPr>
            <w:tcW w:w="4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E. Feiertag</w:t>
            </w:r>
          </w:p>
        </w:tc>
        <w:tc>
          <w:tcPr>
            <w:tcW w:w="208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131,669</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4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r>
      <w:tr>
        <w:trPr>
          <w:trHeight w:val="207"/>
        </w:trPr>
        <w:tc>
          <w:tcPr>
            <w:tcW w:w="4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208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101,615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51,672</w:t>
            </w:r>
          </w:p>
        </w:tc>
      </w:tr>
      <w:tr>
        <w:trPr>
          <w:trHeight w:val="207"/>
        </w:trPr>
        <w:tc>
          <w:tcPr>
            <w:tcW w:w="4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2019</w:t>
            </w:r>
          </w:p>
        </w:tc>
        <w:tc>
          <w:tcPr>
            <w:tcW w:w="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188,479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97,345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47,366</w:t>
            </w:r>
          </w:p>
        </w:tc>
      </w:tr>
    </w:tbl>
    <w:p>
      <w:pPr>
        <w:spacing w:after="0" w:line="195" w:lineRule="exact"/>
        <w:rPr>
          <w:sz w:val="20"/>
          <w:szCs w:val="20"/>
          <w:color w:val="auto"/>
        </w:rPr>
      </w:pPr>
    </w:p>
    <w:p>
      <w:pPr>
        <w:ind w:left="360" w:right="220" w:hanging="353"/>
        <w:spacing w:after="0" w:line="307" w:lineRule="auto"/>
        <w:tabs>
          <w:tab w:leader="none" w:pos="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cash bonuses earned in connection with achievement of specific performance targets under the Corporate Incentive Plan, described in the narrative following the Summary Compensation Table. No bonuses were earned in FY2020, as the Corporate Incentive Plan was suspended mid-year.</w:t>
      </w:r>
    </w:p>
    <w:p>
      <w:pPr>
        <w:spacing w:after="0" w:line="140" w:lineRule="exact"/>
        <w:rPr>
          <w:rFonts w:ascii="Times New Roman" w:cs="Times New Roman" w:eastAsia="Times New Roman" w:hAnsi="Times New Roman"/>
          <w:sz w:val="17"/>
          <w:szCs w:val="17"/>
          <w:color w:val="auto"/>
        </w:rPr>
      </w:pPr>
    </w:p>
    <w:p>
      <w:pPr>
        <w:ind w:left="360" w:hanging="353"/>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the following for each of the Named Executive Officers: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08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Retirement</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Defined</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96"/>
              </w:rPr>
              <w:t>Tax Gross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r>
      <w:tr>
        <w:trPr>
          <w:trHeight w:val="213"/>
        </w:trPr>
        <w:tc>
          <w:tcPr>
            <w:tcW w:w="108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401(k)</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8"/>
              </w:rPr>
              <w:t>Savings</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9"/>
              </w:rPr>
              <w:t>Contribu-</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Up on</w:t>
            </w:r>
          </w:p>
        </w:tc>
        <w:tc>
          <w:tcPr>
            <w:tcW w:w="14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Perquisites and</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3"/>
        </w:trPr>
        <w:tc>
          <w:tcPr>
            <w:tcW w:w="108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Company</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Plan</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tion</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Life</w:t>
            </w:r>
          </w:p>
        </w:tc>
        <w:tc>
          <w:tcPr>
            <w:tcW w:w="10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Housing</w:t>
            </w:r>
          </w:p>
        </w:tc>
        <w:tc>
          <w:tcPr>
            <w:tcW w:w="1100" w:type="dxa"/>
            <w:vAlign w:val="bottom"/>
            <w:tcBorders>
              <w:right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Relocation</w:t>
            </w: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Relocation</w:t>
            </w:r>
          </w:p>
        </w:tc>
        <w:tc>
          <w:tcPr>
            <w:tcW w:w="300" w:type="dxa"/>
            <w:vAlign w:val="bottom"/>
          </w:tcPr>
          <w:p>
            <w:pPr>
              <w:spacing w:after="0"/>
              <w:rPr>
                <w:sz w:val="18"/>
                <w:szCs w:val="18"/>
                <w:color w:val="auto"/>
              </w:rPr>
            </w:pPr>
          </w:p>
        </w:tc>
        <w:tc>
          <w:tcPr>
            <w:tcW w:w="1100" w:type="dxa"/>
            <w:vAlign w:val="bottom"/>
            <w:tcBorders>
              <w:right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6"/>
              </w:rPr>
              <w:t>Personal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9"/>
        </w:trPr>
        <w:tc>
          <w:tcPr>
            <w:tcW w:w="1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5"/>
              </w:rPr>
              <w:t>Match</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Contribution</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SERP</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4"/>
              </w:rPr>
              <w:t>Insurance</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98"/>
              </w:rPr>
              <w:t>Benefit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98"/>
              </w:rPr>
              <w:t>Expense</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6"/>
              </w:rPr>
              <w:t>Benefits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1080" w:type="dxa"/>
            <w:vAlign w:val="bottom"/>
            <w:tcBorders>
              <w:bottom w:val="single" w:sz="8" w:color="auto"/>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J.H. Batten</w:t>
            </w:r>
          </w:p>
        </w:tc>
        <w:tc>
          <w:tcPr>
            <w:tcW w:w="1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6,096</w:t>
            </w:r>
          </w:p>
        </w:tc>
        <w:tc>
          <w:tcPr>
            <w:tcW w:w="2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18,200</w:t>
            </w:r>
          </w:p>
        </w:tc>
        <w:tc>
          <w:tcPr>
            <w:tcW w:w="2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Times New Roman" w:cs="Times New Roman" w:eastAsia="Times New Roman" w:hAnsi="Times New Roman"/>
                <w:sz w:val="18"/>
                <w:szCs w:val="18"/>
                <w:color w:val="auto"/>
              </w:rPr>
              <w:t>45,175</w:t>
            </w:r>
          </w:p>
        </w:tc>
        <w:tc>
          <w:tcPr>
            <w:tcW w:w="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Times New Roman" w:cs="Times New Roman" w:eastAsia="Times New Roman" w:hAnsi="Times New Roman"/>
                <w:sz w:val="18"/>
                <w:szCs w:val="18"/>
                <w:color w:val="auto"/>
              </w:rPr>
              <w:t>29,000</w:t>
            </w:r>
          </w:p>
        </w:tc>
        <w:tc>
          <w:tcPr>
            <w:tcW w:w="260" w:type="dxa"/>
            <w:vAlign w:val="bottom"/>
            <w:tcBorders>
              <w:bottom w:val="single" w:sz="8" w:color="auto"/>
            </w:tcBorders>
          </w:tcPr>
          <w:p>
            <w:pPr>
              <w:ind w:left="100"/>
              <w:spacing w:after="0" w:line="19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Times New Roman" w:cs="Times New Roman" w:eastAsia="Times New Roman" w:hAnsi="Times New Roman"/>
                <w:sz w:val="18"/>
                <w:szCs w:val="18"/>
                <w:color w:val="auto"/>
              </w:rPr>
              <w:t>18,439</w:t>
            </w:r>
          </w:p>
        </w:tc>
        <w:tc>
          <w:tcPr>
            <w:tcW w:w="2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116,910</w:t>
            </w:r>
          </w:p>
        </w:tc>
      </w:tr>
      <w:tr>
        <w:trPr>
          <w:trHeight w:val="207"/>
        </w:trPr>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 Feiertag</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6,847</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1,339</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43,450</w:t>
            </w:r>
          </w:p>
        </w:tc>
      </w:tr>
      <w:tr>
        <w:trPr>
          <w:trHeight w:val="207"/>
        </w:trPr>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 Knutson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7,077</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24,770</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31,847</w:t>
            </w:r>
          </w:p>
        </w:tc>
      </w:tr>
      <w:tr>
        <w:trPr>
          <w:trHeight w:val="421"/>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33</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3"/>
        </w:trPr>
        <w:tc>
          <w:tcPr>
            <w:tcW w:w="10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33" w:name="page34"/>
    <w:bookmarkEnd w:id="33"/>
    <w:p>
      <w:pPr>
        <w:ind w:left="280" w:right="360"/>
        <w:spacing w:after="0" w:line="277" w:lineRule="auto"/>
        <w:rPr>
          <w:sz w:val="20"/>
          <w:szCs w:val="20"/>
          <w:color w:val="auto"/>
        </w:rPr>
      </w:pPr>
      <w:r>
        <w:rPr>
          <w:rFonts w:ascii="Times New Roman" w:cs="Times New Roman" w:eastAsia="Times New Roman" w:hAnsi="Times New Roman"/>
          <w:sz w:val="18"/>
          <w:szCs w:val="18"/>
          <w:color w:val="auto"/>
        </w:rPr>
        <w:t>The Corporation’s Supplemental Executive Retirement Plan (“SERP”) was restated during FY2011 to provide a defined contribution formula for the benefits of Mr. Batten. Messrs. Feiertag and Knutson do not participate in the SERP.</w:t>
      </w:r>
    </w:p>
    <w:p>
      <w:pPr>
        <w:spacing w:after="0" w:line="163" w:lineRule="exact"/>
        <w:rPr>
          <w:sz w:val="20"/>
          <w:szCs w:val="20"/>
          <w:color w:val="auto"/>
        </w:rPr>
      </w:pPr>
    </w:p>
    <w:p>
      <w:pPr>
        <w:ind w:left="280" w:right="100"/>
        <w:spacing w:after="0" w:line="277" w:lineRule="auto"/>
        <w:rPr>
          <w:sz w:val="20"/>
          <w:szCs w:val="20"/>
          <w:color w:val="auto"/>
        </w:rPr>
      </w:pPr>
      <w:r>
        <w:rPr>
          <w:rFonts w:ascii="Times New Roman" w:cs="Times New Roman" w:eastAsia="Times New Roman" w:hAnsi="Times New Roman"/>
          <w:sz w:val="18"/>
          <w:szCs w:val="18"/>
          <w:color w:val="auto"/>
        </w:rPr>
        <w:t>Messrs. Batten and Knutson participate in an endorsement split-dollar life insurance plan. Mr. Feiertag participates in the company-sponsored group life insurance plan.</w:t>
      </w:r>
    </w:p>
    <w:p>
      <w:pPr>
        <w:spacing w:after="0" w:line="163" w:lineRule="exact"/>
        <w:rPr>
          <w:sz w:val="20"/>
          <w:szCs w:val="20"/>
          <w:color w:val="auto"/>
        </w:rPr>
      </w:pPr>
    </w:p>
    <w:p>
      <w:pPr>
        <w:ind w:left="280" w:right="120"/>
        <w:spacing w:after="0" w:line="257" w:lineRule="auto"/>
        <w:rPr>
          <w:sz w:val="20"/>
          <w:szCs w:val="20"/>
          <w:color w:val="auto"/>
        </w:rPr>
      </w:pPr>
      <w:r>
        <w:rPr>
          <w:rFonts w:ascii="Times New Roman" w:cs="Times New Roman" w:eastAsia="Times New Roman" w:hAnsi="Times New Roman"/>
          <w:sz w:val="18"/>
          <w:szCs w:val="18"/>
          <w:color w:val="auto"/>
        </w:rPr>
        <w:t>Perquisites and Personal Benefits for Mr. Batten for FY2020 consist of personal use of the company plane ($12,239), personal use of the company boat, supplemental long-term disability premiums, and country club dues. The aggregate total of perquisites and personal benefits for each of the remaining Named Executive Officers was less than $10,000 for FY2020, and therefore need not be disclosed or included in such Named Executive Officers’ “All Other Compensation” total.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For FY2020, the Committee initially maintained the base salaries of the Named Executive Officers at their FY2019 levels. In February 2020, the base salaries of Messrs. Batten and Feiertag were reduced by 5%. In April 2020, the base salaries of all Named Executive Officers were reduced by a total 15%, based on their beginning FY2020 base salary, as part of a company-wide cost reduction action. The base salaries of all Named Executive Officers were restored in May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Awards Granted in FY2020</w:t>
      </w:r>
    </w:p>
    <w:p>
      <w:pPr>
        <w:spacing w:after="0" w:line="22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amounts in the “Stock Awards” column of the Summary Compensation Table reflect awards made in FY2020 to the Named Executive Officers under the Twin Disc, Incorporated 2018 Long-Term Incentive Compensation Plan. In FY2020, Messrs. Batten, Feiertag and Knutson received awards of performance stock. The Committee determined that the long-term incentive awards granted in FY2020 would use a combination of the following performance goals and weightings for the three-year performance period ending in FY2022: (i) average return on invested capital (40%); average annual sales revenue (30%), and</w:t>
      </w:r>
    </w:p>
    <w:p>
      <w:pPr>
        <w:spacing w:after="0" w:line="3" w:lineRule="exact"/>
        <w:rPr>
          <w:sz w:val="20"/>
          <w:szCs w:val="20"/>
          <w:color w:val="auto"/>
        </w:rPr>
      </w:pPr>
    </w:p>
    <w:p>
      <w:pPr>
        <w:ind w:right="180" w:firstLine="7"/>
        <w:spacing w:after="0" w:line="255" w:lineRule="auto"/>
        <w:tabs>
          <w:tab w:leader="none" w:pos="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earnings per share (30%). In addition, the possible range of long-term incentive payments for each performance goal was established as 50% - 150% of the target. These shares will vest on June 30, 2022 if the specific measures are achieved within the payout range.</w:t>
      </w:r>
    </w:p>
    <w:p>
      <w:pPr>
        <w:spacing w:after="0" w:line="182"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In order to incent and retain the Corporation’s executives, restricted stock units were also granted to Messrs. Batten, Feiertag and Knutson in FY2020. The restricted stock awards granted to Mr. Batten will vest on October 31, 2022, the restricted stock awards granted to Mr. Feiertag will vest on August 1, 2022, and the restricted stock awards granted to Mr. Knutson vest on August 1, 2022 and October 31, 2022, provided the executives remain employed with the Corporation until the vesting dates.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Non-Equity Incentive Plan Compensation</w:t>
      </w:r>
    </w:p>
    <w:p>
      <w:pPr>
        <w:spacing w:after="0" w:line="2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amounts in the “Non-Equity Incentive Plan Compensation” column of the Summary Compensation Table reflect cash bonuses earned in connection with achievement of specific performance targets under the Corporate Incentive Plan (“CIP”). For FY2020, the target bonuses as a percentage of base salary were set at 75% for Mr. Batten, 60% for Mr. Feiertag and 55% for Mr. Knutson.. The CIP targets for the Named Executive Officers were based on a combination of EBITDA, trade working capital, and sales revenue goals, as well as on achievement of individual strategic objectives. In the third quarter of FY2020, however, the Corporation canceled the CIP for FY2020 based on the performance of the Corporation, and no amounts were earned or paid out under the CIP for the fiscal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Decisions Made by the Committee in FY2021</w:t>
      </w:r>
    </w:p>
    <w:p>
      <w:pPr>
        <w:spacing w:after="0" w:line="22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Since the end of FY2020, the Committee has taken the following actions with respect to the base salary, annual incentive compensation, and long-term incentive compensation for its Named Executive Officers.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At their meeting in August 2020, the Committee decided to maintain base salaries at their current levels. However, effective August 10, 2020, the base salaries of Messrs. Batten, Feiertag, and Knutson were temporarily reduced by 15%, as part of a temporary Company-wide salary reduction applicable to all US-based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Incentive Compensation</w:t>
      </w:r>
    </w:p>
    <w:p>
      <w:pPr>
        <w:spacing w:after="0" w:line="220"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In August 2020, the Committee reviewed and approved the performance goals recommended for the CIP for FY2021. The CIP will pay out if certain EBITDA, Free Cash Flow and strategic objectives are achieved for FY 2021. The Committee maintained the FY2020 target bonus percentages (as a percentage of base salary) for each of the Named Executive Officers for FY2021.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Incentive Compensation</w:t>
      </w:r>
    </w:p>
    <w:p>
      <w:pPr>
        <w:spacing w:after="0" w:line="22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In August 2020, the Committee reviewed the performance objective established in August of 2017 for the vesting of performance stock granted in August 2017 under the Twin Disc, Incorporated 2010 Long-Term Incentive Compensation Plan. The objective is listed below:</w:t>
      </w:r>
    </w:p>
    <w:p>
      <w:pPr>
        <w:spacing w:after="0" w:line="16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Performance Objective: Average Return on Invested Capital (also called Average Return on Total Capital), Average Sales Revenue and Average Annual Earnings Per Share for the three fiscal years ending 6/30/20 at the achievement levels specified below. Average Return on Invested Capital was weighted at 40% and Average Sales Revenue and Average Annual Earnings Per Share are each weighted at 30% of the performance objective.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 of Objective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38035" cy="292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29210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2020</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180" w:type="dxa"/>
            <w:vAlign w:val="bottom"/>
            <w:tcBorders>
              <w:top w:val="single" w:sz="8" w:color="auto"/>
              <w:left w:val="single" w:sz="8" w:color="auto"/>
              <w:right w:val="single" w:sz="8" w:color="auto"/>
            </w:tcBorders>
          </w:tcPr>
          <w:p>
            <w:pPr>
              <w:spacing w:after="0"/>
              <w:rPr>
                <w:sz w:val="16"/>
                <w:szCs w:val="16"/>
                <w:color w:val="auto"/>
              </w:rPr>
            </w:pPr>
          </w:p>
        </w:tc>
        <w:tc>
          <w:tcPr>
            <w:tcW w:w="240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Avg. Return on</w:t>
            </w:r>
          </w:p>
        </w:tc>
        <w:tc>
          <w:tcPr>
            <w:tcW w:w="420" w:type="dxa"/>
            <w:vAlign w:val="bottom"/>
            <w:tcBorders>
              <w:top w:val="single" w:sz="8" w:color="auto"/>
            </w:tcBorders>
          </w:tcPr>
          <w:p>
            <w:pPr>
              <w:spacing w:after="0"/>
              <w:rPr>
                <w:sz w:val="16"/>
                <w:szCs w:val="16"/>
                <w:color w:val="auto"/>
              </w:rPr>
            </w:pPr>
          </w:p>
        </w:tc>
        <w:tc>
          <w:tcPr>
            <w:tcW w:w="192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spacing w:after="0"/>
              <w:rPr>
                <w:sz w:val="16"/>
                <w:szCs w:val="16"/>
                <w:color w:val="auto"/>
              </w:rPr>
            </w:pPr>
          </w:p>
        </w:tc>
      </w:tr>
      <w:tr>
        <w:trPr>
          <w:trHeight w:val="213"/>
        </w:trPr>
        <w:tc>
          <w:tcPr>
            <w:tcW w:w="41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Invested Capital</w:t>
            </w:r>
          </w:p>
        </w:tc>
        <w:tc>
          <w:tcPr>
            <w:tcW w:w="420" w:type="dxa"/>
            <w:vAlign w:val="bottom"/>
          </w:tcPr>
          <w:p>
            <w:pPr>
              <w:spacing w:after="0"/>
              <w:rPr>
                <w:sz w:val="18"/>
                <w:szCs w:val="18"/>
                <w:color w:val="auto"/>
              </w:rPr>
            </w:pPr>
          </w:p>
        </w:tc>
        <w:tc>
          <w:tcPr>
            <w:tcW w:w="1920" w:type="dxa"/>
            <w:vAlign w:val="bottom"/>
            <w:tcBorders>
              <w:right w:val="single" w:sz="8" w:color="auto"/>
            </w:tcBorders>
          </w:tcPr>
          <w:p>
            <w:pPr>
              <w:jc w:val="center"/>
              <w:ind w:right="311"/>
              <w:spacing w:after="0"/>
              <w:rPr>
                <w:sz w:val="20"/>
                <w:szCs w:val="20"/>
                <w:color w:val="auto"/>
              </w:rPr>
            </w:pPr>
            <w:r>
              <w:rPr>
                <w:rFonts w:ascii="Times New Roman" w:cs="Times New Roman" w:eastAsia="Times New Roman" w:hAnsi="Times New Roman"/>
                <w:sz w:val="18"/>
                <w:szCs w:val="18"/>
                <w:color w:val="auto"/>
                <w:w w:val="96"/>
              </w:rPr>
              <w:t>Average Sales</w:t>
            </w:r>
          </w:p>
        </w:tc>
        <w:tc>
          <w:tcPr>
            <w:tcW w:w="20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13"/>
        </w:trPr>
        <w:tc>
          <w:tcPr>
            <w:tcW w:w="41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(a/k/a Avg. Return on Total</w:t>
            </w:r>
          </w:p>
        </w:tc>
        <w:tc>
          <w:tcPr>
            <w:tcW w:w="420" w:type="dxa"/>
            <w:vAlign w:val="bottom"/>
          </w:tcPr>
          <w:p>
            <w:pPr>
              <w:spacing w:after="0"/>
              <w:rPr>
                <w:sz w:val="18"/>
                <w:szCs w:val="18"/>
                <w:color w:val="auto"/>
              </w:rPr>
            </w:pPr>
          </w:p>
        </w:tc>
        <w:tc>
          <w:tcPr>
            <w:tcW w:w="1920" w:type="dxa"/>
            <w:vAlign w:val="bottom"/>
            <w:tcBorders>
              <w:right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18"/>
                <w:szCs w:val="18"/>
                <w:color w:val="auto"/>
              </w:rPr>
            </w:pPr>
          </w:p>
        </w:tc>
        <w:tc>
          <w:tcPr>
            <w:tcW w:w="2120" w:type="dxa"/>
            <w:vAlign w:val="bottom"/>
            <w:tcBorders>
              <w:right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Avg. Annual</w:t>
            </w:r>
          </w:p>
        </w:tc>
      </w:tr>
      <w:tr>
        <w:trPr>
          <w:trHeight w:val="232"/>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Capital) (40%)</w:t>
            </w:r>
          </w:p>
        </w:tc>
        <w:tc>
          <w:tcPr>
            <w:tcW w:w="4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ind w:right="311"/>
              <w:spacing w:after="0"/>
              <w:rPr>
                <w:sz w:val="20"/>
                <w:szCs w:val="20"/>
                <w:color w:val="auto"/>
              </w:rPr>
            </w:pPr>
            <w:r>
              <w:rPr>
                <w:rFonts w:ascii="Times New Roman" w:cs="Times New Roman" w:eastAsia="Times New Roman" w:hAnsi="Times New Roman"/>
                <w:sz w:val="18"/>
                <w:szCs w:val="18"/>
                <w:color w:val="auto"/>
                <w:w w:val="97"/>
              </w:rPr>
              <w:t>(30%)</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99"/>
              </w:rPr>
              <w:t>Earnings per Share (30%)</w:t>
            </w:r>
          </w:p>
        </w:tc>
      </w:tr>
      <w:tr>
        <w:trPr>
          <w:trHeight w:val="207"/>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195,000,000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0.75</w:t>
            </w:r>
          </w:p>
        </w:tc>
      </w:tr>
      <w:tr>
        <w:trPr>
          <w:trHeight w:val="207"/>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185,000,000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r>
      <w:tr>
        <w:trPr>
          <w:trHeight w:val="207"/>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177,000,000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r>
      <w:tr>
        <w:trPr>
          <w:trHeight w:val="421"/>
        </w:trPr>
        <w:tc>
          <w:tcPr>
            <w:tcW w:w="4180" w:type="dxa"/>
            <w:vAlign w:val="bottom"/>
          </w:tcPr>
          <w:p>
            <w:pPr>
              <w:spacing w:after="0"/>
              <w:rPr>
                <w:sz w:val="24"/>
                <w:szCs w:val="24"/>
                <w:color w:val="auto"/>
              </w:rPr>
            </w:pPr>
          </w:p>
        </w:tc>
        <w:tc>
          <w:tcPr>
            <w:tcW w:w="240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3"/>
        </w:trPr>
        <w:tc>
          <w:tcPr>
            <w:tcW w:w="418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35" w:name="page36"/>
    <w:bookmarkEnd w:id="35"/>
    <w:p>
      <w:pPr>
        <w:spacing w:after="0" w:line="257" w:lineRule="auto"/>
        <w:rPr>
          <w:sz w:val="20"/>
          <w:szCs w:val="20"/>
          <w:color w:val="auto"/>
        </w:rPr>
      </w:pPr>
      <w:r>
        <w:rPr>
          <w:rFonts w:ascii="Times New Roman" w:cs="Times New Roman" w:eastAsia="Times New Roman" w:hAnsi="Times New Roman"/>
          <w:sz w:val="18"/>
          <w:szCs w:val="18"/>
          <w:color w:val="auto"/>
        </w:rPr>
        <w:t>“Average Return on Invested Capital” (also known as Average Return on Total Capital) is defined as the average amount of “Return on Invested Capital” for the three fiscal years of the Performance Period. Return on Invested Capital is measured as Net Operating Profit After Taxes (NOPAT) divided by Invested Capital, where NOPAT equals earnings from operations, less tax, calculated using the actual reported effective tax rate, and Invested Capital equals long-term debt plus shareholders equity.</w:t>
      </w:r>
    </w:p>
    <w:p>
      <w:pPr>
        <w:spacing w:after="0" w:line="18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“Average Sales Revenue” is defined as the average of the amount reported as annual “Net Sales” in the Company’s financial statements for the three fiscal years of the Performance Period.</w:t>
      </w:r>
    </w:p>
    <w:p>
      <w:pPr>
        <w:spacing w:after="0" w:line="163" w:lineRule="exact"/>
        <w:rPr>
          <w:sz w:val="20"/>
          <w:szCs w:val="20"/>
          <w:color w:val="auto"/>
        </w:rPr>
      </w:pPr>
    </w:p>
    <w:p>
      <w:pPr>
        <w:ind w:right="920"/>
        <w:spacing w:after="0" w:line="277" w:lineRule="auto"/>
        <w:rPr>
          <w:sz w:val="20"/>
          <w:szCs w:val="20"/>
          <w:color w:val="auto"/>
        </w:rPr>
      </w:pPr>
      <w:r>
        <w:rPr>
          <w:rFonts w:ascii="Times New Roman" w:cs="Times New Roman" w:eastAsia="Times New Roman" w:hAnsi="Times New Roman"/>
          <w:sz w:val="18"/>
          <w:szCs w:val="18"/>
          <w:color w:val="auto"/>
        </w:rPr>
        <w:t>“Average Earnings Per Share” is defined as the average of the amount reported as “Diluted earnings per share attributable to Twin Disc common shareholders” for the three fiscal years of the performance period.</w:t>
      </w:r>
    </w:p>
    <w:p>
      <w:pPr>
        <w:spacing w:after="0" w:line="16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The Committee determined, subject to audit, that for the three-year period ending June 30, 2020, the Corporation’s Average Return on Invested Capital was 2.63%, the Average Sales Revenue was $263,411,005, and the Average Annual Earnings per share was ($.48). As a result, the Corporation achieved 56.3% of its cumulative Average Return on Invested Capital goal (weighted 40%), 150.0% of its cumulative average sales revenue goal (weighted 30%), and 0.0% of its average earnings per share (weighted 30%) goals for performance stock granted in 2017 under the Twin Disc, Incorporated 2010 Long Term Incentive Compensation Plan. The Committee therefore determined that the performance stock would vest at 67.5% of target.</w:t>
      </w:r>
    </w:p>
    <w:p>
      <w:pPr>
        <w:spacing w:after="0" w:line="18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For FY2021, the awards use a combination of the following performance goals and weightings for the three fiscal year performance period ending June 30, 2023: (i) average return on invested capital (also known as average return on total capital) (40%), (ii) cumulative sales revenue (30%), and (iii) cumulative free cash flow (30%). In addition, the possible range of long-term incentive payments for each performance goal will be 50% - 150% of the target. The Committee awarded only performance stock and restricted stock as long-term incentive awards in FY2021.</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36"/>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27"/>
        </w:trPr>
        <w:tc>
          <w:tcPr>
            <w:tcW w:w="10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provides information on plan-based incentive awards granted to our Named Executive Officers during FY2020.</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1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148"/>
        </w:trPr>
        <w:tc>
          <w:tcPr>
            <w:tcW w:w="1440" w:type="dxa"/>
            <w:vAlign w:val="bottom"/>
            <w:tcBorders>
              <w:left w:val="single" w:sz="8" w:color="auto"/>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Borders>
              <w:right w:val="single" w:sz="8" w:color="auto"/>
            </w:tcBorders>
            <w:gridSpan w:val="5"/>
          </w:tcPr>
          <w:p>
            <w:pPr>
              <w:jc w:val="center"/>
              <w:ind w:right="91"/>
              <w:spacing w:after="0" w:line="148" w:lineRule="exact"/>
              <w:rPr>
                <w:sz w:val="20"/>
                <w:szCs w:val="20"/>
                <w:color w:val="auto"/>
              </w:rPr>
            </w:pPr>
            <w:r>
              <w:rPr>
                <w:rFonts w:ascii="Times New Roman" w:cs="Times New Roman" w:eastAsia="Times New Roman" w:hAnsi="Times New Roman"/>
                <w:sz w:val="17"/>
                <w:szCs w:val="17"/>
                <w:b w:val="1"/>
                <w:bCs w:val="1"/>
                <w:color w:val="auto"/>
              </w:rPr>
              <w:t>Estimated Future Cash Incentive</w:t>
            </w:r>
          </w:p>
        </w:tc>
        <w:tc>
          <w:tcPr>
            <w:tcW w:w="3340" w:type="dxa"/>
            <w:vAlign w:val="bottom"/>
            <w:tcBorders>
              <w:right w:val="single" w:sz="8" w:color="auto"/>
            </w:tcBorders>
            <w:gridSpan w:val="3"/>
          </w:tcPr>
          <w:p>
            <w:pPr>
              <w:jc w:val="center"/>
              <w:spacing w:after="0" w:line="148" w:lineRule="exact"/>
              <w:rPr>
                <w:sz w:val="20"/>
                <w:szCs w:val="20"/>
                <w:color w:val="auto"/>
              </w:rPr>
            </w:pPr>
            <w:r>
              <w:rPr>
                <w:rFonts w:ascii="Times New Roman" w:cs="Times New Roman" w:eastAsia="Times New Roman" w:hAnsi="Times New Roman"/>
                <w:sz w:val="17"/>
                <w:szCs w:val="17"/>
                <w:b w:val="1"/>
                <w:bCs w:val="1"/>
                <w:color w:val="auto"/>
              </w:rPr>
              <w:t>Estimated Future Share or</w:t>
            </w:r>
          </w:p>
        </w:tc>
        <w:tc>
          <w:tcPr>
            <w:tcW w:w="11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213"/>
        </w:trPr>
        <w:tc>
          <w:tcPr>
            <w:tcW w:w="144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Borders>
              <w:right w:val="single" w:sz="8" w:color="auto"/>
            </w:tcBorders>
            <w:gridSpan w:val="5"/>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Payouts Under Non-Equity</w:t>
            </w:r>
          </w:p>
        </w:tc>
        <w:tc>
          <w:tcPr>
            <w:tcW w:w="33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 Payouts Under Equity</w:t>
            </w:r>
          </w:p>
        </w:tc>
        <w:tc>
          <w:tcPr>
            <w:tcW w:w="1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53"/>
        </w:trPr>
        <w:tc>
          <w:tcPr>
            <w:tcW w:w="1440" w:type="dxa"/>
            <w:vAlign w:val="bottom"/>
            <w:tcBorders>
              <w:left w:val="single" w:sz="8" w:color="auto"/>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8"/>
              </w:rPr>
              <w:t>Incentive Plan Awards</w:t>
            </w:r>
          </w:p>
        </w:tc>
        <w:tc>
          <w:tcPr>
            <w:tcW w:w="78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Incentive Plan Awards</w:t>
            </w:r>
          </w:p>
        </w:tc>
        <w:tc>
          <w:tcPr>
            <w:tcW w:w="110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r>
      <w:tr>
        <w:trPr>
          <w:trHeight w:val="172"/>
        </w:trPr>
        <w:tc>
          <w:tcPr>
            <w:tcW w:w="14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All other</w:t>
            </w:r>
          </w:p>
        </w:tc>
        <w:tc>
          <w:tcPr>
            <w:tcW w:w="18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stock</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awards;</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of Stock</w:t>
            </w: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of</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and</w:t>
            </w:r>
          </w:p>
        </w:tc>
      </w:tr>
      <w:tr>
        <w:trPr>
          <w:trHeight w:val="213"/>
        </w:trPr>
        <w:tc>
          <w:tcPr>
            <w:tcW w:w="14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5"/>
              </w:rPr>
              <w:t>Threshold</w:t>
            </w:r>
          </w:p>
        </w:tc>
        <w:tc>
          <w:tcPr>
            <w:tcW w:w="280" w:type="dxa"/>
            <w:vAlign w:val="bottom"/>
          </w:tcPr>
          <w:p>
            <w:pPr>
              <w:spacing w:after="0"/>
              <w:rPr>
                <w:sz w:val="18"/>
                <w:szCs w:val="18"/>
                <w:color w:val="auto"/>
              </w:rPr>
            </w:pPr>
          </w:p>
        </w:tc>
        <w:tc>
          <w:tcPr>
            <w:tcW w:w="880" w:type="dxa"/>
            <w:vAlign w:val="bottom"/>
            <w:tcBorders>
              <w:right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3"/>
              </w:rPr>
              <w:t>Target</w:t>
            </w:r>
          </w:p>
        </w:tc>
        <w:tc>
          <w:tcPr>
            <w:tcW w:w="114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Maximum</w:t>
            </w:r>
          </w:p>
        </w:tc>
        <w:tc>
          <w:tcPr>
            <w:tcW w:w="116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Threshold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1100" w:type="dxa"/>
            <w:vAlign w:val="bottom"/>
            <w:tcBorders>
              <w:right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Maximum</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 or</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Option</w:t>
            </w:r>
          </w:p>
        </w:tc>
      </w:tr>
      <w:tr>
        <w:trPr>
          <w:trHeight w:val="232"/>
        </w:trPr>
        <w:tc>
          <w:tcPr>
            <w:tcW w:w="14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Name</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Grant Date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5"/>
              </w:rPr>
              <w:t>($)</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Awards (3)</w:t>
            </w:r>
          </w:p>
        </w:tc>
      </w:tr>
      <w:tr>
        <w:trPr>
          <w:trHeight w:val="207"/>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John H. Batten</w:t>
            </w: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207"/>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Incentive</w:t>
            </w: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225,000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450,000</w:t>
            </w:r>
          </w:p>
        </w:tc>
        <w:tc>
          <w:tcPr>
            <w:tcW w:w="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900,000</w:t>
            </w: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188"/>
        </w:trPr>
        <w:tc>
          <w:tcPr>
            <w:tcW w:w="14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Performance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2"/>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10/31/19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29,054</w:t>
            </w:r>
          </w:p>
        </w:tc>
        <w:tc>
          <w:tcPr>
            <w:tcW w:w="10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58,107</w:t>
            </w: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87,161</w:t>
            </w:r>
          </w:p>
        </w:tc>
        <w:tc>
          <w:tcPr>
            <w:tcW w:w="11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625,231</w:t>
            </w:r>
          </w:p>
        </w:tc>
      </w:tr>
      <w:tr>
        <w:trPr>
          <w:trHeight w:val="188"/>
        </w:trPr>
        <w:tc>
          <w:tcPr>
            <w:tcW w:w="14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Restricted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2"/>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10/31/19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44,986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484,049</w:t>
            </w:r>
          </w:p>
        </w:tc>
      </w:tr>
      <w:tr>
        <w:trPr>
          <w:trHeight w:val="207"/>
        </w:trPr>
        <w:tc>
          <w:tcPr>
            <w:tcW w:w="14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207"/>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James E. Feiertag</w:t>
            </w: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207"/>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Incentive</w:t>
            </w: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143,000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286,000</w:t>
            </w:r>
          </w:p>
        </w:tc>
        <w:tc>
          <w:tcPr>
            <w:tcW w:w="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572,000</w:t>
            </w: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188"/>
        </w:trPr>
        <w:tc>
          <w:tcPr>
            <w:tcW w:w="14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Performance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2"/>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(1)</w:t>
            </w:r>
          </w:p>
        </w:tc>
        <w:tc>
          <w:tcPr>
            <w:tcW w:w="8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8/1/19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9,362</w:t>
            </w:r>
          </w:p>
        </w:tc>
        <w:tc>
          <w:tcPr>
            <w:tcW w:w="10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18,724</w:t>
            </w: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28,086</w:t>
            </w:r>
          </w:p>
        </w:tc>
        <w:tc>
          <w:tcPr>
            <w:tcW w:w="11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214,015</w:t>
            </w:r>
          </w:p>
        </w:tc>
      </w:tr>
      <w:tr>
        <w:trPr>
          <w:trHeight w:val="188"/>
        </w:trPr>
        <w:tc>
          <w:tcPr>
            <w:tcW w:w="14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Restricted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2"/>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(2)</w:t>
            </w:r>
          </w:p>
        </w:tc>
        <w:tc>
          <w:tcPr>
            <w:tcW w:w="8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8/1/19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18,724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214,015</w:t>
            </w:r>
          </w:p>
        </w:tc>
      </w:tr>
      <w:tr>
        <w:trPr>
          <w:trHeight w:val="184"/>
        </w:trPr>
        <w:tc>
          <w:tcPr>
            <w:tcW w:w="14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Jeffrey S.</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6"/>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Knutson</w:t>
            </w:r>
          </w:p>
        </w:tc>
        <w:tc>
          <w:tcPr>
            <w:tcW w:w="8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r>
      <w:tr>
        <w:trPr>
          <w:trHeight w:val="207"/>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Incentive</w:t>
            </w:r>
          </w:p>
        </w:tc>
        <w:tc>
          <w:tcPr>
            <w:tcW w:w="8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87,500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175,000</w:t>
            </w:r>
          </w:p>
        </w:tc>
        <w:tc>
          <w:tcPr>
            <w:tcW w:w="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350,000</w:t>
            </w:r>
          </w:p>
        </w:tc>
        <w:tc>
          <w:tcPr>
            <w:tcW w:w="11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188"/>
        </w:trPr>
        <w:tc>
          <w:tcPr>
            <w:tcW w:w="14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Performance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2"/>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8/1/19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6,596</w:t>
            </w:r>
          </w:p>
        </w:tc>
        <w:tc>
          <w:tcPr>
            <w:tcW w:w="10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13,192</w:t>
            </w: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19,788</w:t>
            </w:r>
          </w:p>
        </w:tc>
        <w:tc>
          <w:tcPr>
            <w:tcW w:w="11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150,785</w:t>
            </w:r>
          </w:p>
        </w:tc>
      </w:tr>
      <w:tr>
        <w:trPr>
          <w:trHeight w:val="188"/>
        </w:trPr>
        <w:tc>
          <w:tcPr>
            <w:tcW w:w="14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Performance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2"/>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(1)</w:t>
            </w:r>
          </w:p>
        </w:tc>
        <w:tc>
          <w:tcPr>
            <w:tcW w:w="8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10/31/19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937</w:t>
            </w:r>
          </w:p>
        </w:tc>
        <w:tc>
          <w:tcPr>
            <w:tcW w:w="10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1,874</w:t>
            </w: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2,811</w:t>
            </w:r>
          </w:p>
        </w:tc>
        <w:tc>
          <w:tcPr>
            <w:tcW w:w="11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20,164</w:t>
            </w:r>
          </w:p>
        </w:tc>
      </w:tr>
      <w:tr>
        <w:trPr>
          <w:trHeight w:val="188"/>
        </w:trPr>
        <w:tc>
          <w:tcPr>
            <w:tcW w:w="14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Restricted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2"/>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(2)</w:t>
            </w:r>
          </w:p>
        </w:tc>
        <w:tc>
          <w:tcPr>
            <w:tcW w:w="840" w:type="dxa"/>
            <w:vAlign w:val="bottom"/>
            <w:tcBorders>
              <w:bottom w:val="single" w:sz="8" w:color="auto"/>
              <w:right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8/1/19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13,192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150,785</w:t>
            </w:r>
          </w:p>
        </w:tc>
      </w:tr>
      <w:tr>
        <w:trPr>
          <w:trHeight w:val="188"/>
        </w:trPr>
        <w:tc>
          <w:tcPr>
            <w:tcW w:w="14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Restricted Stock</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32"/>
        </w:trPr>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10/31/19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20,164</w:t>
            </w:r>
          </w:p>
        </w:tc>
      </w:tr>
    </w:tbl>
    <w:p>
      <w:pPr>
        <w:spacing w:after="0" w:line="195" w:lineRule="exact"/>
        <w:rPr>
          <w:sz w:val="20"/>
          <w:szCs w:val="20"/>
          <w:color w:val="auto"/>
        </w:rPr>
      </w:pPr>
    </w:p>
    <w:p>
      <w:pPr>
        <w:ind w:left="360" w:right="300" w:hanging="353"/>
        <w:spacing w:after="0" w:line="258"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awards with performance-based vesting criteria, as discussed in the “Long-Term Incentive Compensation” section of the Executive Compensation discussion; eligible for vesting in 2022.</w:t>
      </w:r>
    </w:p>
    <w:p>
      <w:pPr>
        <w:ind w:left="360" w:right="360" w:hanging="353"/>
        <w:spacing w:after="0" w:line="247"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awards with a vesting date of October 31, 2022 for Mr. Batten, August 1, 2022 for Mr. Feiertag, and August 1, 2022 and October 31, 2022 for Mr. Knutson. These stock awards will vest if the executive remains employed through the vesting date.</w:t>
      </w:r>
    </w:p>
    <w:p>
      <w:pPr>
        <w:ind w:left="360" w:right="320" w:hanging="353"/>
        <w:spacing w:after="0" w:line="251"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values are calculated using the closing price of Twin Disc shares on October 31, 2019 (the grant date) for Mr. Batten ($10.76), August 1, 2019 (the grant date) for Mr. Feiertag ($11.43) and on August 1, 2019 and October 31, 2019 (the grant dates) for Mr. Knutson ($11.43 and $10.76,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number of restricted stock, performance stock and restricted stock unit awards held by our Named Executive Officers on June 30, 2020. The Named Executive Officers had no outstanding exercisable or unexercisable options outstanding on June 30, 2020.</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2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tcBorders>
          </w:tcPr>
          <w:p>
            <w:pPr>
              <w:spacing w:after="0"/>
              <w:rPr>
                <w:sz w:val="21"/>
                <w:szCs w:val="21"/>
                <w:color w:val="auto"/>
              </w:rPr>
            </w:pPr>
          </w:p>
        </w:tc>
        <w:tc>
          <w:tcPr>
            <w:tcW w:w="4480" w:type="dxa"/>
            <w:vAlign w:val="bottom"/>
            <w:tcBorders>
              <w:top w:val="single" w:sz="8" w:color="auto"/>
              <w:bottom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color w:val="auto"/>
              </w:rPr>
              <w:t>Stock Awards</w:t>
            </w:r>
          </w:p>
        </w:tc>
        <w:tc>
          <w:tcPr>
            <w:tcW w:w="2240" w:type="dxa"/>
            <w:vAlign w:val="bottom"/>
            <w:tcBorders>
              <w:top w:val="single" w:sz="8" w:color="auto"/>
              <w:bottom w:val="single" w:sz="8" w:color="auto"/>
              <w:right w:val="single" w:sz="8" w:color="auto"/>
            </w:tcBorders>
          </w:tcPr>
          <w:p>
            <w:pPr>
              <w:spacing w:after="0"/>
              <w:rPr>
                <w:sz w:val="21"/>
                <w:szCs w:val="21"/>
                <w:color w:val="auto"/>
              </w:rPr>
            </w:pPr>
          </w:p>
        </w:tc>
      </w:tr>
      <w:tr>
        <w:trPr>
          <w:trHeight w:val="172"/>
        </w:trPr>
        <w:tc>
          <w:tcPr>
            <w:tcW w:w="228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Equity Incentive Plan</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7"/>
              </w:rPr>
              <w:t>Awards: Market or</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Equity Incentive Plan</w:t>
            </w:r>
          </w:p>
        </w:tc>
        <w:tc>
          <w:tcPr>
            <w:tcW w:w="2240" w:type="dxa"/>
            <w:vAlign w:val="bottom"/>
            <w:tcBorders>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7"/>
              </w:rPr>
              <w:t>Payout Value of</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Market Value of</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Awards: Number of</w:t>
            </w:r>
          </w:p>
        </w:tc>
        <w:tc>
          <w:tcPr>
            <w:tcW w:w="2240" w:type="dxa"/>
            <w:vAlign w:val="bottom"/>
            <w:tcBorders>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Unearned Shares,</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 or</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 or Units of</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Unearned Shares,</w:t>
            </w:r>
          </w:p>
        </w:tc>
        <w:tc>
          <w:tcPr>
            <w:tcW w:w="2240" w:type="dxa"/>
            <w:vAlign w:val="bottom"/>
            <w:tcBorders>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Units or Other Rights</w:t>
            </w:r>
          </w:p>
        </w:tc>
      </w:tr>
      <w:tr>
        <w:trPr>
          <w:trHeight w:val="213"/>
        </w:trPr>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Units of Stock That Have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 That Have Not Vested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Units or Other Rights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That Have Not Vested</w:t>
            </w:r>
          </w:p>
        </w:tc>
      </w:tr>
      <w:tr>
        <w:trPr>
          <w:trHeight w:val="232"/>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 and Grant Date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Not Vested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That Have Not Vested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John H. Batten</w:t>
            </w: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8/2/2017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19,259 (1)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$106,695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13,006 (4)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$72,053</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8/24/2018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18,476 (2)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$102,357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9,238 (5)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$51,179</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10/31/2019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44,986 (1)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$249,222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29,054 (6)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$160,959</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James E. Feiertag</w:t>
            </w: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7,721 (3)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$42,774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3,861 (5)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$21,390</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18,724 (1)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$103,731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9,362 (6)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$51,865</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Jeffrey S. Knutson</w:t>
            </w: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8/2/2017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8,117 (1)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$44,968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5,482 (4)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$30,370</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8/1/2018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6,060 (2)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$33,572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3,030 (5)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$16,786</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13,192 (1)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$73,084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6,596 (6)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$36,542</w:t>
            </w:r>
          </w:p>
        </w:tc>
      </w:tr>
      <w:tr>
        <w:trPr>
          <w:trHeight w:val="207"/>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10/31/2019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1,874 (1)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$10,382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937 (6)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$5,191</w:t>
            </w:r>
          </w:p>
        </w:tc>
      </w:tr>
    </w:tbl>
    <w:p>
      <w:pPr>
        <w:spacing w:after="0" w:line="195"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awards that are scheduled to vest three years from the date of grant.</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unit awards that are scheduled to vest three years from the date of grant.</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awards that are scheduled to vest on August 1, 2021.</w:t>
      </w:r>
    </w:p>
    <w:p>
      <w:pPr>
        <w:spacing w:after="0" w:line="6" w:lineRule="exact"/>
        <w:rPr>
          <w:rFonts w:ascii="Times New Roman" w:cs="Times New Roman" w:eastAsia="Times New Roman" w:hAnsi="Times New Roman"/>
          <w:sz w:val="18"/>
          <w:szCs w:val="18"/>
          <w:color w:val="auto"/>
        </w:rPr>
      </w:pPr>
    </w:p>
    <w:p>
      <w:pPr>
        <w:ind w:left="320" w:right="80" w:hanging="313"/>
        <w:spacing w:after="0" w:line="24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in FY2021 based on three-year performance period ending June 30, 2020. Performance shares were assumed to vest at 67.5% of target.</w:t>
      </w:r>
    </w:p>
    <w:p>
      <w:pPr>
        <w:ind w:left="320" w:right="440" w:hanging="313"/>
        <w:spacing w:after="0" w:line="24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in FY2022 based on three-year performance period ending June 30, 2021. Figures shown are based on achieving threshold performance goals.</w:t>
      </w:r>
    </w:p>
    <w:p>
      <w:pPr>
        <w:ind w:left="320" w:right="440" w:hanging="313"/>
        <w:spacing w:after="0" w:line="24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in FY2023 based on three-year performance period ending June 30, 2022. Figures shown are based on achieving threshold performance goals.</w:t>
      </w:r>
    </w:p>
    <w:p>
      <w:pPr>
        <w:ind w:left="320" w:right="140" w:hanging="313"/>
        <w:spacing w:after="0" w:line="255"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were calculated using $5.54 per share, the closing price of the Corporation’s common stock as of June 30, 2020, the last trading day of the fiscal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Qualified Retirement Plans</w:t>
      </w:r>
    </w:p>
    <w:p>
      <w:pPr>
        <w:spacing w:after="0" w:line="222"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u w:val="single" w:color="auto"/>
          <w:color w:val="auto"/>
        </w:rPr>
        <w:t>The Twin Disc, Incorporated Retirement Savings Plan for Salaried Employees</w:t>
      </w:r>
      <w:r>
        <w:rPr>
          <w:rFonts w:ascii="Times New Roman" w:cs="Times New Roman" w:eastAsia="Times New Roman" w:hAnsi="Times New Roman"/>
          <w:sz w:val="18"/>
          <w:szCs w:val="18"/>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81"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Savings Plan does not allow employee contributions. Employer contributions, which are made annually, are 100% vested.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ind w:right="40"/>
        <w:spacing w:after="0" w:line="257" w:lineRule="auto"/>
        <w:rPr>
          <w:sz w:val="20"/>
          <w:szCs w:val="20"/>
          <w:color w:val="auto"/>
        </w:rPr>
      </w:pPr>
      <w:r>
        <w:rPr>
          <w:rFonts w:ascii="Times New Roman" w:cs="Times New Roman" w:eastAsia="Times New Roman" w:hAnsi="Times New Roman"/>
          <w:sz w:val="18"/>
          <w:szCs w:val="18"/>
          <w:u w:val="single" w:color="auto"/>
          <w:color w:val="auto"/>
        </w:rPr>
        <w:t>The Twin Disc, Incorporated Retirement Plan for Salaried Employees</w:t>
      </w:r>
      <w:r>
        <w:rPr>
          <w:rFonts w:ascii="Times New Roman" w:cs="Times New Roman" w:eastAsia="Times New Roman" w:hAnsi="Times New Roman"/>
          <w:sz w:val="18"/>
          <w:szCs w:val="18"/>
          <w:color w:val="auto"/>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not eligible for retirement as of June 30, 2020.</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Batten is eligible for a benefit under the cash-balance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the Retirement Plan was amended to freeze all future benefit accruals, effective August 1, 2009.</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2018, 2019, and 2020 the annual limits were $275,000, $280,000, and $285,000, respectively.</w:t>
      </w:r>
    </w:p>
    <w:p>
      <w:pPr>
        <w:spacing w:after="0" w:line="17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6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u w:val="single" w:color="auto"/>
          <w:color w:val="auto"/>
        </w:rPr>
        <w:t>The Twin Disc, Incorporated – The Accelerator 401(k) Savings Plan (“401(k) Plan”)</w:t>
      </w:r>
      <w:r>
        <w:rPr>
          <w:rFonts w:ascii="Times New Roman" w:cs="Times New Roman" w:eastAsia="Times New Roman" w:hAnsi="Times New Roman"/>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Effective January 1, 2019, the Corporation matches 50% of the first 8% of pay that is contributed to the 401(k) Plan. Prior to this time, the Corporation matched 50% of the first 6% of pay. All contributions to the 401(k) Plan, as well as any matching contributions, are fully vested upon contribution.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2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(only Mr. Batten)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16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39" w:name="page40"/>
    <w:bookmarkEnd w:id="39"/>
    <w:p>
      <w:pPr>
        <w:ind w:left="560"/>
        <w:spacing w:after="0"/>
        <w:rPr>
          <w:sz w:val="20"/>
          <w:szCs w:val="20"/>
          <w:color w:val="auto"/>
        </w:rPr>
      </w:pPr>
      <w:r>
        <w:rPr>
          <w:rFonts w:ascii="Times New Roman" w:cs="Times New Roman" w:eastAsia="Times New Roman" w:hAnsi="Times New Roman"/>
          <w:sz w:val="18"/>
          <w:szCs w:val="18"/>
          <w:i w:val="1"/>
          <w:iCs w:val="1"/>
          <w:color w:val="auto"/>
        </w:rPr>
        <w:t>Executive Life Insurance</w:t>
      </w: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85"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Providing Payments Following Termination or Change in Control</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2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Corporation has change in control severance agreements with each of its executive officers, which were most recently updated in August 2018.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Messrs. Feiertag and Knutson). In addition, the executive would be entitled to the cash value over the exercise price of any shares of common stock subject to unexercised stock options held by the executive, and fringe benefits would continue for 24 months following termination. The agreements are specifically designed to avoid having benefits exceed the limitations and provisions of Section 280G of the Internal Revenue Code.</w:t>
      </w:r>
    </w:p>
    <w:p>
      <w:pPr>
        <w:spacing w:after="0" w:line="18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all restricted shares shall become freely transferable and non-forfeitable, and all restricted stock units shall immediately vest and the related shares shall be delivered.</w:t>
      </w:r>
    </w:p>
    <w:p>
      <w:pPr>
        <w:spacing w:after="0" w:line="186"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The following information describes the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3" w:right="379" w:bottom="1440" w:gutter="0" w:footer="0" w:header="0"/>
        </w:sectPr>
      </w:pPr>
    </w:p>
    <w:bookmarkStart w:id="40" w:name="page41"/>
    <w:bookmarkEnd w:id="40"/>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Normal or Early Retirement</w:t>
      </w:r>
      <w:r>
        <w:rPr>
          <w:rFonts w:ascii="Times New Roman" w:cs="Times New Roman" w:eastAsia="Times New Roman" w:hAnsi="Times New Roman"/>
          <w:sz w:val="18"/>
          <w:szCs w:val="18"/>
          <w:color w:val="auto"/>
        </w:rPr>
        <w:t>. For purposes of the following discussion, retirement means termination of employment after the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None of the Named Executive Officers are currently eligible for retirement.</w:t>
      </w:r>
    </w:p>
    <w:p>
      <w:pPr>
        <w:spacing w:after="0" w:line="184" w:lineRule="exact"/>
        <w:rPr>
          <w:sz w:val="20"/>
          <w:szCs w:val="20"/>
          <w:color w:val="auto"/>
        </w:rPr>
      </w:pPr>
    </w:p>
    <w:p>
      <w:pPr>
        <w:ind w:left="20" w:right="140"/>
        <w:spacing w:after="0" w:line="277" w:lineRule="auto"/>
        <w:rPr>
          <w:sz w:val="20"/>
          <w:szCs w:val="20"/>
          <w:color w:val="auto"/>
        </w:rPr>
      </w:pPr>
      <w:r>
        <w:rPr>
          <w:rFonts w:ascii="Times New Roman" w:cs="Times New Roman" w:eastAsia="Times New Roman" w:hAnsi="Times New Roman"/>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stock is forfeited if retirement occurs before the restrictions on such shares have ended.</w:t>
      </w:r>
    </w:p>
    <w:p>
      <w:pPr>
        <w:spacing w:after="0" w:line="220" w:lineRule="exact"/>
        <w:rPr>
          <w:sz w:val="20"/>
          <w:szCs w:val="20"/>
          <w:color w:val="auto"/>
        </w:rPr>
      </w:pPr>
    </w:p>
    <w:p>
      <w:pPr>
        <w:ind w:left="20" w:right="580"/>
        <w:spacing w:after="0" w:line="277" w:lineRule="auto"/>
        <w:rPr>
          <w:sz w:val="20"/>
          <w:szCs w:val="20"/>
          <w:color w:val="auto"/>
        </w:rPr>
      </w:pPr>
      <w:r>
        <w:rPr>
          <w:rFonts w:ascii="Times New Roman" w:cs="Times New Roman" w:eastAsia="Times New Roman" w:hAnsi="Times New Roman"/>
          <w:sz w:val="18"/>
          <w:szCs w:val="18"/>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options must be exercised within 30 days of termination or they expire.</w:t>
      </w:r>
    </w:p>
    <w:p>
      <w:pPr>
        <w:spacing w:after="0" w:line="220" w:lineRule="exact"/>
        <w:rPr>
          <w:sz w:val="20"/>
          <w:szCs w:val="20"/>
          <w:color w:val="auto"/>
        </w:rPr>
      </w:pPr>
    </w:p>
    <w:p>
      <w:pPr>
        <w:ind w:left="20" w:right="620"/>
        <w:spacing w:after="0" w:line="277" w:lineRule="auto"/>
        <w:rPr>
          <w:sz w:val="20"/>
          <w:szCs w:val="20"/>
          <w:color w:val="auto"/>
        </w:rPr>
      </w:pPr>
      <w:r>
        <w:rPr>
          <w:rFonts w:ascii="Times New Roman" w:cs="Times New Roman" w:eastAsia="Times New Roman" w:hAnsi="Times New Roman"/>
          <w:sz w:val="18"/>
          <w:szCs w:val="18"/>
          <w:color w:val="auto"/>
        </w:rPr>
        <w:t>A Supplemental Executive Retirement Plan (SERP) is available for several Named Executive Officers who qualify for a retirement benefit under the Corporation’s pension plans. Messrs. Batten is currently the only participant.</w:t>
      </w:r>
    </w:p>
    <w:p>
      <w:pPr>
        <w:spacing w:after="0" w:line="163" w:lineRule="exact"/>
        <w:rPr>
          <w:sz w:val="20"/>
          <w:szCs w:val="20"/>
          <w:color w:val="auto"/>
        </w:rPr>
      </w:pPr>
    </w:p>
    <w:p>
      <w:pPr>
        <w:ind w:left="20" w:right="220"/>
        <w:spacing w:after="0" w:line="211" w:lineRule="auto"/>
        <w:rPr>
          <w:sz w:val="20"/>
          <w:szCs w:val="20"/>
          <w:color w:val="auto"/>
        </w:rPr>
      </w:pPr>
      <w:r>
        <w:rPr>
          <w:rFonts w:ascii="Times New Roman" w:cs="Times New Roman" w:eastAsia="Times New Roman" w:hAnsi="Times New Roman"/>
          <w:sz w:val="18"/>
          <w:szCs w:val="18"/>
          <w:color w:val="auto"/>
        </w:rPr>
        <w:t>For those executives eligible for an endorsement split-dollar life insurance policy, the ownership of the life insurance will be transferred from the Corporation to the executive at the later of retirement or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color w:val="auto"/>
        </w:rPr>
        <w:t>Death while Employed</w:t>
      </w:r>
      <w:r>
        <w:rPr>
          <w:rFonts w:ascii="Times New Roman" w:cs="Times New Roman" w:eastAsia="Times New Roman" w:hAnsi="Times New Roman"/>
          <w:sz w:val="18"/>
          <w:szCs w:val="18"/>
          <w:color w:val="auto"/>
        </w:rPr>
        <w:t>. In the event of death of a Named Executive Officer while actively employed, the executive’s estate would receive payment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salary earned, but not yet paid. In addition, any vacation accrual not used would also be paid to the estate.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vests and becomes payable per the terms of the individual grant agreement. The estate would receive the payment of shares.</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will fully vest and may pass to the estate, or as directed by a will, and must be exercised within one year from date of death.</w:t>
      </w:r>
    </w:p>
    <w:p>
      <w:pPr>
        <w:spacing w:after="0" w:line="216"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In the event of termination of employment due to disability, a Named Executive Officer would receive benefits under the Corporation’s short-term and long-term disability plans, generally available to full-time salaried employees. Benefits are reduced for any social security pension eligibility.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vests and becomes payable per the terms of the individual grant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1" w:name="page42"/>
    <w:bookmarkEnd w:id="41"/>
    <w:p>
      <w:pPr>
        <w:ind w:right="160"/>
        <w:spacing w:after="0" w:line="307" w:lineRule="auto"/>
        <w:rPr>
          <w:sz w:val="20"/>
          <w:szCs w:val="20"/>
          <w:color w:val="auto"/>
        </w:rPr>
      </w:pPr>
      <w:r>
        <w:rPr>
          <w:rFonts w:ascii="Times New Roman" w:cs="Times New Roman" w:eastAsia="Times New Roman" w:hAnsi="Times New Roman"/>
          <w:sz w:val="17"/>
          <w:szCs w:val="17"/>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36"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b w:val="1"/>
          <w:bCs w:val="1"/>
          <w:color w:val="auto"/>
        </w:rPr>
        <w:t>Termination for Cause</w:t>
      </w:r>
      <w:r>
        <w:rPr>
          <w:rFonts w:ascii="Times New Roman" w:cs="Times New Roman" w:eastAsia="Times New Roman" w:hAnsi="Times New Roman"/>
          <w:sz w:val="18"/>
          <w:szCs w:val="18"/>
          <w:color w:val="auto"/>
        </w:rPr>
        <w:t>. An executive is not eligible for any additional benefits at termination, unless the Compensation and Executive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would determine that severance payments are appropriate.</w:t>
      </w:r>
    </w:p>
    <w:p>
      <w:pPr>
        <w:spacing w:after="0" w:line="156"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b w:val="1"/>
          <w:bCs w:val="1"/>
          <w:color w:val="auto"/>
        </w:rPr>
        <w:t>Voluntary Termination Prior to Retirement</w:t>
      </w:r>
      <w:r>
        <w:rPr>
          <w:rFonts w:ascii="Times New Roman" w:cs="Times New Roman" w:eastAsia="Times New Roman" w:hAnsi="Times New Roman"/>
          <w:sz w:val="18"/>
          <w:szCs w:val="18"/>
          <w:color w:val="auto"/>
        </w:rPr>
        <w:t>. An executive is not entitled to any additional forms of severance payments in the event of a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prior to becoming eligible for retirement.</w:t>
      </w:r>
    </w:p>
    <w:p>
      <w:pPr>
        <w:spacing w:after="0" w:line="15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b w:val="1"/>
          <w:bCs w:val="1"/>
          <w:color w:val="auto"/>
        </w:rPr>
        <w:t>Involuntary Termination (or Resignation for Good Cause) Following Change in Control</w:t>
      </w:r>
      <w:r>
        <w:rPr>
          <w:rFonts w:ascii="Times New Roman" w:cs="Times New Roman" w:eastAsia="Times New Roman" w:hAnsi="Times New Roman"/>
          <w:sz w:val="17"/>
          <w:szCs w:val="17"/>
          <w:color w:val="auto"/>
        </w:rPr>
        <w:t>. The Corporation has entered into Change in Control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Severance Agreements with each of our Named Executive Officers. The agreements provide that if the executive experiences an involuntary termination (or resigns for good reason, as defined) within two years following a change in control of the Corporation, the executive will receive the following benefits:</w:t>
      </w:r>
    </w:p>
    <w:p>
      <w:pPr>
        <w:spacing w:after="0" w:line="157" w:lineRule="exact"/>
        <w:rPr>
          <w:sz w:val="20"/>
          <w:szCs w:val="20"/>
          <w:color w:val="auto"/>
        </w:rPr>
      </w:pPr>
    </w:p>
    <w:p>
      <w:pPr>
        <w:ind w:left="680" w:right="160" w:hanging="326"/>
        <w:spacing w:after="0" w:line="265"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severance payment equal to (a) a specified multiple, times (b) the sum of (i) the executive’s annual base salary in effect immediately prior to the date of termination (or, if employment terminates for good reason due to a reduction in base salary, the executive’s annual base salary in effect immediately prior to the reduction,) plus (ii) a bonus component, equal to the greater of: (A) the annual bonus awarded to the executive under the Corporation’s annual Corporate Incentive Plan (“CIP”) for the fiscal year immediately preceding the fiscal year in which the date of termination occurs (or, if no annual bonus was received for such fiscal year, the average of the annual bonuses awarded to the executive under the CIP for the three fiscal years immediately preceding the fiscal year in which the date of termination occurs), or (B) the executive’s target annual bonus under the CIP for the fiscal year in which the date of termination occurs. In addition, the following benefits would also become payable</w:t>
      </w:r>
    </w:p>
    <w:p>
      <w:pPr>
        <w:spacing w:after="0" w:line="2" w:lineRule="exact"/>
        <w:rPr>
          <w:rFonts w:ascii="Times New Roman" w:cs="Times New Roman" w:eastAsia="Times New Roman" w:hAnsi="Times New Roman"/>
          <w:sz w:val="17"/>
          <w:szCs w:val="17"/>
          <w:color w:val="auto"/>
        </w:rPr>
      </w:pPr>
    </w:p>
    <w:p>
      <w:pPr>
        <w:ind w:left="680" w:hanging="326"/>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twenty-four months of benefit continuation,</w:t>
      </w:r>
    </w:p>
    <w:p>
      <w:pPr>
        <w:spacing w:after="0" w:line="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value of all outstanding stock options,</w:t>
      </w:r>
    </w:p>
    <w:p>
      <w:pPr>
        <w:spacing w:after="0" w:line="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will immediately vest,</w:t>
      </w:r>
    </w:p>
    <w:p>
      <w:pPr>
        <w:spacing w:after="0" w:line="6" w:lineRule="exact"/>
        <w:rPr>
          <w:rFonts w:ascii="Times New Roman" w:cs="Times New Roman" w:eastAsia="Times New Roman" w:hAnsi="Times New Roman"/>
          <w:sz w:val="18"/>
          <w:szCs w:val="18"/>
          <w:color w:val="auto"/>
        </w:rPr>
      </w:pPr>
    </w:p>
    <w:p>
      <w:pPr>
        <w:ind w:left="680" w:hanging="326"/>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immediately vest and shares will be issued, and</w:t>
      </w:r>
    </w:p>
    <w:p>
      <w:pPr>
        <w:spacing w:after="0" w:line="6" w:lineRule="exact"/>
        <w:rPr>
          <w:rFonts w:ascii="Times New Roman" w:cs="Times New Roman" w:eastAsia="Times New Roman" w:hAnsi="Times New Roman"/>
          <w:sz w:val="18"/>
          <w:szCs w:val="18"/>
          <w:color w:val="auto"/>
        </w:rPr>
      </w:pPr>
    </w:p>
    <w:p>
      <w:pPr>
        <w:ind w:left="680" w:right="180" w:hanging="326"/>
        <w:spacing w:after="0" w:line="251"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and performance units immediately vest, and stock or cash is paid under the agreements as if the maximum performance objective was achieved. The cash payment shall be equal to the number of performance stock units granted to the employee multiplied by the fair market value of the Corporation’s common stock as of the effective date of such change in control.</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compensation received by each of our non-employee Directors during FY2020:</w:t>
      </w:r>
    </w:p>
    <w:p>
      <w:pPr>
        <w:spacing w:after="0" w:line="215" w:lineRule="exact"/>
        <w:rPr>
          <w:sz w:val="20"/>
          <w:szCs w:val="20"/>
          <w:color w:val="auto"/>
        </w:rPr>
      </w:pPr>
    </w:p>
    <w:tbl>
      <w:tblPr>
        <w:tblLayout w:type="fixed"/>
        <w:tblInd w:w="490" w:type="dxa"/>
        <w:tblCellMar>
          <w:top w:w="0" w:type="dxa"/>
          <w:left w:w="0" w:type="dxa"/>
          <w:bottom w:w="0" w:type="dxa"/>
          <w:right w:w="0" w:type="dxa"/>
        </w:tblCellMar>
      </w:tblPr>
      <w:tr>
        <w:trPr>
          <w:trHeight w:val="212"/>
        </w:trPr>
        <w:tc>
          <w:tcPr>
            <w:tcW w:w="2360" w:type="dxa"/>
            <w:vAlign w:val="bottom"/>
            <w:tcBorders>
              <w:top w:val="single" w:sz="8" w:color="auto"/>
              <w:left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Fees</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jc w:val="center"/>
              <w:ind w:right="271"/>
              <w:spacing w:after="0"/>
              <w:rPr>
                <w:sz w:val="20"/>
                <w:szCs w:val="20"/>
                <w:color w:val="auto"/>
              </w:rPr>
            </w:pPr>
            <w:r>
              <w:rPr>
                <w:rFonts w:ascii="Times New Roman" w:cs="Times New Roman" w:eastAsia="Times New Roman" w:hAnsi="Times New Roman"/>
                <w:sz w:val="18"/>
                <w:szCs w:val="18"/>
                <w:color w:val="auto"/>
                <w:w w:val="95"/>
              </w:rPr>
              <w:t>Value of</w:t>
            </w:r>
          </w:p>
        </w:tc>
        <w:tc>
          <w:tcPr>
            <w:tcW w:w="162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r>
      <w:tr>
        <w:trPr>
          <w:trHeight w:val="213"/>
        </w:trPr>
        <w:tc>
          <w:tcPr>
            <w:tcW w:w="236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Borders>
              <w:right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9"/>
              </w:rPr>
              <w:t>Earned or</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center"/>
              <w:ind w:right="271"/>
              <w:spacing w:after="0"/>
              <w:rPr>
                <w:sz w:val="20"/>
                <w:szCs w:val="20"/>
                <w:color w:val="auto"/>
              </w:rPr>
            </w:pPr>
            <w:r>
              <w:rPr>
                <w:rFonts w:ascii="Times New Roman" w:cs="Times New Roman" w:eastAsia="Times New Roman" w:hAnsi="Times New Roman"/>
                <w:sz w:val="18"/>
                <w:szCs w:val="18"/>
                <w:color w:val="auto"/>
                <w:w w:val="97"/>
              </w:rPr>
              <w:t>Stock</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All Other</w:t>
            </w:r>
          </w:p>
        </w:tc>
        <w:tc>
          <w:tcPr>
            <w:tcW w:w="4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49"/>
        </w:trPr>
        <w:tc>
          <w:tcPr>
            <w:tcW w:w="2360" w:type="dxa"/>
            <w:vAlign w:val="bottom"/>
            <w:tcBorders>
              <w:left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Name</w:t>
            </w:r>
          </w:p>
        </w:tc>
        <w:tc>
          <w:tcPr>
            <w:tcW w:w="9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Year</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8"/>
              </w:rPr>
              <w:t>Paid in Cash</w:t>
            </w:r>
          </w:p>
        </w:tc>
        <w:tc>
          <w:tcPr>
            <w:tcW w:w="34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color w:val="auto"/>
                <w:w w:val="95"/>
              </w:rPr>
              <w:t>Awards (1)</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Compensation</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2360" w:type="dxa"/>
            <w:vAlign w:val="bottom"/>
            <w:tcBorders>
              <w:bottom w:val="single" w:sz="8" w:color="auto"/>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Michael Doar</w:t>
            </w:r>
          </w:p>
        </w:tc>
        <w:tc>
          <w:tcPr>
            <w:tcW w:w="980" w:type="dxa"/>
            <w:vAlign w:val="bottom"/>
            <w:tcBorders>
              <w:bottom w:val="single" w:sz="8" w:color="auto"/>
              <w:right w:val="single" w:sz="8" w:color="auto"/>
            </w:tcBorders>
          </w:tcPr>
          <w:p>
            <w:pPr>
              <w:ind w:left="300"/>
              <w:spacing w:after="0" w:line="190" w:lineRule="exact"/>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72,500</w:t>
            </w:r>
          </w:p>
        </w:tc>
        <w:tc>
          <w:tcPr>
            <w:tcW w:w="340" w:type="dxa"/>
            <w:vAlign w:val="bottom"/>
            <w:tcBorders>
              <w:bottom w:val="single" w:sz="8" w:color="auto"/>
            </w:tcBorders>
          </w:tcPr>
          <w:p>
            <w:pPr>
              <w:jc w:val="right"/>
              <w:ind w:right="51"/>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31"/>
              <w:spacing w:after="0" w:line="190" w:lineRule="exact"/>
              <w:rPr>
                <w:sz w:val="20"/>
                <w:szCs w:val="20"/>
                <w:color w:val="auto"/>
              </w:rPr>
            </w:pPr>
            <w:r>
              <w:rPr>
                <w:rFonts w:ascii="Times New Roman" w:cs="Times New Roman" w:eastAsia="Times New Roman" w:hAnsi="Times New Roman"/>
                <w:sz w:val="18"/>
                <w:szCs w:val="18"/>
                <w:color w:val="auto"/>
              </w:rPr>
              <w:t>72,490</w:t>
            </w:r>
          </w:p>
        </w:tc>
        <w:tc>
          <w:tcPr>
            <w:tcW w:w="162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jc w:val="right"/>
              <w:ind w:right="151"/>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rPr>
              <w:t>144,990</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Janet Giesselman</w:t>
            </w:r>
          </w:p>
        </w:tc>
        <w:tc>
          <w:tcPr>
            <w:tcW w:w="9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76,875</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149,365</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Johnson</w:t>
            </w:r>
          </w:p>
        </w:tc>
        <w:tc>
          <w:tcPr>
            <w:tcW w:w="9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81,875</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154,365</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Rayburn</w:t>
            </w:r>
          </w:p>
        </w:tc>
        <w:tc>
          <w:tcPr>
            <w:tcW w:w="9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115,500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187,990</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Smiley (2)</w:t>
            </w:r>
          </w:p>
        </w:tc>
        <w:tc>
          <w:tcPr>
            <w:tcW w:w="9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62,500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87,692</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150,192</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Harold Stratton II</w:t>
            </w:r>
          </w:p>
        </w:tc>
        <w:tc>
          <w:tcPr>
            <w:tcW w:w="9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72,500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144,990</w:t>
            </w:r>
          </w:p>
        </w:tc>
      </w:tr>
      <w:tr>
        <w:trPr>
          <w:trHeight w:val="207"/>
        </w:trPr>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Zimmer</w:t>
            </w:r>
          </w:p>
        </w:tc>
        <w:tc>
          <w:tcPr>
            <w:tcW w:w="9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62,500</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72,490</w:t>
            </w:r>
          </w:p>
        </w:tc>
        <w:tc>
          <w:tcPr>
            <w:tcW w:w="16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134,990</w:t>
            </w:r>
          </w:p>
        </w:tc>
      </w:tr>
    </w:tbl>
    <w:p>
      <w:pPr>
        <w:spacing w:after="0" w:line="195" w:lineRule="exact"/>
        <w:rPr>
          <w:sz w:val="20"/>
          <w:szCs w:val="20"/>
          <w:color w:val="auto"/>
        </w:rPr>
      </w:pPr>
    </w:p>
    <w:p>
      <w:pPr>
        <w:ind w:left="480" w:right="200" w:hanging="313"/>
        <w:spacing w:after="0" w:line="277"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Stock Awards is computed as of the date of grant in accordance with Financial Accounting Standards Board ASC Topic 718. Each director held 6,737 shares of restricted stock as of the end of FY2020.</w:t>
      </w:r>
    </w:p>
    <w:p>
      <w:pPr>
        <w:spacing w:after="0" w:line="162" w:lineRule="exact"/>
        <w:rPr>
          <w:rFonts w:ascii="Times New Roman" w:cs="Times New Roman" w:eastAsia="Times New Roman" w:hAnsi="Times New Roman"/>
          <w:sz w:val="18"/>
          <w:szCs w:val="18"/>
          <w:color w:val="auto"/>
        </w:rPr>
      </w:pPr>
    </w:p>
    <w:p>
      <w:pPr>
        <w:ind w:left="480" w:hanging="313"/>
        <w:spacing w:after="0" w:line="277"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Smiley rejoined the Board of Directors on August 1, 2019 and received a pro-rated stock award of 1,330 shares upon his appointment. In addition, he was awarded 6,737 shares as a part of his annual retainer on October 31, 2019.</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42" w:name="page43"/>
    <w:bookmarkEnd w:id="42"/>
    <w:p>
      <w:pPr>
        <w:ind w:left="280"/>
        <w:spacing w:after="0"/>
        <w:rPr>
          <w:sz w:val="20"/>
          <w:szCs w:val="20"/>
          <w:color w:val="auto"/>
        </w:rPr>
      </w:pPr>
      <w:r>
        <w:rPr>
          <w:rFonts w:ascii="Times New Roman" w:cs="Times New Roman" w:eastAsia="Times New Roman" w:hAnsi="Times New Roman"/>
          <w:sz w:val="18"/>
          <w:szCs w:val="18"/>
          <w:u w:val="single" w:color="auto"/>
          <w:color w:val="auto"/>
        </w:rPr>
        <w:t>Director Compensation Plan</w:t>
      </w:r>
    </w:p>
    <w:p>
      <w:pPr>
        <w:spacing w:after="0" w:line="2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Outside Directors of the Corporation (i.e. non-Corporation employees) are paid an annual retainer fee composed of both cash and restricted shares of Twin Disc stock. The restricted shares have been issued under the Twin Disc, Incorporated 2010 Stock Incentive Plan for Non-Employee Directors, which expires on October 15, 2020, and in the future will be issued under the Twin Disc, Incorporated 2020 Stock Incentive Plan for Non-Employee Directors (the “2020 Directors’ Plan”) if the 2020 Directors’ Plan is approved by the Corporation’s shareholders.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85"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Under the 2020 Directors’ Plan, Directors will have the option to elect to receive all or a portion of their quarterly base cash retainer in restricted shares of Twin Disc stock. The restricted shares will vest one year after the date that the quarterly cash retainer payment would have been made.</w:t>
      </w:r>
    </w:p>
    <w:p>
      <w:pPr>
        <w:spacing w:after="0" w:line="163"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7"/>
          <w:szCs w:val="17"/>
          <w:color w:val="auto"/>
        </w:rPr>
        <w:t>For FY2020, the Board reviewed its Director Compensation and increased its annual retainer to $135,000, effective as of the date of the annual shareholders meeting in October 2019. They determined that the mix for FY2020 would be $62,500 paid in cash (46%) and $72,500 paid in restricted stock (54%).</w:t>
      </w:r>
    </w:p>
    <w:p>
      <w:pPr>
        <w:spacing w:after="0" w:line="14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Committee chairs are paid an annual fee in addition to the annual retainer. The chairs of the Finance and Risk Management Committee, and the Nominating and Governance Committee each receive an annual fee of $10,000. The Board of Directors approved an increase to the Audit Committee and Compensation</w:t>
      </w:r>
    </w:p>
    <w:p>
      <w:pPr>
        <w:spacing w:after="0" w:line="1" w:lineRule="exact"/>
        <w:rPr>
          <w:sz w:val="20"/>
          <w:szCs w:val="20"/>
          <w:color w:val="auto"/>
        </w:rPr>
      </w:pPr>
    </w:p>
    <w:p>
      <w:pPr>
        <w:ind w:right="80" w:firstLine="7"/>
        <w:spacing w:after="0" w:line="251" w:lineRule="auto"/>
        <w:tabs>
          <w:tab w:leader="none" w:pos="1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Development Committee chair fees, effective at the annual shareholders meeting in October 2019. The chair of the Audit Committee receives a $20,000 annual fee and the chair of the Compensation and Executive Development Committee receives a $15,000 annual fee, due to the larger responsibilities of the positions. The annual Chairman’s fee remains at 40% of the retainer, but increased to $54,000, due to the increased retainer fee.</w:t>
      </w:r>
    </w:p>
    <w:p>
      <w:pPr>
        <w:spacing w:after="0" w:line="18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 In May of 2020, the Board voted to cap the maximum annual benefit at $62,500 and cap the maximum service years equal to 15 years. For those Directors who already had more than fifteen years of service at the time of the change, their benefit immediately freezes at their current service years, with no additional accruals.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7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6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2020.</w:t>
      </w:r>
    </w:p>
    <w:p>
      <w:pPr>
        <w:spacing w:after="0" w:line="17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spacing w:after="0" w:line="1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76"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2020, for filing with the Securities and Exchange Commission.</w:t>
      </w:r>
    </w:p>
    <w:p>
      <w:pPr>
        <w:spacing w:after="0" w:line="17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David W. Johnson, Chair</w:t>
      </w:r>
    </w:p>
    <w:p>
      <w:pPr>
        <w:spacing w:after="0" w:line="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Michael Doar</w:t>
      </w:r>
    </w:p>
    <w:p>
      <w:pPr>
        <w:spacing w:after="0" w:line="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Janet P. Giesselman</w:t>
      </w:r>
    </w:p>
    <w:p>
      <w:pPr>
        <w:spacing w:after="0" w:line="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Michael C. Smiley</w:t>
      </w:r>
    </w:p>
    <w:p>
      <w:pPr>
        <w:spacing w:after="0" w:line="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David R. Zimmer</w:t>
      </w:r>
    </w:p>
    <w:p>
      <w:pPr>
        <w:spacing w:after="0" w:line="2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August 6, 2020</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the Corporation’s equity-based compensation plans as of the end of the most recently completed fiscal year:</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120" w:type="dxa"/>
            <w:vAlign w:val="bottom"/>
            <w:tcBorders>
              <w:top w:val="single" w:sz="8" w:color="auto"/>
              <w:left w:val="single" w:sz="8" w:color="auto"/>
              <w:right w:val="single" w:sz="8" w:color="auto"/>
            </w:tcBorders>
          </w:tcPr>
          <w:p>
            <w:pPr>
              <w:spacing w:after="0"/>
              <w:rPr>
                <w:sz w:val="18"/>
                <w:szCs w:val="18"/>
                <w:color w:val="auto"/>
              </w:rPr>
            </w:pPr>
          </w:p>
        </w:tc>
        <w:tc>
          <w:tcPr>
            <w:tcW w:w="2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of Securities to be Issued Upon</w:t>
            </w:r>
          </w:p>
        </w:tc>
        <w:tc>
          <w:tcPr>
            <w:tcW w:w="2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Price of</w:t>
            </w:r>
          </w:p>
        </w:tc>
        <w:tc>
          <w:tcPr>
            <w:tcW w:w="2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of Securities Remaining Available</w:t>
            </w:r>
          </w:p>
        </w:tc>
      </w:tr>
      <w:tr>
        <w:trPr>
          <w:trHeight w:val="213"/>
        </w:trPr>
        <w:tc>
          <w:tcPr>
            <w:tcW w:w="3120" w:type="dxa"/>
            <w:vAlign w:val="bottom"/>
            <w:tcBorders>
              <w:left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Outstanding Options,</w:t>
            </w: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Options, Warrants and</w:t>
            </w: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Future Issuance Under Equity</w:t>
            </w:r>
          </w:p>
        </w:tc>
      </w:tr>
      <w:tr>
        <w:trPr>
          <w:trHeight w:val="249"/>
        </w:trPr>
        <w:tc>
          <w:tcPr>
            <w:tcW w:w="3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Warrants and Rights</w:t>
            </w:r>
          </w:p>
        </w:tc>
        <w:tc>
          <w:tcPr>
            <w:tcW w:w="2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Rights</w:t>
            </w:r>
          </w:p>
        </w:tc>
        <w:tc>
          <w:tcPr>
            <w:tcW w:w="2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Compensation Plans</w:t>
            </w:r>
          </w:p>
        </w:tc>
      </w:tr>
      <w:tr>
        <w:trPr>
          <w:trHeight w:val="172"/>
        </w:trPr>
        <w:tc>
          <w:tcPr>
            <w:tcW w:w="312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6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289,723, (1)</w:t>
            </w:r>
          </w:p>
        </w:tc>
        <w:tc>
          <w:tcPr>
            <w:tcW w:w="2720" w:type="dxa"/>
            <w:vAlign w:val="bottom"/>
            <w:tcBorders>
              <w:right w:val="single" w:sz="8" w:color="auto"/>
            </w:tcBorders>
          </w:tcPr>
          <w:p>
            <w:pPr>
              <w:ind w:left="1200"/>
              <w:spacing w:after="0" w:line="172" w:lineRule="exact"/>
              <w:rPr>
                <w:sz w:val="20"/>
                <w:szCs w:val="20"/>
                <w:color w:val="auto"/>
              </w:rPr>
            </w:pPr>
            <w:r>
              <w:rPr>
                <w:rFonts w:ascii="Times New Roman" w:cs="Times New Roman" w:eastAsia="Times New Roman" w:hAnsi="Times New Roman"/>
                <w:sz w:val="18"/>
                <w:szCs w:val="18"/>
                <w:color w:val="auto"/>
              </w:rPr>
              <w:t>N/A</w:t>
            </w:r>
          </w:p>
        </w:tc>
        <w:tc>
          <w:tcPr>
            <w:tcW w:w="27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421,529 (2)</w:t>
            </w:r>
          </w:p>
        </w:tc>
      </w:tr>
      <w:tr>
        <w:trPr>
          <w:trHeight w:val="232"/>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6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r>
        <w:trPr>
          <w:trHeight w:val="188"/>
        </w:trPr>
        <w:tc>
          <w:tcPr>
            <w:tcW w:w="31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6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0</w:t>
            </w:r>
          </w:p>
        </w:tc>
        <w:tc>
          <w:tcPr>
            <w:tcW w:w="2720" w:type="dxa"/>
            <w:vAlign w:val="bottom"/>
            <w:tcBorders>
              <w:right w:val="single" w:sz="8" w:color="auto"/>
            </w:tcBorders>
          </w:tcPr>
          <w:p>
            <w:pPr>
              <w:ind w:left="120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27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0</w:t>
            </w:r>
          </w:p>
        </w:tc>
      </w:tr>
      <w:tr>
        <w:trPr>
          <w:trHeight w:val="232"/>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6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r>
        <w:trPr>
          <w:trHeight w:val="207"/>
        </w:trPr>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289,723, (1)</w:t>
            </w:r>
          </w:p>
        </w:tc>
        <w:tc>
          <w:tcPr>
            <w:tcW w:w="272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N/A</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421,529 (2)</w:t>
            </w:r>
          </w:p>
        </w:tc>
      </w:tr>
    </w:tbl>
    <w:p>
      <w:pPr>
        <w:spacing w:after="0" w:line="195" w:lineRule="exact"/>
        <w:rPr>
          <w:sz w:val="20"/>
          <w:szCs w:val="20"/>
          <w:color w:val="auto"/>
        </w:rPr>
      </w:pPr>
    </w:p>
    <w:p>
      <w:pPr>
        <w:ind w:left="320" w:right="120" w:hanging="313"/>
        <w:spacing w:after="0" w:line="254"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67,007 shares of performance stock that may be issued as of June 30, 2021 and 184,766 shares of performance stock that may be issued as of June 30, 2022 under the Twin Disc, Incorporated 2018 Long-Term Incentive Compensation Plan, assuming the maximum performance goals are achieved. As of June 30, 2020, the Corporation believes that it is not likely that the threshold performance goals will be achieved. Also includes 37,950 restricted stock units issued under the Twin Disc, Incorporated 2018 Long-Term Incentive Compensation Plan, which will vest on August 1, 2021 if the recipients of the restricted stock units remain employed through that date.</w:t>
      </w:r>
    </w:p>
    <w:p>
      <w:pPr>
        <w:spacing w:after="0" w:line="185" w:lineRule="exact"/>
        <w:rPr>
          <w:rFonts w:ascii="Times New Roman" w:cs="Times New Roman" w:eastAsia="Times New Roman" w:hAnsi="Times New Roman"/>
          <w:sz w:val="18"/>
          <w:szCs w:val="18"/>
          <w:color w:val="auto"/>
        </w:rPr>
      </w:pPr>
    </w:p>
    <w:p>
      <w:pPr>
        <w:ind w:left="320" w:right="120" w:hanging="313"/>
        <w:spacing w:after="0" w:line="257"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408,664 shares of the Corporation’s common stock issuable under the Twin Disc, Incorporated 2018 Long-Term Incentive Compensation Plan and 12,865 shares issuable under the Twin Disc, Incorporated 2010 Stock Incentive Plan for Non-Employee Directors. Assumes that outstanding performance stock awards will be issued at maximum, which may not reflect the most probable outcome. As of June 30, 2020, the Corporation believes that it is not likely that the threshold performance goals will be achieved.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color w:val="auto"/>
        </w:rPr>
        <w:t>The Corporation will bear the cost of the solicitation of proxies. The firm of Georgeson Inc., New York, NY has been retained to assist in solicitation of proxies for the Annual Meeting at a fee not to exceed $9,500 plus expenses.</w:t>
      </w:r>
    </w:p>
    <w:p>
      <w:pPr>
        <w:spacing w:after="0" w:line="163"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If you do not contemplate attending the virtual Annual Meeting, we respectfully request that you direct your vote via the Internet or by telephone, or (if you received paper copies of the proxy materials) by filling in, signing and returning the accompanying proxy at your earliest convenience. If you are a registered shareholder of the Corporation, you may transmit your voting instructions via the Internet by accessing </w:t>
      </w:r>
      <w:r>
        <w:rPr>
          <w:rFonts w:ascii="Times New Roman" w:cs="Times New Roman" w:eastAsia="Times New Roman" w:hAnsi="Times New Roman"/>
          <w:sz w:val="18"/>
          <w:szCs w:val="18"/>
          <w:u w:val="single" w:color="auto"/>
          <w:color w:val="auto"/>
        </w:rPr>
        <w:t>www.investorvote.com/twin</w:t>
      </w:r>
      <w:r>
        <w:rPr>
          <w:rFonts w:ascii="Times New Roman" w:cs="Times New Roman" w:eastAsia="Times New Roman" w:hAnsi="Times New Roman"/>
          <w:sz w:val="18"/>
          <w:szCs w:val="18"/>
          <w:color w:val="auto"/>
        </w:rPr>
        <w:t xml:space="preserve"> or by telephone at 1-800-652-8683. If you hold your shares through an intermediary, such as a bank or brokerage firm, you may be eligible to vote your shares electronically via the Internet or by telephone – your voting form will provide you with instructions. If you are returning a paper copy of your proxy, it must be delivered to the Secretary either in person, by mail, or by messenger, and it must be received by the Secretary not less than forty-eight (48) hours prior to the date of the Annual Meeting.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2020 STOCK INCENTIVE PLAN FOR NON-EMPLOYEE DIRECTORS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PURPOSE</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Twin Disc, Incorporated 2020 Stock Incentive Plan for Non-Employee Directors (the “Directors’ Plan” or “Plan”) is to promote the financial interests of Twin Disc, Incorporated (the “Company”) and its shareholders by providing non-employee members of the Company’s Board of Directors (each a “Participant”) the opportunity to acquire Common Stock of the Company (“Common Stock”), thereby assisting the Company in its efforts to attract and retain well qualified individuals to serve as directors and further aligning the interests of such directors with those of the Company’s shareholders. Common Stock under the Plan will be made available to Participants as either options to purchase Common Stock (“Options”), Common Stock with certain imposed restrictions as defined herein (“Restricted Stock”) or cash payments valued by reference to the Company’s Common Stock that are awarded with a substantial risk of forfeiture attached (“Cash-Settled Restricted Stock Units) (collectively, “Awards”). Options granted under the Directors’ Plan are not intended to meet all of the requirements of Section 422 of the Internal Revenue Code of 1986, as amended (the “Code”), and the Directors’ Plan shall be construed accordingly.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DATE AND TERM</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Directors’ Plan shall become effective on the date that it is approved by shareholders holding a majority of the outstanding shares of Common Stock of the Company (the “Effective Date”).</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No Option may be granted or Restricted Stock or Cash-Settled Restricted Stock Unit awarded more than ten (10) years after the Effective Date.</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Post-Term Activity</w:t>
      </w:r>
      <w:r>
        <w:rPr>
          <w:rFonts w:ascii="Times New Roman" w:cs="Times New Roman" w:eastAsia="Times New Roman" w:hAnsi="Times New Roman"/>
          <w:sz w:val="18"/>
          <w:szCs w:val="18"/>
          <w:color w:val="auto"/>
        </w:rPr>
        <w:t>. Options granted within the term of the Plan as set forth in Section 2.2, subject to the all other terms and conditions of the Plan and the agreement(s) governing the grant of the Options, may be exercised, paid out, or modified more than ten years after the Effective Date. Restrictions on Restricted Stock and Cash-Settled Restricted Stock Units may lapse more than ten (10) years after the Effective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SUBJECT TO PLAN</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Maximum Number</w:t>
      </w:r>
      <w:r>
        <w:rPr>
          <w:rFonts w:ascii="Times New Roman" w:cs="Times New Roman" w:eastAsia="Times New Roman" w:hAnsi="Times New Roman"/>
          <w:sz w:val="18"/>
          <w:szCs w:val="18"/>
          <w:color w:val="auto"/>
        </w:rPr>
        <w:t>. The maximum number of shares of Common Stock that may be issued pursuant to Awards under the Plan is 750,000 subject to the adjustments provided in Article XII, below. Such shares may be newly-issued shares, authorized but unissued shares or shares reacquired by the Company on the open market or otherwise. Because Cash-Settled Restricted Stock Units are payable only in cash, the number of such Cash-Settled Restricted Stock Units shall not count against the 750,000 maximum described in this paragraph.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6" w:name="page47"/>
    <w:bookmarkEnd w:id="46"/>
    <w:p>
      <w:pPr>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Availability of Shares for Award</w:t>
      </w:r>
      <w:r>
        <w:rPr>
          <w:rFonts w:ascii="Times New Roman" w:cs="Times New Roman" w:eastAsia="Times New Roman" w:hAnsi="Times New Roman"/>
          <w:sz w:val="18"/>
          <w:szCs w:val="18"/>
          <w:color w:val="auto"/>
        </w:rPr>
        <w:t>. Shares of Common Stock that are subject to issuance pursuant to an Award may thereafter be subject to a new Award:</w:t>
      </w:r>
    </w:p>
    <w:p>
      <w:pPr>
        <w:spacing w:after="0" w:line="163" w:lineRule="exact"/>
        <w:rPr>
          <w:sz w:val="20"/>
          <w:szCs w:val="20"/>
          <w:color w:val="auto"/>
        </w:rPr>
      </w:pPr>
    </w:p>
    <w:p>
      <w:pPr>
        <w:ind w:left="1120" w:hanging="473"/>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prior Award to which such shares were subject lapses, expires or terminates without the issuance of such shares; or</w:t>
      </w:r>
    </w:p>
    <w:p>
      <w:pPr>
        <w:spacing w:after="0" w:line="246" w:lineRule="exact"/>
        <w:rPr>
          <w:rFonts w:ascii="Times New Roman" w:cs="Times New Roman" w:eastAsia="Times New Roman" w:hAnsi="Times New Roman"/>
          <w:sz w:val="18"/>
          <w:szCs w:val="18"/>
          <w:color w:val="auto"/>
        </w:rPr>
      </w:pPr>
    </w:p>
    <w:p>
      <w:pPr>
        <w:ind w:left="1120" w:right="320" w:hanging="473"/>
        <w:spacing w:after="0" w:line="26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Notwithstanding the foregoing, shares of Common Stock that are received by the Company in connection with the exercise of an Award, including the satisfaction of any tax liability or the satisfaction of a tax withholding obligation, may not be made subject to issuance pursuant to a later Award. In the event that only net shares are issued upon exercise of an Option, the gross number of shares associated with such Option shall be counted against the 750,000 maximum described in Section 3.1. In no event will shares that are repurchased on the open market using Option exercise proceeds be added back to the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ADMINISTRATION</w:t>
      </w:r>
    </w:p>
    <w:p>
      <w:pPr>
        <w:spacing w:after="0" w:line="220"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General Administration</w:t>
      </w:r>
      <w:r>
        <w:rPr>
          <w:rFonts w:ascii="Times New Roman" w:cs="Times New Roman" w:eastAsia="Times New Roman" w:hAnsi="Times New Roman"/>
          <w:sz w:val="17"/>
          <w:szCs w:val="17"/>
          <w:color w:val="auto"/>
        </w:rPr>
        <w:t>. The Company’s Board of Directors (the “Board”) will supervise and administer the Plan.</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Grants of Options under the Plan and the amount, price and timing of the awards to be granted will be discretionary with the Board as described in Article VI. Awards of Restricted Stock and Cash-Settled Restricted Stock Units under the Plan and the amount and timing of the awards will be discretionary with the Board as described in Articles IX and XI. The determination of the portion of annual retainer fees to be paid in Restricted Stock shall be discretionary with the Board as described in Article X. The Board shall have discretionary authority to determine all issues with respect to the interpretation of the Plan, Options granted under the Plan and Restricted Stock / Cash-Settled Restricted Stock Units awarded under the Plan, and with respect to all Plan administration issues.</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Section 16 Compliance</w:t>
      </w:r>
      <w:r>
        <w:rPr>
          <w:rFonts w:ascii="Times New Roman" w:cs="Times New Roman" w:eastAsia="Times New Roman" w:hAnsi="Times New Roman"/>
          <w:sz w:val="18"/>
          <w:szCs w:val="18"/>
          <w:color w:val="auto"/>
        </w:rPr>
        <w:t>. Transactions under this Directors’ Plan are intended to comply with all applicable conditions of the exemptive rules promulgated pursuant to Section 16(b) of the Securities Exchange Act of 1934 (the “Exchange Act”). To the extent any provision of the Directors’ Plan or action of the Board fails to so comply, it shall be deemed null and void, to the extent permitted by law and deemed advisable by the Board.</w:t>
      </w:r>
    </w:p>
    <w:p>
      <w:pPr>
        <w:spacing w:after="0" w:line="176"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All Awards under this Plan shall be structured in a manner to comply with the requirements of Code Section 409A, or to be exempt from the application of Code Section 409A.</w:t>
      </w:r>
    </w:p>
    <w:p>
      <w:pPr>
        <w:spacing w:after="0" w:line="163"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Limits on Awards</w:t>
      </w:r>
      <w:r>
        <w:rPr>
          <w:rFonts w:ascii="Times New Roman" w:cs="Times New Roman" w:eastAsia="Times New Roman" w:hAnsi="Times New Roman"/>
          <w:sz w:val="18"/>
          <w:szCs w:val="18"/>
          <w:color w:val="auto"/>
        </w:rPr>
        <w:t>. The aggregate grant date fair value (as determined in accordance with FASB ASC Topic 718 or any successor provision) of all Awards granted during any fiscal year of the Company to any Participant shall not exceed $250,000.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ELIGIBILITY</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All present or future directors of the Company who are not employees of the Company shall be eligible to participate in the Directors’ Plan.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OPTIONS</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Grants of Options</w:t>
      </w:r>
      <w:r>
        <w:rPr>
          <w:rFonts w:ascii="Times New Roman" w:cs="Times New Roman" w:eastAsia="Times New Roman" w:hAnsi="Times New Roman"/>
          <w:sz w:val="18"/>
          <w:szCs w:val="18"/>
          <w:color w:val="auto"/>
        </w:rPr>
        <w:t>. Options may be granted to Participants at the discretion of the Board.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In selecting individuals to whom Options shall be granted, as well as in determining the number of Options granted, the Board shall take into consideration such factors as it deems relevant pursuant to accomplishing the purposes of the Plan.</w:t>
      </w:r>
    </w:p>
    <w:p>
      <w:pPr>
        <w:spacing w:after="0" w:line="18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shall be the Fair Market Value per share of Common Stock on the date the Option is granted. For this and all other purposes under the Plan, the ”Fair Market Value” per share of Common Stock as of the date an Option or other Award is granted, or as of any other relevant date under the Plan as of which Fair Market Value is determined, shall be the arithmetic mean of the daily volume weighted average price per share of Common Stock traded on the NASDAQ Stock Market for each of the 20 consecutive trading days immediately preceding such date. If the Common Stock ceases to be listed on the NASDAQ Stock Market, the Board shall designate an alternative method of determining the Fair Market Value of the Common Stock.</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No Option granted under the Plan shall be exercisable unless and until shareholder approval of the Plan is obtained. Following such approval, Options may be exercised in whole at any time or in part from time to time. An Option shall not be exercisable more than ten years after the date it is granted, and will terminate no later than three years after termination of director status for any reason other than death.</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Written Agreement</w:t>
      </w:r>
      <w:r>
        <w:rPr>
          <w:rFonts w:ascii="Times New Roman" w:cs="Times New Roman" w:eastAsia="Times New Roman" w:hAnsi="Times New Roman"/>
          <w:sz w:val="18"/>
          <w:szCs w:val="18"/>
          <w:color w:val="auto"/>
        </w:rPr>
        <w:t>. Each Option shall be evidenced by an appropriate written agreement, the form of which shall be consistent with the terms and conditions of the Plan and applicable law, which shall be signed by an officer of the Company and the Participant. A single written agreement may cover the grant of Options in subsequent or prior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PAYMENT FOR OPTIONS</w:t>
      </w:r>
    </w:p>
    <w:p>
      <w:pPr>
        <w:spacing w:after="0" w:line="220"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Payments required, if any, upon a Participant’s exercise of an Option under the Plan may be made in the form of: (i) cash; (ii) Company stock; (iii) a combination of cash and Company stock; or (iv) such other forms or means that the Board shall determine in its discretion and in such manner as is consistent with the Plan’s purpose and the Code, the Exchange Act, or other applicable laws or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TRANSFERABILITY OF OPTIONS AND EFFECT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 OF DIRECTOR STATUS</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provided herein, no Option or interest therein shall be transferable by a Participant other than by will or by the laws of descent and distribution.</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Exercise Upon Death</w:t>
      </w:r>
      <w:r>
        <w:rPr>
          <w:rFonts w:ascii="Times New Roman" w:cs="Times New Roman" w:eastAsia="Times New Roman" w:hAnsi="Times New Roman"/>
          <w:sz w:val="18"/>
          <w:szCs w:val="18"/>
          <w:color w:val="auto"/>
        </w:rPr>
        <w:t>. In the event of the death of a Participant prior to termination of an Option held by such director, each such Option shall be exercisable to the extent provided therein, but not later than one year after the date of death (and not beyond the stated duration of the Option). Any such exercise shall be made only:</w:t>
      </w:r>
    </w:p>
    <w:p>
      <w:pPr>
        <w:spacing w:after="0" w:line="176" w:lineRule="exact"/>
        <w:rPr>
          <w:sz w:val="20"/>
          <w:szCs w:val="20"/>
          <w:color w:val="auto"/>
        </w:rPr>
      </w:pPr>
    </w:p>
    <w:p>
      <w:pPr>
        <w:ind w:left="1280" w:right="20" w:hanging="633"/>
        <w:spacing w:after="0" w:line="277"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executor or administrator of the estate of the deceased Participant or the person or persons to whom the deceased Participant’s rights under the Option shall pass by will or the laws of descent and distribution;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if any, that the deceased Participant was entitled to exercise such Option at the date of his death.</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8" w:name="page49"/>
    <w:bookmarkEnd w:id="48"/>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Transferability of Option During Lifetime</w:t>
      </w:r>
      <w:r>
        <w:rPr>
          <w:rFonts w:ascii="Times New Roman" w:cs="Times New Roman" w:eastAsia="Times New Roman" w:hAnsi="Times New Roman"/>
          <w:sz w:val="18"/>
          <w:szCs w:val="18"/>
          <w:color w:val="auto"/>
        </w:rPr>
        <w:t>. Except as otherwise provided herein, every Option granted under the Plan to a Participant may be assigned or transferred by the Participant to or for the benefit of a member of the Participant’s immediate family or to trusts created for their benefit and may thereafter be exercised pursuant to its terms by the person or entity to whom assigned; provided, however, that such transfer does not result in liability under Section 16 of the Exchange Act to the Participant or other Participants and is consistent with registration of the Options and sale of Common Stock on Form S-8 (or a successor form) or the Board’s waiver of such condition.</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Any unexpired and unexercised Options held by a Participant shall be immediately forfeited if the Participant is prohibited from serving on the Board by any court of competent jurisdiction or other government authority, or if, in the discretion of the Board, a Participant is no longer competent to serve on the Board due to the Participant’s violation of state or federal securities law or other rule of the NASDAQ Stock Market (or such other listing standards then applicable to the Company).</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Resale Limitation</w:t>
      </w:r>
      <w:r>
        <w:rPr>
          <w:rFonts w:ascii="Times New Roman" w:cs="Times New Roman" w:eastAsia="Times New Roman" w:hAnsi="Times New Roman"/>
          <w:sz w:val="18"/>
          <w:szCs w:val="18"/>
          <w:color w:val="auto"/>
        </w:rPr>
        <w:t>. Shares of Common Stock issued upon exercise of Options under the Plan shall be subject to effective registration statements filed with the Securities and Exchange Commission and freely transferable. However, any sale of shares acquired through the exercise of Options by a director must be made pursuant to an effective registration statement under the Securities Act of 1933, as amended, or under an applicable exemption from registration (such as SEC Rule 144). Any such sale be reported to the SEC in accordance with the applicable provisions of Section 16 of the Exchange Act and rules promulgated thereunder.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RESTRICTED STOCK</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Awards of Restricted Stock</w:t>
      </w:r>
      <w:r>
        <w:rPr>
          <w:rFonts w:ascii="Times New Roman" w:cs="Times New Roman" w:eastAsia="Times New Roman" w:hAnsi="Times New Roman"/>
          <w:sz w:val="18"/>
          <w:szCs w:val="18"/>
          <w:color w:val="auto"/>
        </w:rPr>
        <w:t>. Awards of Restricted Stock may be granted to Participants at the discretion of the Board. Restricted Stock consists of shares of Common Stock that are transferred or sold to the Participant, but which carry restrictions such as a prohibition against disposition or an option to repurchase in the event the Participant terminates service on the Company’s Board, and may be subject to a substantial risk of forfeiture. Until such restrictions lapse, the Participant may not sell, assign, pledge or otherwise transfer, whether voluntarily or involuntarily, the Restricted Stock, except by reason of an exchange or conversion of such shares because of merger, consolidation, reorganization or other corporate action. Any shares into which the Restricted Stock may be converted or for which the Restricted Stock may be exchanged in a merger, consolidation, reorganization or other corporate action shall be subject to the same transferability restrictions as the Restricted Stock. A sale of Restricted Stock to a Participant shall be at such price as the Board determines, which price may be substantially below the Fair Market Value of the Common Stock at the date of grant.</w:t>
      </w:r>
    </w:p>
    <w:p>
      <w:pPr>
        <w:spacing w:after="0" w:line="190" w:lineRule="exact"/>
        <w:rPr>
          <w:sz w:val="20"/>
          <w:szCs w:val="20"/>
          <w:color w:val="auto"/>
        </w:rPr>
      </w:pPr>
    </w:p>
    <w:p>
      <w:pPr>
        <w:jc w:val="both"/>
        <w:ind w:left="1120" w:hanging="473"/>
        <w:spacing w:after="0" w:line="26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The Board shall establish the conditions under which the restrictions applicable to shares of Restricted Stock shall lapse. Lapse of the restrictions may be conditioned upon the Participant’s continued service on the Board for a specified period of time or any other factors as the Board deems appropriate.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9" w:name="page50"/>
    <w:bookmarkEnd w:id="49"/>
    <w:p>
      <w:pPr>
        <w:jc w:val="both"/>
        <w:ind w:left="1120" w:hanging="473"/>
        <w:spacing w:after="0" w:line="251" w:lineRule="auto"/>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Holder of Restricted Stock</w:t>
      </w:r>
      <w:r>
        <w:rPr>
          <w:rFonts w:ascii="Times New Roman" w:cs="Times New Roman" w:eastAsia="Times New Roman" w:hAnsi="Times New Roman"/>
          <w:sz w:val="18"/>
          <w:szCs w:val="18"/>
          <w:color w:val="auto"/>
        </w:rPr>
        <w:t>. Except for the restrictions on transfer and risk of forfeiture, the Participant shall have, with respect to shares of Restricted Stock, all of the rights of a shareholder of Common Stock, including, if applicable, the right to vote the shares and the right to receive any cash or stock dividends. Notwithstanding the foregoing, cash or stock dividends on shares of Restricted Stock shall be automatically deferred, and shall be paid to the Participant only if and to the extent the underlying shares of Restricted Stock vest. Cash or stock dividends payable with respect to shares of Restricted Stock that are forfeited shall also be forfeited. Cash or stock dividends payable under this paragraph shall be paid within 30 days after the restrictions on the shares of Restricted Stock to which such dividends relate lapse. Cash dividends shall be paid with an appropriate rate of interest, as determined by the Board. The Board shall not have the discretion to override the provisions of this Section 9.1(b).</w:t>
      </w:r>
    </w:p>
    <w:p>
      <w:pPr>
        <w:spacing w:after="0" w:line="189" w:lineRule="exact"/>
        <w:rPr>
          <w:rFonts w:ascii="Times New Roman" w:cs="Times New Roman" w:eastAsia="Times New Roman" w:hAnsi="Times New Roman"/>
          <w:sz w:val="18"/>
          <w:szCs w:val="18"/>
          <w:color w:val="auto"/>
        </w:rPr>
      </w:pPr>
    </w:p>
    <w:p>
      <w:pPr>
        <w:jc w:val="both"/>
        <w:ind w:left="1120" w:hanging="473"/>
        <w:spacing w:after="0" w:line="257" w:lineRule="auto"/>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Company may require that certificates evidencing shares of Restricted Stock be held by the Company until the restrictions thereon have lapsed. If and when such restrictions lapse, certificates for such shares shall be delivered to the Participant to the extent the Company issues certificates for shares of its common stock. Such shares may have further restrictions on transfer if they have not been registered under the Exchange Act, but shall no longer be subject to a substantial risk of forfeiture.</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Written Agreement</w:t>
      </w:r>
      <w:r>
        <w:rPr>
          <w:rFonts w:ascii="Times New Roman" w:cs="Times New Roman" w:eastAsia="Times New Roman" w:hAnsi="Times New Roman"/>
          <w:sz w:val="18"/>
          <w:szCs w:val="18"/>
          <w:color w:val="auto"/>
        </w:rPr>
        <w:t>. Each Restricted Stock award shall be evidenced by an appropriate written agreement, the form of which shall be consistent with the terms and conditions of the Plan and applicable law, which shall be signed by an officer of the Company and the Participant. A single written agreement may cover the award of Restricted Stock in subsequent or prior years.</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Transferability of Restricted Stock Upon Death or Disability</w:t>
      </w:r>
      <w:r>
        <w:rPr>
          <w:rFonts w:ascii="Times New Roman" w:cs="Times New Roman" w:eastAsia="Times New Roman" w:hAnsi="Times New Roman"/>
          <w:sz w:val="18"/>
          <w:szCs w:val="18"/>
          <w:color w:val="auto"/>
        </w:rPr>
        <w:t>. All Restricted Stock held by a Participant shall become freely transferable if the Participant’s service on the Board terminates due to the Participant’s death or disability. For this purpose, “disability” shall mean a mental or physical illness that renders a Participant totally and permanently incapable of performing the Participant's duties as a member of the Board.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Board. The determination of disability for purposes of the Plan shall not be construed as an admission of disability for any other purpose.</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Resale Limitation</w:t>
      </w:r>
      <w:r>
        <w:rPr>
          <w:rFonts w:ascii="Times New Roman" w:cs="Times New Roman" w:eastAsia="Times New Roman" w:hAnsi="Times New Roman"/>
          <w:sz w:val="18"/>
          <w:szCs w:val="18"/>
          <w:color w:val="auto"/>
        </w:rPr>
        <w:t>. Restricted Stock awarded under the Plan shall be subject to effective registration statements filed with the Securities and Exchange Commission and freely transferable, except as provided in this Article IX. However, any sale of Restricted Stock by a director must be made pursuant to an effective registration statement under the Securities Act of 1933, as amended, or under an applicable exemption from registration (such as SEC Rule 144). Any such sale must be reported to the SEC in accordance with the applicable provisions of Section 16 of the Exchange Act and rules promulgated thereunder.</w:t>
      </w:r>
    </w:p>
    <w:p>
      <w:pPr>
        <w:spacing w:after="0" w:line="186"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Forfeiture of Restricted Stock</w:t>
      </w:r>
      <w:r>
        <w:rPr>
          <w:rFonts w:ascii="Times New Roman" w:cs="Times New Roman" w:eastAsia="Times New Roman" w:hAnsi="Times New Roman"/>
          <w:sz w:val="18"/>
          <w:szCs w:val="18"/>
          <w:color w:val="auto"/>
        </w:rPr>
        <w:t>. Any Restricted Stock held by a Participant that remains subject to the transfer restrictions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 shall be immediately forfeited if:</w:t>
      </w:r>
    </w:p>
    <w:p>
      <w:pPr>
        <w:spacing w:after="0" w:line="201" w:lineRule="exact"/>
        <w:rPr>
          <w:sz w:val="20"/>
          <w:szCs w:val="20"/>
          <w:color w:val="auto"/>
        </w:rPr>
      </w:pPr>
    </w:p>
    <w:p>
      <w:pPr>
        <w:ind w:left="5480" w:right="2840" w:hanging="4833"/>
        <w:spacing w:after="0" w:line="555" w:lineRule="auto"/>
        <w:tabs>
          <w:tab w:leader="none" w:pos="11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service as a member of the Board ends prior to the date the transfer restrictions lapse;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0" w:name="page51"/>
    <w:bookmarkEnd w:id="50"/>
    <w:p>
      <w:pPr>
        <w:ind w:left="1120" w:hanging="473"/>
        <w:spacing w:after="0" w:line="277"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recommended by the Company to be re-elected to the Board and fails to be re-elected by the shareholders of the Company to the Board in that election; or</w:t>
      </w:r>
    </w:p>
    <w:p>
      <w:pPr>
        <w:spacing w:after="0" w:line="162" w:lineRule="exact"/>
        <w:rPr>
          <w:rFonts w:ascii="Times New Roman" w:cs="Times New Roman" w:eastAsia="Times New Roman" w:hAnsi="Times New Roman"/>
          <w:sz w:val="18"/>
          <w:szCs w:val="18"/>
          <w:color w:val="auto"/>
        </w:rPr>
      </w:pPr>
    </w:p>
    <w:p>
      <w:pPr>
        <w:jc w:val="both"/>
        <w:ind w:left="1120" w:hanging="473"/>
        <w:spacing w:after="0" w:line="26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prohibited from serving on the Board by any court of competent jurisdiction or other government authority, or in the discretion of the Board is no longer competent to serve on the Board due to the Participant’s violation of state or federal securities law or other rule of the NASDAQ Stock Market (or such other listing standards then applicable to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PAYMENT OF RETAINER FEE IN RESTRICTED STOCK</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designate that all, or such portion as it shall from time to time designate, of the annual retainer payable to Participants for service as members of the Board (exclusive of any committee chair or meeting fees) be paid in shares of Restricted Stock.</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Payment of Equity Portion of Retainer</w:t>
      </w:r>
      <w:r>
        <w:rPr>
          <w:rFonts w:ascii="Times New Roman" w:cs="Times New Roman" w:eastAsia="Times New Roman" w:hAnsi="Times New Roman"/>
          <w:sz w:val="18"/>
          <w:szCs w:val="18"/>
          <w:color w:val="auto"/>
        </w:rPr>
        <w:t>. As of the date of each annual meeting of shareholders of the Company, each Participant who is elected or re-elected to the Board at such meeting or who continues to serve on the Board after such meeting shall receive an award of Restricted Stock equal to the portion of the annual retainer designated under Section 10.1 above. The number of shares of Restricted Stock shall be based on the annual retainer in effect for Participants who are elected or re-elected to the Board or who continue to serve on the Board, and shall be determined by dividing the dollar value of the portion of such annual retainer designated as payable in Restricted Stock by the Fair Market Value per share of Common Stock as of the date of the annual meeting, and rounding down to the nearest whole share.</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Mid-Year Elections or Appointments to Board</w:t>
      </w:r>
      <w:r>
        <w:rPr>
          <w:rFonts w:ascii="Times New Roman" w:cs="Times New Roman" w:eastAsia="Times New Roman" w:hAnsi="Times New Roman"/>
          <w:sz w:val="18"/>
          <w:szCs w:val="18"/>
          <w:color w:val="auto"/>
        </w:rPr>
        <w:t>. A Participant who is elected or appointed to the Board between annual meetings of shareholders shall be granted an award of Restricted Stock as of the date of his or her election or appointment, based on the proportionate share of the annual retainer as of the date of his or her election or appointment and the portion of such proportionate share designated by the Board as payable in Restricted Stock.</w:t>
      </w:r>
    </w:p>
    <w:p>
      <w:pPr>
        <w:spacing w:after="0" w:line="181"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Election to Receive Restricted Stock in Lieu of Cash Retainer Fee</w:t>
      </w:r>
      <w:r>
        <w:rPr>
          <w:rFonts w:ascii="Times New Roman" w:cs="Times New Roman" w:eastAsia="Times New Roman" w:hAnsi="Times New Roman"/>
          <w:sz w:val="18"/>
          <w:szCs w:val="18"/>
          <w:color w:val="auto"/>
        </w:rPr>
        <w:t>. With respect to the portion of the annual retainer payable to Participants for service as members of the Board (exclusive of any committee chair or meeting fees) that the Board designates in accordance with Section 10.1 will be payable in cash, a Participant may elect to receive all or a portion of such amount in the form of an Award of Restricted Stock. Any such election shall be made in writing and shall be delivered to the Company no later than the “Election Deadline,” which is defined as the last day of the Semi-Annual Period prior to the Semi-Annual Period in which the portion of such annual retainer to which the election relates will be earned. For this purpose, a “Semi-Annual Period” is a six-month period defined by the Board on a consistent basis for all of the Company’s non-employee Directors based on the timing of the Company’s cash retainer payments to its non-employee Directors. As of such Election Deadline, a Participant’s election to receive all or a portion of the annual retainer that will be earned in the following Semi-Annual Period in the form of Restricted Stock shall be irrevocable. Any such retainer fee that the Participant elects to receive in the form of Restricted Stock in lieu of cash shall be converted to a fixed number of shares of Restricted Stock by dividing the dollar value of the cash that would otherwise have been paid to the Participant by the Fair Market Value per share of Common Stock as of the date such payment would have been made, and rounding down to the nearest whole share. A Participant may make an election under this Section 10.4 prior to the Effective Date of the Plan with respect amounts that would be payable after the Effective Date, provided that if the Plan is not approved by shareholders holding a majority of the outstanding shares of Common Stock of the Company before such payment is due, the Participant’s election shall be null and void. The Board shall have the sole right to determine whether and under what circumstances to permit elections under this Section 10.4 and to impose such limitations and other terms and conditions thereon as the Board deems appropriate.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1" w:name="page52"/>
    <w:bookmarkEnd w:id="51"/>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Shares of Restricted Stock awarded under this Article X shall be subject to the restrictions of Article IX above. With respect to shares of Restricted Stock awarded under Section 10.2, such restrictions shall lapse as of the date of the annual meeting of shareholders that is subsequent to the date the Restricted Stock was awarded if the Participant continues to serve on the Board up to such meeting, unless such restrictions lapse earlier due to the termination of the Participant’s service on the Board as a result of death or disability as provided in Section 9.3. With respect to shares of Restricted Stock awarded under Section 10.4, such restrictions shall lapse on the first anniversary of the date that the cash would have otherwise been paid to the Participant, unless such restrictions lapse earlier due to the termination of the Participant’s service on the Board as a result of death or disability as provided in Section 9.3.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CASH-SETTLED RESTRICTED STOCK UNITS</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Awards of Cash-Settled Restricted Stock Units</w:t>
      </w:r>
      <w:r>
        <w:rPr>
          <w:rFonts w:ascii="Times New Roman" w:cs="Times New Roman" w:eastAsia="Times New Roman" w:hAnsi="Times New Roman"/>
          <w:sz w:val="18"/>
          <w:szCs w:val="18"/>
          <w:color w:val="auto"/>
        </w:rPr>
        <w:t>. Awards of Cash-Settled Restricted Stock Units may be granted to Participants at the discretion of the Board. Cash-Settled Restricted Stock Units consist of the right to receive a cash payment upon the lapse of a substantial risk of forfeiture. The cash payment for each Cash-Settled Restricted Stock Unit that vests upon the lapse of the substantial risk of forfeiture shall be equal to the Fair Market Value per share of Common Stock as of the date the substantial risk of forfeiture lapses.</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Written Agreement</w:t>
      </w:r>
      <w:r>
        <w:rPr>
          <w:rFonts w:ascii="Times New Roman" w:cs="Times New Roman" w:eastAsia="Times New Roman" w:hAnsi="Times New Roman"/>
          <w:sz w:val="18"/>
          <w:szCs w:val="18"/>
          <w:color w:val="auto"/>
        </w:rPr>
        <w:t>. Each Cash-Settled Restricted Stock Unit award shall be evidenced by an appropriate written agreement, the form of which shall be consistent with the terms and conditions of the Plan and applicable law, which shall be signed by an officer of the Company and the Participant. An agreement evidencing an award of Cash-Settled Restricted Stock Units shall be drafted in a manner that either satisfies the short-term deferral exception to Section 409A of the Internal Revenue Code or meets the requirements of Section 409A and applicable regulations.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ADJUSTMENT PROVISIONS</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If the Company shall at any time change the number of issued shares of Common Stock without new consideration to the Company (by stock dividends, stock splits, split-up, spin-off or similar transactions):</w:t>
      </w:r>
    </w:p>
    <w:p>
      <w:pPr>
        <w:spacing w:after="0" w:line="163" w:lineRule="exact"/>
        <w:rPr>
          <w:sz w:val="20"/>
          <w:szCs w:val="20"/>
          <w:color w:val="auto"/>
        </w:rPr>
      </w:pPr>
    </w:p>
    <w:p>
      <w:pPr>
        <w:ind w:left="1280" w:right="240" w:hanging="633"/>
        <w:spacing w:after="0" w:line="307" w:lineRule="auto"/>
        <w:tabs>
          <w:tab w:leader="none" w:pos="12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reserved for issuance under this Plan and the number of shares subject to each outstanding Option shall be adjusted so that the aggregate consideration payable to the Company, if any, and the value of each such Option shall not be changed; and</w:t>
      </w:r>
    </w:p>
    <w:p>
      <w:pPr>
        <w:spacing w:after="0" w:line="140" w:lineRule="exact"/>
        <w:rPr>
          <w:rFonts w:ascii="Times New Roman" w:cs="Times New Roman" w:eastAsia="Times New Roman" w:hAnsi="Times New Roman"/>
          <w:sz w:val="17"/>
          <w:szCs w:val="17"/>
          <w:color w:val="auto"/>
        </w:rPr>
      </w:pPr>
    </w:p>
    <w:p>
      <w:pPr>
        <w:ind w:left="1280" w:right="520" w:hanging="633"/>
        <w:spacing w:after="0" w:line="277"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outstanding Cash-Settled Restricted Stock Units shall be adjusted in the same manner as shares of Common Stock are adjusted by the underlying transaction.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2" w:name="page53"/>
    <w:bookmarkEnd w:id="52"/>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Reorganization, Sale, etc</w:t>
      </w:r>
      <w:r>
        <w:rPr>
          <w:rFonts w:ascii="Times New Roman" w:cs="Times New Roman" w:eastAsia="Times New Roman" w:hAnsi="Times New Roman"/>
          <w:sz w:val="18"/>
          <w:szCs w:val="18"/>
          <w:color w:val="auto"/>
        </w:rPr>
        <w:t>. Options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AND TERMINATION OF PLAN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without further approval of the Company’s shareholders, may amend the Plan from time to time or terminate the Plan at any time, provided that:</w:t>
      </w:r>
    </w:p>
    <w:p>
      <w:pPr>
        <w:spacing w:after="0" w:line="163" w:lineRule="exact"/>
        <w:rPr>
          <w:sz w:val="20"/>
          <w:szCs w:val="20"/>
          <w:color w:val="auto"/>
        </w:rPr>
      </w:pPr>
    </w:p>
    <w:p>
      <w:pPr>
        <w:ind w:left="1280" w:right="20" w:hanging="633"/>
        <w:spacing w:after="0" w:line="277" w:lineRule="auto"/>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authorized by this Article shall reduce the amount of any existing Option, Restricted Stock award or Cash-Settled Restricted Unit Award or change the terms and conditions thereof without the Participant’s consent; and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3" w:lineRule="auto"/>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the Plan shall, without the approval of the Company’s shareholders, (i) increase the total number of shares of Common Stock that may be issued under the Plan or increase the amount or type of Option that may be granted under the Plan or increase the amount of Restricted Stock that may be awarded under the Plan; (ii) change the minimum purchase price, if any, of shares of Common Stock that may be made subject to Options under the Plan; (iii) modify the requirements as to eligibility for an Option under the Plan; (iv) extend the term of the Plan; or (v) constitute a material revision of the Plan requiring shareholder approval under the listing standards of the NASDAQ Stock Market (or such other listing standards then applicable to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A Participant’s right, if any, to continue to serve the Company as a director shall not be enlarged or otherwise affected by his designation as a Participant under the Plan.</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Controlling Law</w:t>
      </w:r>
      <w:r>
        <w:rPr>
          <w:rFonts w:ascii="Times New Roman" w:cs="Times New Roman" w:eastAsia="Times New Roman" w:hAnsi="Times New Roman"/>
          <w:sz w:val="18"/>
          <w:szCs w:val="18"/>
          <w:color w:val="auto"/>
        </w:rPr>
        <w:t>. The Plan, all Options granted, all Restricted Stock and Cash-Settled Restricted Stock Units awarded and actions taken hereunder shall be governed by and construed in accordance with the laws of the State of Wisconsin (without regard to the choice of law provisions thereof). The Plan shall be construed to comply with all applicable law and to avoid liability to the Company or a subsidiary, including, without limitation, liability under Section 16(b) of the Exchange Act.</w:t>
      </w:r>
    </w:p>
    <w:p>
      <w:pPr>
        <w:spacing w:after="0" w:line="18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contained in the Plan are for reference purposes only, and shall not affect the meaning or interpretation of the Plan.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Plan and any agreements governing the grant of Options or Restricted Stock or Cash-Settled Restricted Stock Unit awards hereunder to any Participant constitutes the entire agreement with respect to the subject matter hereof with respect to such Participant, provided that in the event of any inconsistency between the Plan and any such agreement(s), the terms and conditions of the Plan shall control.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675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967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675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967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675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967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692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9692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557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9557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2)"/>
      <w:numFmt w:val="decimal"/>
      <w:start w:val="1"/>
    </w:lvl>
  </w:abstractNum>
  <w:abstractNum w:abstractNumId="3">
    <w:nsid w:val="257130A3"/>
    <w:multiLevelType w:val="hybridMultilevel"/>
    <w:lvl w:ilvl="0">
      <w:lvlJc w:val="left"/>
      <w:lvlText w:val="☐"/>
      <w:numFmt w:val="bullet"/>
      <w:start w:val="1"/>
    </w:lvl>
    <w:lvl w:ilvl="1">
      <w:lvlJc w:val="left"/>
      <w:lvlText w:val="%2)"/>
      <w:numFmt w:val="decimal"/>
      <w:start w:val="4"/>
    </w:lvl>
  </w:abstractNum>
  <w:abstractNum w:abstractNumId="4">
    <w:nsid w:val="62BBD95A"/>
    <w:multiLevelType w:val="hybridMultilevel"/>
    <w:lvl w:ilvl="0">
      <w:lvlJc w:val="left"/>
      <w:lvlText w:val="☐"/>
      <w:numFmt w:val="bullet"/>
      <w:start w:val="1"/>
    </w:lvl>
    <w:lvl w:ilvl="1">
      <w:lvlJc w:val="left"/>
      <w:lvlText w:val="%2)"/>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lvl>
    <w:lvl w:ilvl="1">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Letter"/>
      <w:start w:val="1"/>
    </w:lvl>
    <w:lvl w:ilvl="1">
      <w:lvlJc w:val="left"/>
      <w:lvlText w:val="%2."/>
      <w:numFmt w:val="lowerRoman"/>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1)"/>
      <w:numFmt w:val="lowerRoman"/>
      <w:start w:val="3"/>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amp;"/>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2"/>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2020-09-10T07:17:10Z</dcterms:created>
  <dcterms:modified xsi:type="dcterms:W3CDTF">2020-09-10T07:17:10Z</dcterms:modified>
</cp:coreProperties>
</file>