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17, 2003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17, 2003 at the Corporate Offices, 1328 Racine Street, Racine, Wisconsin, 53403,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2006.</w:t>
      </w:r>
    </w:p>
    <w:p>
      <w:pPr>
        <w:spacing w:after="0" w:line="218"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meeting.</w:t>
      </w:r>
    </w:p>
    <w:p>
      <w:pPr>
        <w:spacing w:after="0" w:line="207"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29, 2003,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18, 2003</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2960"/>
        <w:spacing w:after="0" w:line="238" w:lineRule="auto"/>
        <w:rPr>
          <w:sz w:val="20"/>
          <w:szCs w:val="20"/>
          <w:color w:val="auto"/>
        </w:rPr>
      </w:pPr>
      <w:r>
        <w:rPr>
          <w:rFonts w:ascii="Courier New" w:cs="Courier New" w:eastAsia="Courier New" w:hAnsi="Courier New"/>
          <w:sz w:val="18"/>
          <w:szCs w:val="18"/>
          <w:color w:val="auto"/>
        </w:rPr>
        <w:t>2003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18,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17, 2003, or any adjournment thereof. Holders of common stock of record at the close of business on the 29th day of August 2003,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18, 2003.</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 INVALID.</w:t>
      </w:r>
    </w:p>
    <w:p>
      <w:pPr>
        <w:spacing w:after="0" w:line="18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record date with respect to this solicitation is August 29, 2003. On August 29, 2003, there were outstanding 2,806,842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2004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2004 Annual Meeting, the proposal must be received at the Corporation's principal executive offices no later than May 21, 2004. Shareholder proposals received later than August 4, 2004 will be considered untimely, and will not be considered at the Corporation's 2004 Annual Meeting.</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The approval of a majority of the votes cast on a particular matter shall be an act of the shareholders.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2003, the following table sets forth the persons or group of persons having beneficial ownership (as defined by the Securities and Exchange Commission) of more than 5% of the issued and outstanding common stock of the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Nature of Beneficial Ownership</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0"/>
          <w:szCs w:val="20"/>
          <w:color w:val="auto"/>
        </w:rPr>
      </w:pPr>
    </w:p>
    <w:p>
      <w:pPr>
        <w:sectPr>
          <w:pgSz w:w="11900" w:h="16838" w:orient="portrait"/>
          <w:cols w:equalWidth="0" w:num="5">
            <w:col w:w="2020" w:space="720"/>
            <w:col w:w="1080" w:space="720"/>
            <w:col w:w="1060" w:space="620"/>
            <w:col w:w="640" w:space="320"/>
            <w:col w:w="3039"/>
          </w:cols>
          <w:pgMar w:left="240" w:top="312" w:right="144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28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8"/>
              </w:rPr>
              <w:t>- - - - - - - - - - -  B - - - - - - - -</w:t>
            </w:r>
          </w:p>
        </w:tc>
        <w:tc>
          <w:tcPr>
            <w:tcW w:w="1780" w:type="dxa"/>
            <w:vAlign w:val="bottom"/>
            <w:gridSpan w:val="2"/>
          </w:tcPr>
          <w:p>
            <w:pPr>
              <w:ind w:left="360"/>
              <w:spacing w:after="0" w:line="198" w:lineRule="exact"/>
              <w:rPr>
                <w:sz w:val="20"/>
                <w:szCs w:val="20"/>
                <w:color w:val="auto"/>
              </w:rPr>
            </w:pPr>
            <w:r>
              <w:rPr>
                <w:rFonts w:ascii="Courier New" w:cs="Courier New" w:eastAsia="Courier New" w:hAnsi="Courier New"/>
                <w:sz w:val="18"/>
                <w:szCs w:val="18"/>
                <w:color w:val="auto"/>
              </w:rPr>
              <w:t>- - - - - -</w:t>
            </w:r>
          </w:p>
        </w:tc>
        <w:tc>
          <w:tcPr>
            <w:tcW w:w="22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 - - -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538,431</w:t>
            </w:r>
          </w:p>
        </w:tc>
        <w:tc>
          <w:tcPr>
            <w:tcW w:w="14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19.2%</w:t>
            </w:r>
          </w:p>
        </w:tc>
      </w:tr>
      <w:tr>
        <w:trPr>
          <w:trHeight w:val="203"/>
        </w:trPr>
        <w:tc>
          <w:tcPr>
            <w:tcW w:w="216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Racine, WI</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145,713</w:t>
            </w:r>
          </w:p>
        </w:tc>
        <w:tc>
          <w:tcPr>
            <w:tcW w:w="1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Shufro Rose</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745 Fifth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257,900</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9.2%</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Co. LLC</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168,300</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Monica, CA</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Held as trustee under various trusts.</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Includes 2,600 shares owned by the wife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Michael</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 Batten and</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65,000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subject to currently</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exercisable stock options.</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DIRECTORS AND EXECUTIVE OFFICERS</w:t>
      </w:r>
    </w:p>
    <w:p>
      <w:pPr>
        <w:spacing w:after="0" w:line="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2003, the following table sets forth the number of shares of common stock of the Corporation beneficially owned by each of the Directors of the Corporation, each of the executive officers named in</w:t>
      </w:r>
    </w:p>
    <w:tbl>
      <w:tblPr>
        <w:tblLayout w:type="fixed"/>
        <w:tblInd w:w="0" w:type="dxa"/>
        <w:tblCellMar>
          <w:top w:w="0" w:type="dxa"/>
          <w:left w:w="0" w:type="dxa"/>
          <w:bottom w:w="0" w:type="dxa"/>
          <w:right w:w="0" w:type="dxa"/>
        </w:tblCellMar>
      </w:tblPr>
      <w:tr>
        <w:trPr>
          <w:trHeight w:val="199"/>
        </w:trPr>
        <w:tc>
          <w:tcPr>
            <w:tcW w:w="358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6"/>
              </w:rPr>
              <w:t>the Summary Compensation Table and</w:t>
            </w:r>
          </w:p>
        </w:tc>
        <w:tc>
          <w:tcPr>
            <w:tcW w:w="4540" w:type="dxa"/>
            <w:vAlign w:val="bottom"/>
            <w:gridSpan w:val="2"/>
          </w:tcPr>
          <w:p>
            <w:pPr>
              <w:ind w:left="120"/>
              <w:spacing w:after="0" w:line="199" w:lineRule="exact"/>
              <w:rPr>
                <w:sz w:val="20"/>
                <w:szCs w:val="20"/>
                <w:color w:val="auto"/>
              </w:rPr>
            </w:pPr>
            <w:r>
              <w:rPr>
                <w:rFonts w:ascii="Courier New" w:cs="Courier New" w:eastAsia="Courier New" w:hAnsi="Courier New"/>
                <w:sz w:val="18"/>
                <w:szCs w:val="18"/>
                <w:color w:val="auto"/>
                <w:w w:val="96"/>
              </w:rPr>
              <w:t>the number of shares beneficially owned by</w:t>
            </w:r>
          </w:p>
        </w:tc>
      </w:tr>
      <w:tr>
        <w:trPr>
          <w:trHeight w:val="203"/>
        </w:trPr>
        <w:tc>
          <w:tcPr>
            <w:tcW w:w="8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of the Corporation as a group.</w:t>
            </w:r>
          </w:p>
        </w:tc>
      </w:tr>
      <w:tr>
        <w:trPr>
          <w:trHeight w:val="608"/>
        </w:trPr>
        <w:tc>
          <w:tcPr>
            <w:tcW w:w="2960" w:type="dxa"/>
            <w:vAlign w:val="bottom"/>
          </w:tcPr>
          <w:p>
            <w:pPr>
              <w:spacing w:after="0"/>
              <w:rPr>
                <w:sz w:val="24"/>
                <w:szCs w:val="24"/>
                <w:color w:val="auto"/>
              </w:rPr>
            </w:pPr>
          </w:p>
        </w:tc>
        <w:tc>
          <w:tcPr>
            <w:tcW w:w="30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Amount and Nature</w:t>
            </w:r>
          </w:p>
        </w:tc>
        <w:tc>
          <w:tcPr>
            <w:tcW w:w="2100" w:type="dxa"/>
            <w:vAlign w:val="bottom"/>
          </w:tcPr>
          <w:p>
            <w:pPr>
              <w:spacing w:after="0"/>
              <w:rPr>
                <w:sz w:val="24"/>
                <w:szCs w:val="24"/>
                <w:color w:val="auto"/>
              </w:rPr>
            </w:pP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620" w:type="dxa"/>
            <w:vAlign w:val="bottom"/>
          </w:tcPr>
          <w:p>
            <w:pPr>
              <w:spacing w:after="0"/>
              <w:rPr>
                <w:sz w:val="17"/>
                <w:szCs w:val="17"/>
                <w:color w:val="auto"/>
              </w:rPr>
            </w:pPr>
          </w:p>
        </w:tc>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Beneficial</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Beneficial Owner</w:t>
            </w:r>
          </w:p>
        </w:tc>
        <w:tc>
          <w:tcPr>
            <w:tcW w:w="620" w:type="dxa"/>
            <w:vAlign w:val="bottom"/>
          </w:tcPr>
          <w:p>
            <w:pPr>
              <w:spacing w:after="0"/>
              <w:rPr>
                <w:sz w:val="17"/>
                <w:szCs w:val="17"/>
                <w:color w:val="auto"/>
              </w:rPr>
            </w:pPr>
          </w:p>
        </w:tc>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Ownership</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 - - - - - - -</w:t>
            </w:r>
          </w:p>
        </w:tc>
        <w:tc>
          <w:tcPr>
            <w:tcW w:w="3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 - - - - - - -</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060" w:type="dxa"/>
            <w:vAlign w:val="bottom"/>
            <w:gridSpan w:val="2"/>
          </w:tcPr>
          <w:p>
            <w:pPr>
              <w:jc w:val="right"/>
              <w:ind w:right="1712"/>
              <w:spacing w:after="0"/>
              <w:rPr>
                <w:sz w:val="20"/>
                <w:szCs w:val="20"/>
                <w:color w:val="auto"/>
              </w:rPr>
            </w:pPr>
            <w:r>
              <w:rPr>
                <w:rFonts w:ascii="Courier New" w:cs="Courier New" w:eastAsia="Courier New" w:hAnsi="Courier New"/>
                <w:sz w:val="18"/>
                <w:szCs w:val="18"/>
                <w:color w:val="auto"/>
              </w:rPr>
              <w:t>684,144</w:t>
            </w:r>
          </w:p>
        </w:tc>
        <w:tc>
          <w:tcPr>
            <w:tcW w:w="21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24.5%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5"/>
              </w:rPr>
              <w:t>46,128</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1.6%</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9,500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5"/>
              </w:rPr>
              <w:t>10,320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H. Claude Fabry</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8,900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H. Batten</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3,395</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5,500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9,200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B. Rayburn</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3,600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6,700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5,400</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620" w:type="dxa"/>
            <w:vAlign w:val="bottom"/>
          </w:tcPr>
          <w:p>
            <w:pPr>
              <w:spacing w:after="0"/>
              <w:rPr>
                <w:sz w:val="24"/>
                <w:szCs w:val="24"/>
                <w:color w:val="auto"/>
              </w:rPr>
            </w:pPr>
          </w:p>
        </w:tc>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7,645</w:t>
            </w:r>
          </w:p>
        </w:tc>
        <w:tc>
          <w:tcPr>
            <w:tcW w:w="21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(15 persons)</w:t>
            </w:r>
          </w:p>
        </w:tc>
        <w:tc>
          <w:tcPr>
            <w:tcW w:w="306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813,666</w:t>
            </w:r>
          </w:p>
        </w:tc>
        <w:tc>
          <w:tcPr>
            <w:tcW w:w="21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30.3%</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Denotes ownership of less than one percent of shares outstanding.</w:t>
      </w:r>
    </w:p>
    <w:p>
      <w:pPr>
        <w:spacing w:after="0" w:line="20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jc w:val="both"/>
        <w:ind w:right="2619" w:firstLine="105"/>
        <w:spacing w:after="0" w:line="236" w:lineRule="auto"/>
        <w:rPr>
          <w:sz w:val="20"/>
          <w:szCs w:val="20"/>
          <w:color w:val="auto"/>
        </w:rPr>
      </w:pPr>
      <w:r>
        <w:rPr>
          <w:rFonts w:ascii="Courier New" w:cs="Courier New" w:eastAsia="Courier New" w:hAnsi="Courier New"/>
          <w:sz w:val="18"/>
          <w:szCs w:val="18"/>
          <w:color w:val="auto"/>
        </w:rPr>
        <w:t>Includes 2,600 shares held by Mr. Batten's wife, 538,431 shares held by him as trustee under various family trusts, and 65,000 shares subject to presently exercisable stock options.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subject to currently exercisable stock options included in the</w:t>
      </w:r>
    </w:p>
    <w:p>
      <w:pPr>
        <w:spacing w:after="0" w:line="238" w:lineRule="auto"/>
        <w:rPr>
          <w:sz w:val="20"/>
          <w:szCs w:val="20"/>
          <w:color w:val="auto"/>
        </w:rPr>
      </w:pPr>
      <w:r>
        <w:rPr>
          <w:rFonts w:ascii="Courier New" w:cs="Courier New" w:eastAsia="Courier New" w:hAnsi="Courier New"/>
          <w:sz w:val="18"/>
          <w:szCs w:val="18"/>
          <w:color w:val="auto"/>
        </w:rPr>
        <w:t>above are as follows: Mr. Powers 8,900, Mr. Joyce 40,500, Mr. Rayburn 3,600,</w:t>
      </w:r>
    </w:p>
    <w:p>
      <w:pPr>
        <w:spacing w:after="0"/>
        <w:rPr>
          <w:sz w:val="20"/>
          <w:szCs w:val="20"/>
          <w:color w:val="auto"/>
        </w:rPr>
      </w:pPr>
      <w:r>
        <w:rPr>
          <w:rFonts w:ascii="Courier New" w:cs="Courier New" w:eastAsia="Courier New" w:hAnsi="Courier New"/>
          <w:sz w:val="18"/>
          <w:szCs w:val="18"/>
          <w:color w:val="auto"/>
        </w:rPr>
        <w:t>Mr. Swift 6,500, Mr. Zimmer 6,500, Mr. Fabry 8,900, Mr. Melik 10,250,</w:t>
      </w:r>
    </w:p>
    <w:p>
      <w:pPr>
        <w:spacing w:after="0" w:line="3"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Mr. Feiertag 9,500, Mr. Mellowes 5,000, Mr. Wardeberg 5,200, Mr. J. Batten 3,000, and all Directors and executive officers as a group 189,850.</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ind w:left="3160"/>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2006.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except for John H. Batten, was elected to his present term of office by a vote of shareholders at a meeting for which proxies were solicited. John H. Batten is the son of Michael E. Batten.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40" w:firstLine="105"/>
        <w:spacing w:after="0" w:line="236" w:lineRule="auto"/>
        <w:rPr>
          <w:sz w:val="20"/>
          <w:szCs w:val="20"/>
          <w:color w:val="auto"/>
        </w:rPr>
      </w:pPr>
      <w:r>
        <w:rPr>
          <w:rFonts w:ascii="Courier New" w:cs="Courier New" w:eastAsia="Courier New" w:hAnsi="Courier New"/>
          <w:sz w:val="18"/>
          <w:szCs w:val="18"/>
          <w:color w:val="auto"/>
        </w:rPr>
        <w:t>Name of Director and Current Age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ind w:left="220"/>
        <w:spacing w:after="0" w:line="238" w:lineRule="auto"/>
        <w:rPr>
          <w:sz w:val="20"/>
          <w:szCs w:val="20"/>
          <w:color w:val="auto"/>
        </w:rPr>
      </w:pPr>
      <w:r>
        <w:rPr>
          <w:rFonts w:ascii="Courier New" w:cs="Courier New" w:eastAsia="Courier New" w:hAnsi="Courier New"/>
          <w:sz w:val="18"/>
          <w:szCs w:val="18"/>
          <w:color w:val="auto"/>
        </w:rPr>
        <w:t>and other Public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Directorships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Served as</w:t>
      </w:r>
    </w:p>
    <w:p>
      <w:pPr>
        <w:ind w:left="2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Continuously</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Since</w:t>
      </w:r>
    </w:p>
    <w:p>
      <w:pPr>
        <w:spacing w:after="0" w:line="238" w:lineRule="auto"/>
        <w:rPr>
          <w:sz w:val="20"/>
          <w:szCs w:val="20"/>
          <w:color w:val="auto"/>
        </w:rPr>
      </w:pPr>
      <w:r>
        <w:rPr>
          <w:rFonts w:ascii="Courier New" w:cs="Courier New" w:eastAsia="Courier New" w:hAnsi="Courier New"/>
          <w:sz w:val="18"/>
          <w:szCs w:val="18"/>
          <w:color w:val="auto"/>
        </w:rPr>
        <w:t>- - - - - -</w:t>
      </w:r>
    </w:p>
    <w:p>
      <w:pPr>
        <w:spacing w:after="0" w:line="200" w:lineRule="exact"/>
        <w:rPr>
          <w:sz w:val="20"/>
          <w:szCs w:val="20"/>
          <w:color w:val="auto"/>
        </w:rPr>
      </w:pPr>
    </w:p>
    <w:p>
      <w:pPr>
        <w:sectPr>
          <w:pgSz w:w="11900" w:h="16838" w:orient="portrait"/>
          <w:cols w:equalWidth="0" w:num="3">
            <w:col w:w="2340" w:space="720"/>
            <w:col w:w="3180" w:space="720"/>
            <w:col w:w="32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 FOR TERMS TO EXPIRE IN 2006:</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H. Joyce . . . . . . President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62</w:t>
      </w:r>
      <w:r>
        <w:rPr>
          <w:sz w:val="20"/>
          <w:szCs w:val="20"/>
          <w:color w:val="auto"/>
        </w:rPr>
        <w:tab/>
      </w:r>
      <w:r>
        <w:rPr>
          <w:rFonts w:ascii="Courier New" w:cs="Courier New" w:eastAsia="Courier New" w:hAnsi="Courier New"/>
          <w:sz w:val="16"/>
          <w:szCs w:val="16"/>
          <w:color w:val="auto"/>
        </w:rPr>
        <w:t>Chief Operating Officer,</w:t>
      </w:r>
    </w:p>
    <w:p>
      <w:pPr>
        <w:ind w:left="3060"/>
        <w:spacing w:after="0"/>
        <w:rPr>
          <w:sz w:val="20"/>
          <w:szCs w:val="20"/>
          <w:color w:val="auto"/>
        </w:rPr>
      </w:pPr>
      <w:r>
        <w:rPr>
          <w:rFonts w:ascii="Courier New" w:cs="Courier New" w:eastAsia="Courier New" w:hAnsi="Courier New"/>
          <w:sz w:val="18"/>
          <w:szCs w:val="18"/>
          <w:color w:val="auto"/>
        </w:rPr>
        <w:t>Twin Disc, Incorporated</w:t>
      </w:r>
    </w:p>
    <w:p>
      <w:pPr>
        <w:ind w:left="3060"/>
        <w:spacing w:after="0" w:line="237" w:lineRule="auto"/>
        <w:rPr>
          <w:sz w:val="20"/>
          <w:szCs w:val="20"/>
          <w:color w:val="auto"/>
        </w:rPr>
      </w:pPr>
      <w:r>
        <w:rPr>
          <w:rFonts w:ascii="Courier New" w:cs="Courier New" w:eastAsia="Courier New" w:hAnsi="Courier New"/>
          <w:sz w:val="18"/>
          <w:szCs w:val="18"/>
          <w:color w:val="auto"/>
        </w:rPr>
        <w:t>Also Director, Woodward</w:t>
      </w:r>
    </w:p>
    <w:p>
      <w:pPr>
        <w:ind w:left="3060"/>
        <w:spacing w:after="0" w:line="238" w:lineRule="auto"/>
        <w:rPr>
          <w:sz w:val="20"/>
          <w:szCs w:val="20"/>
          <w:color w:val="auto"/>
        </w:rPr>
      </w:pPr>
      <w:r>
        <w:rPr>
          <w:rFonts w:ascii="Courier New" w:cs="Courier New" w:eastAsia="Courier New" w:hAnsi="Courier New"/>
          <w:sz w:val="18"/>
          <w:szCs w:val="18"/>
          <w:color w:val="auto"/>
        </w:rPr>
        <w:t>Governor Company and</w:t>
      </w:r>
    </w:p>
    <w:p>
      <w:pPr>
        <w:ind w:left="3060"/>
        <w:spacing w:after="0"/>
        <w:rPr>
          <w:sz w:val="20"/>
          <w:szCs w:val="20"/>
          <w:color w:val="auto"/>
        </w:rPr>
      </w:pPr>
      <w:r>
        <w:rPr>
          <w:rFonts w:ascii="Courier New" w:cs="Courier New" w:eastAsia="Courier New" w:hAnsi="Courier New"/>
          <w:sz w:val="18"/>
          <w:szCs w:val="18"/>
          <w:color w:val="auto"/>
        </w:rPr>
        <w:t>Oil Gear Company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1991</w:t>
      </w:r>
    </w:p>
    <w:p>
      <w:pPr>
        <w:spacing w:after="0" w:line="1230"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B. Rayburn . . . . . . President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55</w:t>
      </w:r>
      <w:r>
        <w:rPr>
          <w:sz w:val="20"/>
          <w:szCs w:val="20"/>
          <w:color w:val="auto"/>
        </w:rPr>
        <w:tab/>
      </w:r>
      <w:r>
        <w:rPr>
          <w:rFonts w:ascii="Courier New" w:cs="Courier New" w:eastAsia="Courier New" w:hAnsi="Courier New"/>
          <w:sz w:val="16"/>
          <w:szCs w:val="16"/>
          <w:color w:val="auto"/>
        </w:rPr>
        <w:t>Chief Executive Officer,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Modine Manufacturing Company,</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Racine, Wisconsin</w:t>
      </w:r>
    </w:p>
    <w:p>
      <w:pPr>
        <w:ind w:left="3060"/>
        <w:spacing w:after="0" w:line="238" w:lineRule="auto"/>
        <w:rPr>
          <w:sz w:val="20"/>
          <w:szCs w:val="20"/>
          <w:color w:val="auto"/>
        </w:rPr>
      </w:pPr>
      <w:r>
        <w:rPr>
          <w:rFonts w:ascii="Courier New" w:cs="Courier New" w:eastAsia="Courier New" w:hAnsi="Courier New"/>
          <w:sz w:val="18"/>
          <w:szCs w:val="18"/>
          <w:color w:val="auto"/>
        </w:rPr>
        <w:t>(A manufacturer of heat</w:t>
      </w:r>
    </w:p>
    <w:p>
      <w:pPr>
        <w:ind w:left="3060"/>
        <w:spacing w:after="0"/>
        <w:rPr>
          <w:sz w:val="20"/>
          <w:szCs w:val="20"/>
          <w:color w:val="auto"/>
        </w:rPr>
      </w:pPr>
      <w:r>
        <w:rPr>
          <w:rFonts w:ascii="Courier New" w:cs="Courier New" w:eastAsia="Courier New" w:hAnsi="Courier New"/>
          <w:sz w:val="18"/>
          <w:szCs w:val="18"/>
          <w:color w:val="auto"/>
        </w:rPr>
        <w:t>exchange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2000</w:t>
      </w:r>
    </w:p>
    <w:p>
      <w:pPr>
        <w:spacing w:after="0" w:line="1230"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line="6" w:lineRule="exact"/>
        <w:rPr>
          <w:sz w:val="20"/>
          <w:szCs w:val="20"/>
          <w:color w:val="auto"/>
        </w:rPr>
      </w:pPr>
    </w:p>
    <w:p>
      <w:pPr>
        <w:ind w:left="320" w:hanging="315"/>
        <w:spacing w:after="0" w:line="290" w:lineRule="auto"/>
        <w:rPr>
          <w:sz w:val="20"/>
          <w:szCs w:val="20"/>
          <w:color w:val="auto"/>
        </w:rPr>
      </w:pPr>
      <w:r>
        <w:rPr>
          <w:rFonts w:ascii="Courier New" w:cs="Courier New" w:eastAsia="Courier New" w:hAnsi="Courier New"/>
          <w:sz w:val="16"/>
          <w:szCs w:val="16"/>
          <w:color w:val="auto"/>
        </w:rPr>
        <w:t>George E. Wardeberg . . . . Age 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Vice Chairman,</w:t>
      </w:r>
    </w:p>
    <w:p>
      <w:pPr>
        <w:spacing w:after="0" w:line="238" w:lineRule="auto"/>
        <w:rPr>
          <w:sz w:val="20"/>
          <w:szCs w:val="20"/>
          <w:color w:val="auto"/>
        </w:rPr>
      </w:pPr>
      <w:r>
        <w:rPr>
          <w:rFonts w:ascii="Courier New" w:cs="Courier New" w:eastAsia="Courier New" w:hAnsi="Courier New"/>
          <w:sz w:val="18"/>
          <w:szCs w:val="18"/>
          <w:color w:val="auto"/>
        </w:rPr>
        <w:t>Wisconsin Energy Corporation</w:t>
      </w:r>
    </w:p>
    <w:p>
      <w:pPr>
        <w:spacing w:after="0"/>
        <w:rPr>
          <w:sz w:val="20"/>
          <w:szCs w:val="20"/>
          <w:color w:val="auto"/>
        </w:rPr>
      </w:pPr>
      <w:r>
        <w:rPr>
          <w:rFonts w:ascii="Courier New" w:cs="Courier New" w:eastAsia="Courier New" w:hAnsi="Courier New"/>
          <w:sz w:val="18"/>
          <w:szCs w:val="18"/>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holding company with subsidiaries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utility and non-utility businesses)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1997</w:t>
      </w:r>
    </w:p>
    <w:p>
      <w:pPr>
        <w:spacing w:after="0" w:line="828" w:lineRule="exact"/>
        <w:rPr>
          <w:sz w:val="20"/>
          <w:szCs w:val="20"/>
          <w:color w:val="auto"/>
        </w:rPr>
      </w:pPr>
    </w:p>
    <w:p>
      <w:pPr>
        <w:sectPr>
          <w:pgSz w:w="11900" w:h="16838" w:orient="portrait"/>
          <w:cols w:equalWidth="0" w:num="3">
            <w:col w:w="2860" w:space="200"/>
            <w:col w:w="4120" w:space="100"/>
            <w:col w:w="2939"/>
          </w:cols>
          <w:pgMar w:left="240" w:top="312" w:right="1440" w:bottom="1440" w:gutter="0" w:footer="0" w:header="0"/>
          <w:type w:val="continuous"/>
        </w:sectPr>
      </w:pPr>
    </w:p>
    <w:p>
      <w:pPr>
        <w:ind w:left="3060"/>
        <w:spacing w:after="0" w:line="238" w:lineRule="auto"/>
        <w:rPr>
          <w:sz w:val="20"/>
          <w:szCs w:val="20"/>
          <w:color w:val="auto"/>
        </w:rPr>
      </w:pPr>
      <w:r>
        <w:rPr>
          <w:rFonts w:ascii="Courier New" w:cs="Courier New" w:eastAsia="Courier New" w:hAnsi="Courier New"/>
          <w:sz w:val="18"/>
          <w:szCs w:val="18"/>
          <w:color w:val="auto"/>
        </w:rPr>
        <w:t>Also Director,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Marshall &amp; Ilsley Corporation</w:t>
      </w:r>
    </w:p>
    <w:p>
      <w:pPr>
        <w:sectPr>
          <w:pgSz w:w="11900" w:h="16838" w:orient="portrait"/>
          <w:cols w:equalWidth="0" w:num="1">
            <w:col w:w="10219"/>
          </w:cols>
          <w:pgMar w:left="240" w:top="31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IN 2005:</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Michael E. Batten . . . . .</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Chairman and Chief Executive Officer,</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May 1974</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63</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Sensient Technologies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380" w:type="dxa"/>
            <w:vAlign w:val="bottom"/>
          </w:tcPr>
          <w:p>
            <w:pPr>
              <w:spacing w:after="0"/>
              <w:rPr>
                <w:sz w:val="24"/>
                <w:szCs w:val="24"/>
                <w:color w:val="auto"/>
              </w:rPr>
            </w:pP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66</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Pepper Pike, Ohio</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Jarden Corporation and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810"/>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David R. Zimmer. . . . . . . Chief Executive Officer,</w:t>
            </w:r>
          </w:p>
        </w:tc>
        <w:tc>
          <w:tcPr>
            <w:tcW w:w="380" w:type="dxa"/>
            <w:vAlign w:val="bottom"/>
          </w:tcPr>
          <w:p>
            <w:pPr>
              <w:spacing w:after="0"/>
              <w:rPr>
                <w:sz w:val="24"/>
                <w:szCs w:val="24"/>
                <w:color w:val="auto"/>
              </w:rPr>
            </w:pP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57</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Twitchell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Dothan, AL</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privately held manufacturer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and marketer of highly engineered,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synthetic yarns, fabrics, extrusions,</w:t>
            </w: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coatings)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Detrex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IN 2004:</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John H. Batten . . . . . . .</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Vice President and General Manager-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December 2002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 38</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Marine &amp; Propulsion since October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2001; formerly Commercial Manager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Marine Propulsion since 1998;</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Formerly Application Engineer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Since 1997</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Paul J. Powers . . . . . . . Retired Chairman, President and</w:t>
            </w:r>
          </w:p>
        </w:tc>
        <w:tc>
          <w:tcPr>
            <w:tcW w:w="380" w:type="dxa"/>
            <w:vAlign w:val="bottom"/>
          </w:tcPr>
          <w:p>
            <w:pPr>
              <w:spacing w:after="0"/>
              <w:rPr>
                <w:sz w:val="24"/>
                <w:szCs w:val="24"/>
                <w:color w:val="auto"/>
              </w:rPr>
            </w:pP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July 1992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 68</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leading manufacturer of hydraulic</w:t>
            </w: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components, pre-engineered buildings</w:t>
            </w: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stamped metal products)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Incorporated,</w:t>
            </w: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First Energy Corporation, and</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International Corporation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John A. Mellowes . . . . . . Chairman and</w:t>
            </w:r>
          </w:p>
        </w:tc>
        <w:tc>
          <w:tcPr>
            <w:tcW w:w="1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6"/>
              </w:rPr>
              <w:t>October, 1999</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65</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Mequon, Wisconsin</w:t>
      </w:r>
    </w:p>
    <w:p>
      <w:pPr>
        <w:ind w:left="3060"/>
        <w:spacing w:after="0"/>
        <w:rPr>
          <w:sz w:val="20"/>
          <w:szCs w:val="20"/>
          <w:color w:val="auto"/>
        </w:rPr>
      </w:pPr>
      <w:r>
        <w:rPr>
          <w:rFonts w:ascii="Courier New" w:cs="Courier New" w:eastAsia="Courier New" w:hAnsi="Courier New"/>
          <w:sz w:val="18"/>
          <w:szCs w:val="18"/>
          <w:color w:val="auto"/>
        </w:rPr>
        <w:t>(A privately held producer of bar,</w:t>
      </w:r>
    </w:p>
    <w:p>
      <w:pPr>
        <w:ind w:left="3060"/>
        <w:spacing w:after="0" w:line="237" w:lineRule="auto"/>
        <w:rPr>
          <w:sz w:val="20"/>
          <w:szCs w:val="20"/>
          <w:color w:val="auto"/>
        </w:rPr>
      </w:pPr>
      <w:r>
        <w:rPr>
          <w:rFonts w:ascii="Courier New" w:cs="Courier New" w:eastAsia="Courier New" w:hAnsi="Courier New"/>
          <w:sz w:val="18"/>
          <w:szCs w:val="18"/>
          <w:color w:val="auto"/>
        </w:rPr>
        <w:t>rod wire and wire parts)</w:t>
      </w:r>
    </w:p>
    <w:p>
      <w:pPr>
        <w:ind w:left="390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Marshall &amp; Ilsley Corporation</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2540"/>
        <w:spacing w:after="0" w:line="238" w:lineRule="auto"/>
        <w:rPr>
          <w:sz w:val="20"/>
          <w:szCs w:val="20"/>
          <w:color w:val="auto"/>
        </w:rPr>
      </w:pPr>
      <w:r>
        <w:rPr>
          <w:rFonts w:ascii="Courier New" w:cs="Courier New" w:eastAsia="Courier New" w:hAnsi="Courier New"/>
          <w:sz w:val="18"/>
          <w:szCs w:val="18"/>
          <w:color w:val="auto"/>
        </w:rPr>
        <w:t>DIRECTOR COMMITTEES AND ATTENDANCE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2003. There were two absences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Compensation and Audit Committees met 1 and 4 times respectively, during the year. The Director Nominating and Board Affairs Committee met once during the year. The Pension and Finance Committees met 3 and 1 time, respectively,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Audit Committee is to assist the Board in fulfilling its oversight responsibilities with respect to: (i) the Company's systems of internal controls; (ii) the Company's auditing, accounting and financial reporting processes; (iii) the Company's financial statements and other financial information provided by the Company; and (iv) the performance of the Company's corporate Audit Department and independent auditors.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2619" w:firstLine="527"/>
        <w:spacing w:after="0" w:line="275" w:lineRule="auto"/>
        <w:rPr>
          <w:sz w:val="20"/>
          <w:szCs w:val="20"/>
          <w:color w:val="auto"/>
        </w:rPr>
      </w:pPr>
      <w:r>
        <w:rPr>
          <w:rFonts w:ascii="Courier New" w:cs="Courier New" w:eastAsia="Courier New" w:hAnsi="Courier New"/>
          <w:sz w:val="16"/>
          <w:szCs w:val="16"/>
          <w:color w:val="auto"/>
        </w:rPr>
        <w:t>The Finance Committee considers management's proposed financial policies and actions, and makes appropriate recommendations to the Board regarding: Debt and capital structure, acquisitions, capital budgets, dividend policy and other financial and risk management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Corporate Governance Committee</w:t>
      </w:r>
    </w:p>
    <w:p>
      <w:pPr>
        <w:spacing w:after="0" w:line="4"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Nominating and Corporate Governance Committee recommends nominees for the Board to the Board of Directors. The Committee will consider nominees recommended by shareholders in writing to the Secretary.</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In addition, the Committee reviews proposed changes in corporate structure and governance, committee structure and function, and meeting schedules, making recommendations to the Board as appropriate.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4"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The Compensation Committee reviews nominees for Corporate offices and related compensation levels, making recommendations to the Board of Directors as considered necessary. The Committee approves the design of, assesses the effectiveness of, and administers executive compensation programs in support of compensation policies of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following Directors; the</w:t>
            </w:r>
          </w:p>
        </w:tc>
        <w:tc>
          <w:tcPr>
            <w:tcW w:w="58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Chairman of the Committee is listed first:</w:t>
            </w:r>
          </w:p>
        </w:tc>
      </w:tr>
      <w:tr>
        <w:trPr>
          <w:trHeight w:val="203"/>
        </w:trPr>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Compensation</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Corporate Governance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 - -</w:t>
            </w:r>
          </w:p>
        </w:tc>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 - - - - -</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 - - - - - - -</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Mellowes</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Wardeberg</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Swift</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Powers</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Mellowes</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Mellowes</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Rayburn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Rayburn</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Swift</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Rayburn</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Wardeberg</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Zimmer</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Zimmer</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Swift</w:t>
            </w: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Joyce</w:t>
            </w: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4"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4 most highly paid executive officers for the 3 fiscal years ended June 30, 2001, 2002, and 2003, respectively.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SUMMARY COMPENSATION TABLE</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Long-Term</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740" w:type="dxa"/>
            <w:vAlign w:val="bottom"/>
          </w:tcPr>
          <w:p>
            <w:pPr>
              <w:spacing w:after="0"/>
              <w:rPr>
                <w:sz w:val="17"/>
                <w:szCs w:val="17"/>
                <w:color w:val="auto"/>
              </w:rPr>
            </w:pP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 - - - - - -</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 - - - - -</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Stock</w:t>
            </w:r>
          </w:p>
        </w:tc>
        <w:tc>
          <w:tcPr>
            <w:tcW w:w="20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All Other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c>
          <w:tcPr>
            <w:tcW w:w="31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w w:val="96"/>
              </w:rPr>
              <w:t>Options  Compensation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 - - - -</w:t>
            </w:r>
          </w:p>
        </w:tc>
        <w:tc>
          <w:tcPr>
            <w:tcW w:w="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 - -</w:t>
            </w:r>
          </w:p>
        </w:tc>
        <w:tc>
          <w:tcPr>
            <w:tcW w:w="220" w:type="dxa"/>
            <w:vAlign w:val="bottom"/>
          </w:tcPr>
          <w:p>
            <w:pPr>
              <w:spacing w:after="0"/>
              <w:rPr>
                <w:sz w:val="17"/>
                <w:szCs w:val="17"/>
                <w:color w:val="auto"/>
              </w:rPr>
            </w:pPr>
          </w:p>
        </w:tc>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 - -   - - - -  - - -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$393,309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8,000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23,957</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376,792</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172,429</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18,041</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358,721</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174,141</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17,366</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$295,802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4,000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13,674</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282,074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106,873</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8,245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267,107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103,785</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8,665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$229,198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3,000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40,862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216,451</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63,310</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8,452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Manufacturing</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135,404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39,645</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5,000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59,184</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$159,219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6,462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Vice President 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149,747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40,788</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6,182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Manager,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140,663</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34,202</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7,707</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Industrial and</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Transmission</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H. Claude Fabry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$142,920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12,618</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123,684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29,726</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10,584</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118,929</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27,149</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9,659</w:t>
            </w:r>
          </w:p>
        </w:tc>
      </w:tr>
    </w:tbl>
    <w:p>
      <w:pPr>
        <w:spacing w:after="0" w:line="207" w:lineRule="exact"/>
        <w:rPr>
          <w:sz w:val="20"/>
          <w:szCs w:val="20"/>
          <w:color w:val="auto"/>
        </w:rPr>
      </w:pPr>
    </w:p>
    <w:p>
      <w:pPr>
        <w:ind w:right="3259" w:firstLine="105"/>
        <w:spacing w:after="0" w:line="275" w:lineRule="auto"/>
        <w:rPr>
          <w:sz w:val="20"/>
          <w:szCs w:val="20"/>
          <w:color w:val="auto"/>
        </w:rPr>
      </w:pPr>
      <w:r>
        <w:rPr>
          <w:rFonts w:ascii="Courier New" w:cs="Courier New" w:eastAsia="Courier New" w:hAnsi="Courier New"/>
          <w:sz w:val="16"/>
          <w:szCs w:val="16"/>
          <w:color w:val="auto"/>
        </w:rPr>
        <w:t>Represents annual incentive bonuses determined by the Board of Directors. See "Board Compensation Committee Report on Executive Compensation-Annual Incentives". Bonuses represent amounts earned during the fiscal year and are paid in the subsequent fiscal year.</w:t>
      </w:r>
    </w:p>
    <w:p>
      <w:pPr>
        <w:spacing w:after="0" w:line="182" w:lineRule="exact"/>
        <w:rPr>
          <w:sz w:val="20"/>
          <w:szCs w:val="20"/>
          <w:color w:val="auto"/>
        </w:rPr>
      </w:pPr>
    </w:p>
    <w:p>
      <w:pPr>
        <w:ind w:right="3779" w:firstLine="105"/>
        <w:spacing w:after="0" w:line="275" w:lineRule="auto"/>
        <w:rPr>
          <w:sz w:val="20"/>
          <w:szCs w:val="20"/>
          <w:color w:val="auto"/>
        </w:rPr>
      </w:pPr>
      <w:r>
        <w:rPr>
          <w:rFonts w:ascii="Courier New" w:cs="Courier New" w:eastAsia="Courier New" w:hAnsi="Courier New"/>
          <w:sz w:val="16"/>
          <w:szCs w:val="16"/>
          <w:color w:val="auto"/>
        </w:rPr>
        <w:t>Amounts are comprised of Corporation's 401(k) matching contributions and Corporation paid life insurance includible in income, and for Mr. Feiertag a signing bonus. Mr. Fabry's other compensation is primarily automobile leasing costs.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year 2003 to the executive officers named in the Summary Compensation Table above, and the potential realizable values at assumed annual rates of stock price appreciation for the 10-year option term.</w:t>
      </w:r>
    </w:p>
    <w:p>
      <w:pPr>
        <w:sectPr>
          <w:pgSz w:w="11900" w:h="16838" w:orient="portrait"/>
          <w:cols w:equalWidth="0" w:num="1">
            <w:col w:w="10219"/>
          </w:cols>
          <w:pgMar w:left="240" w:top="31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9</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1380" w:type="dxa"/>
            <w:vAlign w:val="bottom"/>
          </w:tcPr>
          <w:p>
            <w:pPr>
              <w:spacing w:after="0"/>
              <w:rPr>
                <w:sz w:val="24"/>
                <w:szCs w:val="24"/>
                <w:color w:val="auto"/>
              </w:rPr>
            </w:pPr>
          </w:p>
        </w:tc>
        <w:tc>
          <w:tcPr>
            <w:tcW w:w="5100" w:type="dxa"/>
            <w:vAlign w:val="bottom"/>
            <w:gridSpan w:val="5"/>
          </w:tcPr>
          <w:p>
            <w:pPr>
              <w:ind w:left="940"/>
              <w:spacing w:after="0"/>
              <w:rPr>
                <w:sz w:val="20"/>
                <w:szCs w:val="20"/>
                <w:color w:val="auto"/>
              </w:rPr>
            </w:pPr>
            <w:r>
              <w:rPr>
                <w:rFonts w:ascii="Courier New" w:cs="Courier New" w:eastAsia="Courier New" w:hAnsi="Courier New"/>
                <w:sz w:val="18"/>
                <w:szCs w:val="18"/>
                <w:color w:val="auto"/>
              </w:rPr>
              <w:t>OPTION GRANTS IN LAST FISCAL YEAR</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Potential</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Realizable Value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at Assumed Annual Rates</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Individual</w:t>
            </w:r>
          </w:p>
        </w:tc>
        <w:tc>
          <w:tcPr>
            <w:tcW w:w="1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Grants</w:t>
            </w:r>
          </w:p>
        </w:tc>
        <w:tc>
          <w:tcPr>
            <w:tcW w:w="33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for Option Term</w:t>
            </w:r>
          </w:p>
        </w:tc>
      </w:tr>
      <w:tr>
        <w:trPr>
          <w:trHeight w:val="203"/>
        </w:trPr>
        <w:tc>
          <w:tcPr>
            <w:tcW w:w="1380" w:type="dxa"/>
            <w:vAlign w:val="bottom"/>
          </w:tcPr>
          <w:p>
            <w:pPr>
              <w:spacing w:after="0"/>
              <w:rPr>
                <w:sz w:val="17"/>
                <w:szCs w:val="17"/>
                <w:color w:val="auto"/>
              </w:rPr>
            </w:pPr>
          </w:p>
        </w:tc>
        <w:tc>
          <w:tcPr>
            <w:tcW w:w="36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3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of</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of Total</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Underlying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Granted</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to</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Granted Employees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  Date</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0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ind w:left="320"/>
              <w:spacing w:after="0"/>
              <w:rPr>
                <w:sz w:val="20"/>
                <w:szCs w:val="20"/>
                <w:color w:val="auto"/>
              </w:rPr>
            </w:pPr>
            <w:r>
              <w:rPr>
                <w:rFonts w:ascii="Courier New" w:cs="Courier New" w:eastAsia="Courier New" w:hAnsi="Courier New"/>
                <w:sz w:val="18"/>
                <w:szCs w:val="18"/>
                <w:color w:val="auto"/>
              </w:rPr>
              <w:t>8,000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w:t>
            </w:r>
          </w:p>
        </w:tc>
        <w:tc>
          <w:tcPr>
            <w:tcW w:w="3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14.4500</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8/02/12</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72,700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184,237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8/02/12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36,350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92,118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Feiertag</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8/02/12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27,263</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69,089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H. Fabry</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8/02/12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18,175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46,059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8/02/12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18,175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46,059</w:t>
            </w:r>
          </w:p>
        </w:tc>
      </w:tr>
    </w:tbl>
    <w:p>
      <w:pPr>
        <w:spacing w:after="0" w:line="20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During the fiscal year ended June 30, 2003 total of 48,200 options were granted to officers, key employees and directors, with 42,200 granted under the 1998 Incentive Compensation Plan, and 6,000 options granted under the 1998 Stock Option Plan for Non-Employee Directors.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exercise price is the fair market value on the date of grant.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2003 by the named executive officers and the value of such officers' unexercised options at June 30, 2003.</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740" w:type="dxa"/>
            <w:vAlign w:val="bottom"/>
          </w:tcPr>
          <w:p>
            <w:pPr>
              <w:spacing w:after="0"/>
              <w:rPr>
                <w:sz w:val="17"/>
                <w:szCs w:val="17"/>
                <w:color w:val="auto"/>
              </w:rPr>
            </w:pPr>
          </w:p>
        </w:tc>
        <w:tc>
          <w:tcPr>
            <w:tcW w:w="27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74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740" w:type="dxa"/>
            <w:vAlign w:val="bottom"/>
          </w:tcPr>
          <w:p>
            <w:pPr>
              <w:spacing w:after="0"/>
              <w:rPr>
                <w:sz w:val="17"/>
                <w:szCs w:val="17"/>
                <w:color w:val="auto"/>
              </w:rPr>
            </w:pPr>
          </w:p>
        </w:tc>
        <w:tc>
          <w:tcPr>
            <w:tcW w:w="2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Value</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at Fiscal Year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24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Acquired on</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Unexer-</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65,000</w:t>
            </w:r>
          </w:p>
        </w:tc>
        <w:tc>
          <w:tcPr>
            <w:tcW w:w="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  0</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H. Fabry</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 Feiertag</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10,250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Retirement Income Plan</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8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The Twin Disc, Inc., Retirement Plan for</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Salaried Employees provides</w:t>
            </w:r>
          </w:p>
        </w:tc>
      </w:tr>
    </w:tbl>
    <w:p>
      <w:pPr>
        <w:spacing w:after="0" w:line="4"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non-contributory benefits based upon both years of service and the employees' highest consecutive 5-year average annual compensation during the last 10 calendar years of service. The non-contributory benefits were frozen as of December 31, 1996. The Plan is integrated with Social Security. The following table presents the non-contributory benefits payable for life under the Plan to employees assuming normal retirement in the current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AVERAGE HIGH</w:t>
            </w:r>
          </w:p>
        </w:tc>
        <w:tc>
          <w:tcPr>
            <w:tcW w:w="1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NON-CONTRIBUTORY</w:t>
            </w:r>
          </w:p>
        </w:tc>
        <w:tc>
          <w:tcPr>
            <w:tcW w:w="248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PENSION BASED ON</w:t>
            </w:r>
          </w:p>
        </w:tc>
        <w:tc>
          <w:tcPr>
            <w:tcW w:w="11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22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YEARS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158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$ 50,000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$ 9,346</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$17,537</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$19,100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$20,620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$23,856</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75,000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14,546</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27,359</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29,967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37,354</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19,746</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37,181</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40,834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44,231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50,852</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150,000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30,146</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56,825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62,568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67,841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77,847</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Internal Revenue Code and in the Employee Retirement Income Security Act of 1974 (ERISA), as</w:t>
      </w:r>
    </w:p>
    <w:p>
      <w:pPr>
        <w:sectPr>
          <w:pgSz w:w="11900" w:h="16838" w:orient="portrait"/>
          <w:cols w:equalWidth="0" w:num="1">
            <w:col w:w="10219"/>
          </w:cols>
          <w:pgMar w:left="240" w:top="312" w:right="1440" w:bottom="0" w:gutter="0" w:footer="0" w:header="0"/>
        </w:sectPr>
      </w:pPr>
    </w:p>
    <w:bookmarkStart w:id="9" w:name="page10"/>
    <w:bookmarkEnd w:id="9"/>
    <w:p>
      <w:pPr>
        <w:ind w:right="2199"/>
        <w:spacing w:after="0" w:line="273" w:lineRule="auto"/>
        <w:rPr>
          <w:sz w:val="20"/>
          <w:szCs w:val="20"/>
          <w:color w:val="auto"/>
        </w:rPr>
      </w:pPr>
      <w:r>
        <w:rPr>
          <w:rFonts w:ascii="Courier New" w:cs="Courier New" w:eastAsia="Courier New" w:hAnsi="Courier New"/>
          <w:sz w:val="16"/>
          <w:szCs w:val="16"/>
          <w:color w:val="auto"/>
        </w:rPr>
        <w:t>currently stated or as adjusted from time to time. As of December 31, 1996, the credited years of service for each of the Corporation's executive officers named in the Summary Compensation Table is as follows: Mr. Batten 27 years; Mr. Joyce 6 years; and Mr. Melik 29 years. Mr. Feiertag and Mr. Fabry are not eligible for an accrued benefit under the Plan.</w:t>
      </w:r>
    </w:p>
    <w:p>
      <w:pPr>
        <w:sectPr>
          <w:pgSz w:w="11900" w:h="16838" w:orient="portrait"/>
          <w:cols w:equalWidth="0" w:num="1">
            <w:col w:w="10219"/>
          </w:cols>
          <w:pgMar w:left="240" w:top="14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Effective January 1, 1997, the Plan was amended to add a cash balance formula for post-January 1, 1997, accruals. Benefits under the Plan are generally equal to the sum of the benefits as frozen on December 31, 1996, plus benefits that accumulate under the cash balance formula beginning</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thirty-year U.S. Treasury Bond rate with a minimum guaranty of 3%. To record these pay credits and interest credits, a hypothetical account balance is maintained for each participant. The hypothetical account balance for each named executive as of</w:t>
      </w:r>
    </w:p>
    <w:p>
      <w:pPr>
        <w:spacing w:after="0" w:line="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June 30, 2003, is as follows: Mr. Batten $90,553; Mr. Joyce $67,776; Mr. Melik $78,789; and Mr. Feiertag $24,461. If the named executives continue in their respective positions and retire at the normal retirement age of 65, their estimated annual pension amount under cash balance portion of the Plan would be: Mr. Batten $3,059; Mr. Joyce $8,176; Mr. Melik $12,042; and Mr. Feiertag $25,176.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 supplemental retirement benefit is extended to qualified management. The supplemental retirement benefit is calculated as a single life annuity at an amount approximating 50% of the highest rate of pay attained during a specified period. The benefit is payable in the form of a single life annuity, contingent annuity, 10-year temporary annuity,</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single lump sum payment, or two payments. The contingent annuity provides for payments to continue to the surviving spouse at a rate equal to 50% of the rate previously paid to the participant. In the event of death</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of a plan member after attaining a retirement age but prior to retirement, the surviving spouse will receive a lump sum benefit.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Outside Directors of the Corporation (non-corporation employees) are paid an annual retainer of $10,000. In addition, outside Directors receive a $1,500 fee for each board meeting and each committee meeting attended and $3,000 per year for serving as a committee chairman. Directors who are officers do not receive any fees in addition to their remuneration as officers.</w:t>
      </w:r>
    </w:p>
    <w:p>
      <w:pPr>
        <w:spacing w:after="0" w:line="210" w:lineRule="exact"/>
        <w:rPr>
          <w:sz w:val="20"/>
          <w:szCs w:val="20"/>
          <w:color w:val="auto"/>
        </w:rPr>
      </w:pPr>
    </w:p>
    <w:p>
      <w:pPr>
        <w:ind w:right="2619" w:firstLine="527"/>
        <w:spacing w:after="0" w:line="272" w:lineRule="auto"/>
        <w:rPr>
          <w:sz w:val="20"/>
          <w:szCs w:val="20"/>
          <w:color w:val="auto"/>
        </w:rPr>
      </w:pPr>
      <w:r>
        <w:rPr>
          <w:rFonts w:ascii="Courier New" w:cs="Courier New" w:eastAsia="Courier New" w:hAnsi="Courier New"/>
          <w:sz w:val="16"/>
          <w:szCs w:val="16"/>
          <w:color w:val="auto"/>
        </w:rPr>
        <w:t>Outside Directors (non-Corporation employees) are eligible to participate in the 1988 Non-Qualified Stock Option Plan for Officers, Key Employees and Directors and the 1998 Stock Option Plan for Non-Employee Directors. Under the 1998 Plan, each outside Director receives 1,000 options upon election or re-election at an annual meeting and 600 options if appointed to the Board between annual meetings.</w:t>
      </w:r>
    </w:p>
    <w:p>
      <w:pPr>
        <w:spacing w:after="0" w:line="186"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maybe required to retire from the Board of Directors effective as of the completion of their current term. Retired outside directors are entitled to an annual retirement benefit equal to the sum of:</w:t>
      </w:r>
    </w:p>
    <w:p>
      <w:pPr>
        <w:spacing w:after="0" w:line="203" w:lineRule="exact"/>
        <w:rPr>
          <w:sz w:val="20"/>
          <w:szCs w:val="20"/>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right="3159" w:firstLine="535"/>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The benefit is payable for a term equal to the Director's years of service or life, whichever is shorter.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4" w:lineRule="exact"/>
        <w:rPr>
          <w:sz w:val="20"/>
          <w:szCs w:val="20"/>
          <w:color w:val="auto"/>
        </w:rPr>
      </w:pPr>
    </w:p>
    <w:p>
      <w:pPr>
        <w:jc w:val="both"/>
        <w:ind w:right="3039" w:firstLine="527"/>
        <w:spacing w:after="0" w:line="268" w:lineRule="auto"/>
        <w:rPr>
          <w:sz w:val="20"/>
          <w:szCs w:val="20"/>
          <w:color w:val="auto"/>
        </w:rPr>
      </w:pPr>
      <w:r>
        <w:rPr>
          <w:rFonts w:ascii="Courier New" w:cs="Courier New" w:eastAsia="Courier New" w:hAnsi="Courier New"/>
          <w:sz w:val="16"/>
          <w:szCs w:val="16"/>
          <w:color w:val="auto"/>
        </w:rPr>
        <w:t>The Corporation has entered into agreements with certain of its key executives, including Messrs. Batten, Joyce, Melik and Feiertag.</w:t>
      </w:r>
    </w:p>
    <w:p>
      <w:pPr>
        <w:ind w:right="2519"/>
        <w:spacing w:after="0" w:line="269" w:lineRule="auto"/>
        <w:rPr>
          <w:sz w:val="20"/>
          <w:szCs w:val="20"/>
          <w:color w:val="auto"/>
        </w:rPr>
      </w:pPr>
      <w:r>
        <w:rPr>
          <w:rFonts w:ascii="Courier New" w:cs="Courier New" w:eastAsia="Courier New" w:hAnsi="Courier New"/>
          <w:sz w:val="16"/>
          <w:szCs w:val="16"/>
          <w:color w:val="auto"/>
        </w:rPr>
        <w:t>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$3,187,000. Severance benefits for an executive officer would generally consist of the sum of the executive's highest annual base salary between the change in control and the date of termination plus the executive's most recent annual bonus times the lesser of 1.50 (2.75 for Messrs. Batten and Joyce)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w:t>
      </w:r>
    </w:p>
    <w:p>
      <w:pPr>
        <w:sectPr>
          <w:pgSz w:w="11900" w:h="16838" w:orient="portrait"/>
          <w:cols w:equalWidth="0" w:num="1">
            <w:col w:w="10219"/>
          </w:cols>
          <w:pgMar w:left="240" w:top="312" w:right="1440" w:bottom="0" w:gutter="0" w:footer="0" w:header="0"/>
        </w:sectPr>
      </w:pPr>
    </w:p>
    <w:bookmarkStart w:id="11" w:name="page12"/>
    <w:bookmarkEnd w:id="11"/>
    <w:p>
      <w:pPr>
        <w:ind w:right="3039"/>
        <w:spacing w:after="0" w:line="235" w:lineRule="auto"/>
        <w:rPr>
          <w:sz w:val="20"/>
          <w:szCs w:val="20"/>
          <w:color w:val="auto"/>
        </w:rPr>
      </w:pPr>
      <w:r>
        <w:rPr>
          <w:rFonts w:ascii="Courier New" w:cs="Courier New" w:eastAsia="Courier New" w:hAnsi="Courier New"/>
          <w:sz w:val="18"/>
          <w:szCs w:val="18"/>
          <w:color w:val="auto"/>
        </w:rPr>
        <w:t>exceed the limitations and provisions of Sec. 280(g) of the Internal Revenue Code.</w:t>
      </w:r>
    </w:p>
    <w:p>
      <w:pPr>
        <w:sectPr>
          <w:pgSz w:w="11900" w:h="16838" w:orient="portrait"/>
          <w:cols w:equalWidth="0" w:num="1">
            <w:col w:w="10219"/>
          </w:cols>
          <w:pgMar w:left="240" w:top="14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Retention and Non-Compete Agreement</w:t>
      </w:r>
    </w:p>
    <w:p>
      <w:pPr>
        <w:spacing w:after="0" w:line="5"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During fiscal 2003, Mr. Joyce and the Company entered into a Retention and Non-Compete Agreement. Under the agreement, Mr. Joyce agrees to continue as President and Chief Operating Officer until age 65 or earlier with consent of the Chief Executive Officer. In consideration for the above, Twin Disc, Incorporated will pay Mr. Joyce a retention bonus of $300,000 upon his attaining the age of 65. The entire bonus is payable in the event of an involuntary termination and a pro-rated retention bonus is payable in the event of death or disability. In addition, Mr. Joyce has agreed to a three-year non-disclosure and non-compete agreement.</w:t>
      </w: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Board Compensation Committee Report</w:t>
      </w:r>
    </w:p>
    <w:p>
      <w:pPr>
        <w:jc w:val="center"/>
        <w:ind w:right="2099"/>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salary ranges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ectPr>
          <w:pgSz w:w="11900" w:h="16838" w:orient="portrait"/>
          <w:cols w:equalWidth="0" w:num="1">
            <w:col w:w="10219"/>
          </w:cols>
          <w:pgMar w:left="240" w:top="312" w:right="1440" w:bottom="948"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increased in fiscal year 2003 by 4.1% or $16,507. It was later reduced by 10% or $39,500, effective for fiscal 2004, as part of a corporate-wide cost reduction program. In determining Mr. Batten's base salary in 2003, the Committee considered the Company's financial performance for the year, Mr. Batten's individual performance, and his long-term contributions to the success of the Corporation. The Committee also compared Mr. Batten's base salary to the base salaries of CEOs at comparative companies.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Twin Disc Annual Incentive Bonus Program promotes the Corporation's pay-for-performance philosophy by providing executives with direct financial incentives in the form of annual cash bonuses for achieving corporate, business unit, and individual performance goals. The annual incentive bonus program allows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target, and maximum bonus levels based on a percentage of base salary. Executives earn bonuses to the extent to which pre-established performance goals are achieved.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Corporate performance goals in 2003 were based on target earnings and return on net assets employed. There were no bonus awards in fiscal year 2003 as performance goals were not attained.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Long-term incentive opportunities are provided pursuant to the Corporation's 1988 Non-Qualified Stock Option Plan for Officers, Key Employees and Directors; the 1988 Incentive Stock Option Plan, the 1998 Incentive Compensation Plan; and the 1998 Stock Option Plan for Non-Employee Directors.</w:t>
      </w:r>
    </w:p>
    <w:p>
      <w:pPr>
        <w:spacing w:after="0" w:line="3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8,000 options to purchase shares in fiscal year 2003.</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ectPr>
          <w:pgSz w:w="11900" w:h="16838" w:orient="portrait"/>
          <w:cols w:equalWidth="0" w:num="1">
            <w:col w:w="10219"/>
          </w:cols>
          <w:pgMar w:left="240" w:top="312" w:right="1440" w:bottom="0" w:gutter="0" w:footer="0" w:header="0"/>
        </w:sectPr>
      </w:pPr>
    </w:p>
    <w:bookmarkStart w:id="14" w:name="page15"/>
    <w:bookmarkEnd w:id="14"/>
    <w:p>
      <w:pPr>
        <w:ind w:left="2700"/>
        <w:spacing w:after="0"/>
        <w:rPr>
          <w:sz w:val="20"/>
          <w:szCs w:val="20"/>
          <w:color w:val="auto"/>
        </w:rPr>
      </w:pPr>
      <w:r>
        <w:rPr>
          <w:rFonts w:ascii="Courier New" w:cs="Courier New" w:eastAsia="Courier New" w:hAnsi="Courier New"/>
          <w:sz w:val="18"/>
          <w:szCs w:val="18"/>
          <w:color w:val="auto"/>
        </w:rPr>
        <w:t>Compensation Committee</w:t>
      </w:r>
    </w:p>
    <w:p>
      <w:pPr>
        <w:jc w:val="right"/>
        <w:ind w:right="2739"/>
        <w:spacing w:after="0" w:line="238" w:lineRule="auto"/>
        <w:rPr>
          <w:sz w:val="20"/>
          <w:szCs w:val="20"/>
          <w:color w:val="auto"/>
        </w:rPr>
      </w:pPr>
      <w:r>
        <w:rPr>
          <w:rFonts w:ascii="Courier New" w:cs="Courier New" w:eastAsia="Courier New" w:hAnsi="Courier New"/>
          <w:sz w:val="18"/>
          <w:szCs w:val="18"/>
          <w:color w:val="auto"/>
        </w:rPr>
        <w:t>David L. Swift, Chairman</w:t>
      </w:r>
    </w:p>
    <w:p>
      <w:pPr>
        <w:ind w:left="3760"/>
        <w:spacing w:after="0"/>
        <w:rPr>
          <w:sz w:val="20"/>
          <w:szCs w:val="20"/>
          <w:color w:val="auto"/>
        </w:rPr>
      </w:pPr>
      <w:r>
        <w:rPr>
          <w:rFonts w:ascii="Courier New" w:cs="Courier New" w:eastAsia="Courier New" w:hAnsi="Courier New"/>
          <w:sz w:val="18"/>
          <w:szCs w:val="18"/>
          <w:color w:val="auto"/>
        </w:rPr>
        <w:t>John A. Mellowes</w:t>
      </w:r>
    </w:p>
    <w:p>
      <w:pPr>
        <w:ind w:left="3760"/>
        <w:spacing w:after="0" w:line="237" w:lineRule="auto"/>
        <w:rPr>
          <w:sz w:val="20"/>
          <w:szCs w:val="20"/>
          <w:color w:val="auto"/>
        </w:rPr>
      </w:pPr>
      <w:r>
        <w:rPr>
          <w:rFonts w:ascii="Courier New" w:cs="Courier New" w:eastAsia="Courier New" w:hAnsi="Courier New"/>
          <w:sz w:val="18"/>
          <w:szCs w:val="18"/>
          <w:color w:val="auto"/>
        </w:rPr>
        <w:t>George E. Wardeberg</w:t>
      </w:r>
    </w:p>
    <w:p>
      <w:pPr>
        <w:ind w:left="2820"/>
        <w:spacing w:after="0" w:line="238" w:lineRule="auto"/>
        <w:rPr>
          <w:sz w:val="20"/>
          <w:szCs w:val="20"/>
          <w:color w:val="auto"/>
        </w:rPr>
      </w:pPr>
      <w:r>
        <w:rPr>
          <w:rFonts w:ascii="Courier New" w:cs="Courier New" w:eastAsia="Courier New" w:hAnsi="Courier New"/>
          <w:sz w:val="18"/>
          <w:szCs w:val="18"/>
          <w:color w:val="auto"/>
        </w:rPr>
        <w:t>July 25, 2003</w:t>
      </w:r>
    </w:p>
    <w:p>
      <w:pPr>
        <w:sectPr>
          <w:pgSz w:w="11900" w:h="16838" w:orient="portrait"/>
          <w:cols w:equalWidth="0" w:num="1">
            <w:col w:w="9019"/>
          </w:cols>
          <w:pgMar w:left="1440" w:top="339"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charter reflects standards set forth in SEC regulations and New York Stock Exchange rules. All members of the Audit Committee are independent, as defined in Sections 303.01(B)(2)(a) and (3) of the listing standards of the New York Stock Exchange.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Committee has implemented procedures to ensure that during the course of each fiscal year it devotes the attention that it deems necessary or appropriate to each of the matters assigned to it under the Committee's charter.</w:t>
      </w:r>
    </w:p>
    <w:p>
      <w:pPr>
        <w:spacing w:after="0" w:line="1"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To carry out its responsibilities, the Committee met four times during fiscal 2003.</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2003, for filing with the Securities and Exchange Commission.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Audit Committee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David R. Zimmer, Chairman</w:t>
      </w:r>
    </w:p>
    <w:p>
      <w:pPr>
        <w:ind w:left="4960"/>
        <w:spacing w:after="0" w:line="238" w:lineRule="auto"/>
        <w:rPr>
          <w:sz w:val="20"/>
          <w:szCs w:val="20"/>
          <w:color w:val="auto"/>
        </w:rPr>
      </w:pPr>
      <w:r>
        <w:rPr>
          <w:rFonts w:ascii="Courier New" w:cs="Courier New" w:eastAsia="Courier New" w:hAnsi="Courier New"/>
          <w:sz w:val="18"/>
          <w:szCs w:val="18"/>
          <w:color w:val="auto"/>
        </w:rPr>
        <w:t>Paul J. Powers</w:t>
      </w:r>
    </w:p>
    <w:p>
      <w:pPr>
        <w:ind w:left="4960"/>
        <w:spacing w:after="0"/>
        <w:rPr>
          <w:sz w:val="20"/>
          <w:szCs w:val="20"/>
          <w:color w:val="auto"/>
        </w:rPr>
      </w:pPr>
      <w:r>
        <w:rPr>
          <w:rFonts w:ascii="Courier New" w:cs="Courier New" w:eastAsia="Courier New" w:hAnsi="Courier New"/>
          <w:sz w:val="18"/>
          <w:szCs w:val="18"/>
          <w:color w:val="auto"/>
        </w:rPr>
        <w:t>David B. Rayburn</w:t>
      </w:r>
    </w:p>
    <w:p>
      <w:pPr>
        <w:ind w:left="4960"/>
        <w:spacing w:after="0" w:line="237" w:lineRule="auto"/>
        <w:rPr>
          <w:sz w:val="20"/>
          <w:szCs w:val="20"/>
          <w:color w:val="auto"/>
        </w:rPr>
      </w:pPr>
      <w:r>
        <w:rPr>
          <w:rFonts w:ascii="Courier New" w:cs="Courier New" w:eastAsia="Courier New" w:hAnsi="Courier New"/>
          <w:sz w:val="18"/>
          <w:szCs w:val="18"/>
          <w:color w:val="auto"/>
        </w:rPr>
        <w:t>George E. Wardeberg</w:t>
      </w:r>
    </w:p>
    <w:p>
      <w:pPr>
        <w:ind w:left="4020"/>
        <w:spacing w:after="0" w:line="238" w:lineRule="auto"/>
        <w:rPr>
          <w:sz w:val="20"/>
          <w:szCs w:val="20"/>
          <w:color w:val="auto"/>
        </w:rPr>
      </w:pPr>
      <w:r>
        <w:rPr>
          <w:rFonts w:ascii="Courier New" w:cs="Courier New" w:eastAsia="Courier New" w:hAnsi="Courier New"/>
          <w:sz w:val="18"/>
          <w:szCs w:val="18"/>
          <w:color w:val="auto"/>
        </w:rPr>
        <w:t>July 25,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compares total shareholder return over the last 5 fiscal years to the Standard &amp; Poor's Machinery Index and the Russell 2000 index. The S&amp;P Machinery Index consists of a broad range of manufacturers. The Russell 2000 Index consists of a broad range of 2,000 Companies. The Corporation believes, because of the similarity of its business with those companies contained in the S&amp;P Machinery Index, that comparison of shareholder return with this index is appropriate. Total return values for the Corporation's common stock, the S&amp;P Machinery Index and the Russell 2000 Index were calculated based upon an assumption of a $100 investment on June 30, 1998 and based upon cumulative total return values assuming reinvestment of dividends on a quarterly basis.</w:t>
      </w:r>
    </w:p>
    <w:p>
      <w:pPr>
        <w:spacing w:after="0" w:line="200" w:lineRule="exact"/>
        <w:rPr>
          <w:sz w:val="20"/>
          <w:szCs w:val="20"/>
          <w:color w:val="auto"/>
        </w:rPr>
      </w:pP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Comparison</w:t>
            </w:r>
          </w:p>
        </w:tc>
        <w:tc>
          <w:tcPr>
            <w:tcW w:w="406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of Five-Year Cumulative Total Return</w:t>
            </w:r>
          </w:p>
        </w:tc>
        <w:tc>
          <w:tcPr>
            <w:tcW w:w="8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Twin Disc,</w:t>
            </w:r>
          </w:p>
        </w:tc>
        <w:tc>
          <w:tcPr>
            <w:tcW w:w="4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Inc.; S&amp;P Machinery; and Russell 2000</w:t>
            </w:r>
          </w:p>
        </w:tc>
        <w:tc>
          <w:tcPr>
            <w:tcW w:w="88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06/30/98</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06/30/99</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06/30/00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06/30/01</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06/30/02</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06/30/03</w:t>
            </w:r>
          </w:p>
        </w:tc>
      </w:tr>
      <w:tr>
        <w:trPr>
          <w:trHeight w:val="203"/>
        </w:trPr>
        <w:tc>
          <w:tcPr>
            <w:tcW w:w="1480" w:type="dxa"/>
            <w:vAlign w:val="bottom"/>
          </w:tcPr>
          <w:p>
            <w:pPr>
              <w:spacing w:after="0"/>
              <w:rPr>
                <w:sz w:val="17"/>
                <w:szCs w:val="17"/>
                <w:color w:val="auto"/>
              </w:rPr>
            </w:pPr>
          </w:p>
        </w:tc>
        <w:tc>
          <w:tcPr>
            <w:tcW w:w="53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  --------  --------  --------</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68.90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61.17</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59.35</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58.13</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58.68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Machinery</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109.55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93.77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101.50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116.70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106.67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2002 to June 30, 2003, all Section 16(a) filing requirements applicable to its executive officers, Directors and greater than ten percent (10%) beneficial owners were complied with.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Aggregate fees, including out-of-pocket expenses, for professional services rendered by PricewaterhouseCoopers LLP ("PricewaterhouseCoopers") in connection with (i) the audit of the Company's consolidated financial statements as of and for the years ended June 30, 2003 and June 30, 2002, including statutory audits of the financial statements of the Company's affiliates that are relied on in performance of the audit of the Company's consolidated financial statements, and</w:t>
      </w:r>
    </w:p>
    <w:p>
      <w:pPr>
        <w:spacing w:after="0" w:line="1" w:lineRule="exact"/>
        <w:rPr>
          <w:sz w:val="20"/>
          <w:szCs w:val="20"/>
          <w:color w:val="auto"/>
        </w:rPr>
      </w:pPr>
    </w:p>
    <w:p>
      <w:pPr>
        <w:ind w:right="209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limited reviews of the Company's quarterly financial statements were $303,488 and $299,792,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Aggregate fees, for professional services rendered by PricewaterhouseCoopers for assurance and services reasonably related to the performance of the audit or review of the Company's financial statements not included in audit fees above were $20,860 and $408,273 in 2003 and 2002, respectively.</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15</w:t>
      </w:r>
    </w:p>
    <w:p>
      <w:pPr>
        <w:spacing w:after="0" w:line="238" w:lineRule="auto"/>
        <w:rPr>
          <w:sz w:val="20"/>
          <w:szCs w:val="20"/>
          <w:color w:val="auto"/>
        </w:rPr>
      </w:pPr>
      <w:r>
        <w:rPr>
          <w:rFonts w:ascii="Courier New" w:cs="Courier New" w:eastAsia="Courier New" w:hAnsi="Courier New"/>
          <w:sz w:val="18"/>
          <w:szCs w:val="18"/>
          <w:color w:val="auto"/>
        </w:rPr>
        <w:t>TAX FEES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the fees described above, aggregate fees, including out-of-pocket expenses, of $204,665 and $241,483 were paid to PricewaterhouseCoopers during the years ended June 30, 2003 and 2002, primarily for the following professional services: tax-related services, due diligence for acquisitions, and other non-recurring audit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Audit Committee has determined that the provision of services for (a) financial information systems design and implementation fees listed above, if any, and (b) all other fees listed above, is compatible with maintaining PricewaterhouseCoopers LLP's independence.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During the years ended June 30, 2003 and 2002, PricewaterhouseCoopers rendered no professional services to the Company other than those listed under audit fees, audit related fees and tax fees.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AND PROCEDURES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For the year ended June 30, 2003, 97% of audit and non-audit fees were pre-approved.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2019-12-13T07:49:26Z</dcterms:created>
  <dcterms:modified xsi:type="dcterms:W3CDTF">2019-12-13T07:49:26Z</dcterms:modified>
</cp:coreProperties>
</file>