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4"/>
          <w:szCs w:val="24"/>
          <w:color w:val="auto"/>
        </w:rPr>
      </w:pPr>
      <w:r>
        <w:rPr>
          <w:sz w:val="24"/>
          <w:szCs w:val="24"/>
          <w:color w:val="auto"/>
        </w:rPr>
        <w:br w:type="column"/>
      </w:r>
    </w:p>
    <w:p>
      <w:pPr>
        <w:ind w:left="420"/>
        <w:spacing w:after="0"/>
        <w:rPr>
          <w:sz w:val="20"/>
          <w:szCs w:val="20"/>
          <w:color w:val="auto"/>
        </w:rPr>
      </w:pPr>
      <w:r>
        <w:rPr>
          <w:rFonts w:ascii="Courier New" w:cs="Courier New" w:eastAsia="Courier New" w:hAnsi="Courier New"/>
          <w:sz w:val="18"/>
          <w:szCs w:val="18"/>
          <w:color w:val="auto"/>
        </w:rPr>
        <w:t>TWIN DISC, INCORPORATED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1328 Racine Street, Racine, Wisconsin 53403</w:t>
      </w:r>
    </w:p>
    <w:p>
      <w:pPr>
        <w:spacing w:after="0" w:line="200" w:lineRule="exact"/>
        <w:rPr>
          <w:sz w:val="24"/>
          <w:szCs w:val="24"/>
          <w:color w:val="auto"/>
        </w:rPr>
      </w:pPr>
    </w:p>
    <w:p>
      <w:pPr>
        <w:sectPr>
          <w:pgSz w:w="11900" w:h="16838" w:orient="portrait"/>
          <w:cols w:equalWidth="0" w:num="2">
            <w:col w:w="1180" w:space="720"/>
            <w:col w:w="8319"/>
          </w:cols>
          <w:pgMar w:left="240" w:top="244" w:right="1440" w:bottom="1440" w:gutter="0" w:footer="0" w:header="0"/>
        </w:sectPr>
      </w:pPr>
    </w:p>
    <w:p>
      <w:pPr>
        <w:spacing w:after="0" w:line="2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OCTOBER 20, 2000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NOTICE IS HEREBY GIVEN TO THE</w:t>
      </w:r>
    </w:p>
    <w:p>
      <w:pPr>
        <w:ind w:left="540"/>
        <w:spacing w:after="0" w:line="238" w:lineRule="auto"/>
        <w:rPr>
          <w:sz w:val="20"/>
          <w:szCs w:val="20"/>
          <w:color w:val="auto"/>
        </w:rPr>
      </w:pPr>
      <w:r>
        <w:rPr>
          <w:rFonts w:ascii="Courier New" w:cs="Courier New" w:eastAsia="Courier New" w:hAnsi="Courier New"/>
          <w:sz w:val="18"/>
          <w:szCs w:val="18"/>
          <w:color w:val="auto"/>
        </w:rPr>
        <w:t>SHAREHOLDERS OF TWIN DISC, INCORPORATED</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Annual Meeting of Shareholders of Twin Disc, Incorporated, a Wisconsin corporation will be held at 2 P.M. (Central Daylight Time) on Friday, October 20, 2000 at the Corporate Offices, 1328 Racine Street, Racine, Wisconsin for the following purposes:</w:t>
      </w:r>
    </w:p>
    <w:p>
      <w:pPr>
        <w:spacing w:after="0" w:line="207" w:lineRule="exact"/>
        <w:rPr>
          <w:sz w:val="24"/>
          <w:szCs w:val="24"/>
          <w:color w:val="auto"/>
        </w:rPr>
      </w:pPr>
    </w:p>
    <w:p>
      <w:pPr>
        <w:ind w:left="860" w:hanging="325"/>
        <w:spacing w:after="0"/>
        <w:tabs>
          <w:tab w:leader="none" w:pos="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three Directors to serve until the Annual Meeting in 2003.</w:t>
      </w:r>
    </w:p>
    <w:p>
      <w:pPr>
        <w:spacing w:after="0" w:line="223" w:lineRule="exact"/>
        <w:rPr>
          <w:rFonts w:ascii="Courier New" w:cs="Courier New" w:eastAsia="Courier New" w:hAnsi="Courier New"/>
          <w:sz w:val="16"/>
          <w:szCs w:val="16"/>
          <w:color w:val="auto"/>
        </w:rPr>
      </w:pPr>
    </w:p>
    <w:p>
      <w:pPr>
        <w:ind w:left="220" w:right="2619" w:firstLine="315"/>
        <w:spacing w:after="0" w:line="235" w:lineRule="auto"/>
        <w:tabs>
          <w:tab w:leader="none" w:pos="85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any other business that may properly come before the meeting.</w:t>
      </w:r>
    </w:p>
    <w:p>
      <w:pPr>
        <w:spacing w:after="0" w:line="208" w:lineRule="exact"/>
        <w:rPr>
          <w:sz w:val="24"/>
          <w:szCs w:val="24"/>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Only holders of record of shares of common stock of the Corporation at the close Of business on September 1, 2000, shall be entitled to vote at the meeting.</w:t>
      </w:r>
    </w:p>
    <w:p>
      <w:pPr>
        <w:spacing w:after="0" w:line="209"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proxy appointment and proxy statement are enclosed herewith. The proxy appointment shows the form in which your shares are registered. Your signature should be in the same form.</w:t>
      </w:r>
    </w:p>
    <w:p>
      <w:pPr>
        <w:spacing w:after="0" w:line="203"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FRED H. TIMM</w:t>
      </w:r>
    </w:p>
    <w:p>
      <w:pPr>
        <w:ind w:left="5060"/>
        <w:spacing w:after="0" w:line="238" w:lineRule="auto"/>
        <w:rPr>
          <w:sz w:val="20"/>
          <w:szCs w:val="20"/>
          <w:color w:val="auto"/>
        </w:rPr>
      </w:pPr>
      <w:r>
        <w:rPr>
          <w:rFonts w:ascii="Courier New" w:cs="Courier New" w:eastAsia="Courier New" w:hAnsi="Courier New"/>
          <w:sz w:val="18"/>
          <w:szCs w:val="18"/>
          <w:color w:val="auto"/>
        </w:rPr>
        <w:t>Secretary</w:t>
      </w:r>
    </w:p>
    <w:p>
      <w:pPr>
        <w:spacing w:after="0"/>
        <w:rPr>
          <w:sz w:val="20"/>
          <w:szCs w:val="20"/>
          <w:color w:val="auto"/>
        </w:rPr>
      </w:pPr>
      <w:r>
        <w:rPr>
          <w:rFonts w:ascii="Courier New" w:cs="Courier New" w:eastAsia="Courier New" w:hAnsi="Courier New"/>
          <w:sz w:val="18"/>
          <w:szCs w:val="18"/>
          <w:color w:val="auto"/>
        </w:rPr>
        <w:t>September 15, 2000</w:t>
      </w:r>
    </w:p>
    <w:p>
      <w:pPr>
        <w:spacing w:after="0" w:line="206"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ARE UNABLE TO ATTEND THE MEETING IN PERSON, PLEASE SIGN AND RETURN YOUR PROXY APPOINTMENT IN THE ENCLOSED ENVELOPE BEFORE THE DEADLINE STATED IN THE PROXY STATEMENT. IF YOUR PROXY APPOINTMENT IS NOT RECEIVED BY THE SECRETARY BEFORE THAT DEADLINE, IT WILL BE RULED INVALID. SHOULD YOU FIND IT CONVENIENT TO ATTEND THE MEETING PERSONALLY, AND DESIRE TO VOTE IN PERSON, YOU MAY REQUEST BEFORE ANY VOTE THAT YOUR PROXY APPOINTMENT BE RETURNED TO YOU IN ORDER THAT YOU MAY VOTE IN PERSON.</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YOUR VOTE IS IMPORTANT!</w:t>
      </w:r>
    </w:p>
    <w:p>
      <w:pPr>
        <w:spacing w:after="0" w:line="238" w:lineRule="auto"/>
        <w:rPr>
          <w:sz w:val="20"/>
          <w:szCs w:val="20"/>
          <w:color w:val="auto"/>
        </w:rPr>
      </w:pPr>
      <w:r>
        <w:rPr>
          <w:rFonts w:ascii="Courier New" w:cs="Courier New" w:eastAsia="Courier New" w:hAnsi="Courier New"/>
          <w:sz w:val="18"/>
          <w:szCs w:val="18"/>
          <w:color w:val="auto"/>
        </w:rPr>
        <w:t>PLEASE SIGN, DATE AND RETURN</w:t>
      </w:r>
    </w:p>
    <w:p>
      <w:pPr>
        <w:spacing w:after="0"/>
        <w:rPr>
          <w:sz w:val="20"/>
          <w:szCs w:val="20"/>
          <w:color w:val="auto"/>
        </w:rPr>
      </w:pPr>
      <w:r>
        <w:rPr>
          <w:rFonts w:ascii="Courier New" w:cs="Courier New" w:eastAsia="Courier New" w:hAnsi="Courier New"/>
          <w:sz w:val="18"/>
          <w:szCs w:val="18"/>
          <w:color w:val="auto"/>
        </w:rPr>
        <w:t>THE ENCLOSED PROXY APPOINTMENT</w:t>
      </w:r>
    </w:p>
    <w:p>
      <w:pPr>
        <w:spacing w:after="0" w:line="237" w:lineRule="auto"/>
        <w:rPr>
          <w:sz w:val="20"/>
          <w:szCs w:val="20"/>
          <w:color w:val="auto"/>
        </w:rPr>
      </w:pPr>
      <w:r>
        <w:rPr>
          <w:rFonts w:ascii="Courier New" w:cs="Courier New" w:eastAsia="Courier New" w:hAnsi="Courier New"/>
          <w:sz w:val="18"/>
          <w:szCs w:val="18"/>
          <w:color w:val="auto"/>
        </w:rPr>
        <w:t>IMMEDIATELY.</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ind w:left="3060"/>
        <w:spacing w:after="0" w:line="238" w:lineRule="auto"/>
        <w:rPr>
          <w:sz w:val="20"/>
          <w:szCs w:val="20"/>
          <w:color w:val="auto"/>
        </w:rPr>
      </w:pPr>
      <w:r>
        <w:rPr>
          <w:rFonts w:ascii="Courier New" w:cs="Courier New" w:eastAsia="Courier New" w:hAnsi="Courier New"/>
          <w:sz w:val="18"/>
          <w:szCs w:val="18"/>
          <w:color w:val="auto"/>
        </w:rPr>
        <w:t>2000 Proxy Statement</w:t>
      </w:r>
    </w:p>
    <w:p>
      <w:pPr>
        <w:ind w:left="2860"/>
        <w:spacing w:after="0"/>
        <w:rPr>
          <w:sz w:val="20"/>
          <w:szCs w:val="20"/>
          <w:color w:val="auto"/>
        </w:rPr>
      </w:pPr>
      <w:r>
        <w:rPr>
          <w:rFonts w:ascii="Courier New" w:cs="Courier New" w:eastAsia="Courier New" w:hAnsi="Courier New"/>
          <w:sz w:val="18"/>
          <w:szCs w:val="18"/>
          <w:color w:val="auto"/>
        </w:rPr>
        <w:t>TWIN DISC, INCORPORATED</w:t>
      </w:r>
    </w:p>
    <w:p>
      <w:pPr>
        <w:ind w:left="3160"/>
        <w:spacing w:after="0" w:line="237" w:lineRule="auto"/>
        <w:rPr>
          <w:sz w:val="20"/>
          <w:szCs w:val="20"/>
          <w:color w:val="auto"/>
        </w:rPr>
      </w:pPr>
      <w:r>
        <w:rPr>
          <w:rFonts w:ascii="Courier New" w:cs="Courier New" w:eastAsia="Courier New" w:hAnsi="Courier New"/>
          <w:sz w:val="18"/>
          <w:szCs w:val="18"/>
          <w:color w:val="auto"/>
        </w:rPr>
        <w:t>September 15,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TIME AND PLACE OF MEETING</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This proxy statement is furnished in connection with the solicitation by the Board of Directors of the Corporation of proxies for use at the Annual Meeting of Shareholders to be held at 2 P.M. (Central Daylight Time), at the Corporate Offices, 1328 Racine Street, Racine, Wisconsin on Friday, October 20, 2000, or any adjournment thereof. Holders of common stock of record at the close of business on the 1st day of September 2000, are entitled to vote at the meeting and each shareholder shall have one vote for each share of common stock registered in the shareholder's name. Shares represented by a signed proxy appointment will be voted in the manner specified in the form of proxy or, if no specification is made, in favor of each of the propositions mentioned therein. The presence of a majority of the outstanding shares of common stock of the Corporation, either in person or represented by a signed proxy appointment, will constitute a quorum at the meeting. The Corporation intends to mail this statement to shareholders on or before September 15, 2000.</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enclosed proxy appointment form must be signed and delivered to the Secretary either in person, by mail, or by messenger. Appointment forms transmitted by facsimile, telex, telegram, or electronic means will not be accepted. Furthermore, appointment forms must be received by the Secretary not less than 48 hours prior to the date of the meeting. PROXY APPOINTMENT FORMS NOT MEETING THE ABOVE REQUIREMENTS WILL BE RULED INVALID.</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shareholder wishes to present a proposal for consideration for inclusion in the Notice of the Meeting and Proxy Statement for the 2001 Annual Meeting, the proposal must be received at the Corporation's principal executive offices no later than May 23, 2001. Shareholder proposals received later than August 1, 2001 will be considered untimely, and will not be considered at the Corporation's 2001 Annual Meeting.</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person giving the proxy may revoke it before it is exercised, either in person, by mail, or by messenger, by submitting a later dated proxy appointment form to the Secretary at least forty-eight (48) hours prior to the date of the meeting. The person giving the proxy may also revoke it openly stating the revocation at the meeting, by voting at the meeting in person, or by delivering a signed written statement revoking the proxy to the Secretary prior to the date of the meeting. Appointment forms or revocations transmitted by facsimile, telex, telegram, or electronic means will not be accepted. ANY ATTEMPTED REVOCATIONS NOT MEETING THE ABOVE REQUIREMENTS WILL BE RULED INVALID.</w:t>
      </w: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record date with respect to this solicitation is September 1, 2000. On September 1, 2000, there were outstanding 2,809,890 shares of common stock of the Corporation entitled to vote at the Annual Meeting. There also are 200,000 shares of no-par preferred stock authorized, of which 50,000 shares have been designated Series A Junior Preferred Stock, but none are outstanding.</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PERSONS MAKING THE SOLICITATION</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proxy solicited hereunder by the Corporation will be voted in favor of the Directors' recommendations on each and all matters properly brought before the meeting, unless the undersigned shareholder specifically instructs the holder or holders of the proxy to the contrary. With regard to the election of directors, votes may be cast in favor or withheld; votes that are withheld will be excluded entirely from the vote and will have no effect. Abstentions may be specified on all proposals submitted to shareholders (other than the election of directors). Abstentions and "broker non-votes" are counted for purposes of determining the presence or absence of a quorum for the transaction of business. Under the rules of the New York Stock Exchange, Inc., brokers who hold shares in street name for customers may have authority to vote on certain items when they have not received instructions from beneficial owners. A "broker non-vote" occurs on an item submitted for shareholder approval when the broker does not have authority to vote on the item in the absence of instructions from the beneficial owner. Such "broker non-votes" will have no effect on the outcome of the election of directors. The approval of a majority of the votes cast on a particular matter shall be an act of the shareholders.</w:t>
      </w:r>
    </w:p>
    <w:p>
      <w:pPr>
        <w:spacing w:after="0" w:line="209"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PRINCIPAL SHAREHOLDERS, DIRECTORS AND EXECUTIVE OFFICERS PRINCIPAL SHAREHOLDERS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upon the records of the Corporation and filings with the Securities and Exchange Commission as of July 31, 2000, the following table sets forth the persons or group of persons having beneficial ownership (as defined by the Securities and Exchange Commission) of more than 5% of the issued and outstanding common stock of the Corporation.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80" w:type="dxa"/>
            <w:vAlign w:val="bottom"/>
          </w:tcPr>
          <w:p>
            <w:pPr>
              <w:ind w:left="260"/>
              <w:spacing w:after="0"/>
              <w:rPr>
                <w:sz w:val="20"/>
                <w:szCs w:val="20"/>
                <w:color w:val="auto"/>
              </w:rPr>
            </w:pPr>
            <w:r>
              <w:rPr>
                <w:rFonts w:ascii="Courier New" w:cs="Courier New" w:eastAsia="Courier New" w:hAnsi="Courier New"/>
                <w:sz w:val="18"/>
                <w:szCs w:val="18"/>
                <w:color w:val="auto"/>
              </w:rPr>
              <w:t>Nature of</w:t>
            </w: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Beneficial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Address</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Ownership</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Owned</w:t>
            </w: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 - - - - - - - - -</w:t>
            </w: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 - - - - - - -</w:t>
            </w:r>
          </w:p>
        </w:tc>
        <w:tc>
          <w:tcPr>
            <w:tcW w:w="1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 - - - - -</w:t>
            </w:r>
          </w:p>
        </w:tc>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   - - - - -</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3419 Michigan Blvd.</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542,427</w:t>
            </w:r>
          </w:p>
        </w:tc>
        <w:tc>
          <w:tcPr>
            <w:tcW w:w="14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19.3%</w:t>
            </w:r>
          </w:p>
        </w:tc>
      </w:tr>
      <w:tr>
        <w:trPr>
          <w:trHeight w:val="203"/>
        </w:trPr>
        <w:tc>
          <w:tcPr>
            <w:tcW w:w="2220" w:type="dxa"/>
            <w:vAlign w:val="bottom"/>
          </w:tcPr>
          <w:p>
            <w:pPr>
              <w:spacing w:after="0"/>
              <w:rPr>
                <w:sz w:val="17"/>
                <w:szCs w:val="17"/>
                <w:color w:val="auto"/>
              </w:rPr>
            </w:pP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Racine, WI</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Beneficial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140,397</w:t>
            </w:r>
          </w:p>
        </w:tc>
        <w:tc>
          <w:tcPr>
            <w:tcW w:w="14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5.0%</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Fidelity Management</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82 Devonshire St.</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232,400</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8.3%</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Research Corp.</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 MA</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dispose of stock</w:t>
            </w: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Dimensional Fund</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1299 Ocean Ave.</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217,300</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7.7%</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Advisors</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Santa Monica, CA</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dispose of stock</w:t>
            </w: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Artisan Partners</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1000 N. Water St.</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193,400</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6.9%</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Limited</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Milwaukee, WI</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dispose of stock</w:t>
            </w: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42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Held as trustee under various trusts.</w:t>
            </w: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Includes 2,600 shares owned by the wife</w:t>
            </w:r>
          </w:p>
        </w:tc>
        <w:tc>
          <w:tcPr>
            <w:tcW w:w="2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of Michael E. Batten and</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59,500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subject to currently</w:t>
            </w: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exercisable stock options.</w:t>
            </w: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4"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Based upon the records of the Corporation and filings with the Securities and Exchange Commission as of July 31, 2000,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30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8"/>
              </w:rPr>
              <w:t>Amount and Nature</w:t>
            </w:r>
          </w:p>
        </w:tc>
        <w:tc>
          <w:tcPr>
            <w:tcW w:w="2000" w:type="dxa"/>
            <w:vAlign w:val="bottom"/>
          </w:tcPr>
          <w:p>
            <w:pPr>
              <w:spacing w:after="0"/>
              <w:rPr>
                <w:sz w:val="17"/>
                <w:szCs w:val="17"/>
                <w:color w:val="auto"/>
              </w:rPr>
            </w:pPr>
          </w:p>
        </w:tc>
      </w:tr>
      <w:tr>
        <w:trPr>
          <w:trHeight w:val="203"/>
        </w:trPr>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Name of</w:t>
            </w:r>
          </w:p>
        </w:tc>
        <w:tc>
          <w:tcPr>
            <w:tcW w:w="3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of Beneficial</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Beneficial Owner</w:t>
            </w:r>
          </w:p>
        </w:tc>
        <w:tc>
          <w:tcPr>
            <w:tcW w:w="306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Ownership</w:t>
            </w:r>
          </w:p>
        </w:tc>
        <w:tc>
          <w:tcPr>
            <w:tcW w:w="20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 - - - - - - - -</w:t>
            </w:r>
          </w:p>
        </w:tc>
        <w:tc>
          <w:tcPr>
            <w:tcW w:w="3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 - - - - - - - -</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5"/>
              </w:rPr>
              <w:t>- - - - - -</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682,824</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6"/>
              </w:rPr>
              <w:t>24.3%</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42,728</w:t>
            </w:r>
          </w:p>
        </w:tc>
        <w:tc>
          <w:tcPr>
            <w:tcW w:w="2000" w:type="dxa"/>
            <w:vAlign w:val="bottom"/>
          </w:tcPr>
          <w:p>
            <w:pPr>
              <w:ind w:left="840"/>
              <w:spacing w:after="0"/>
              <w:rPr>
                <w:sz w:val="20"/>
                <w:szCs w:val="20"/>
                <w:color w:val="auto"/>
              </w:rPr>
            </w:pPr>
            <w:r>
              <w:rPr>
                <w:rFonts w:ascii="Courier New" w:cs="Courier New" w:eastAsia="Courier New" w:hAnsi="Courier New"/>
                <w:sz w:val="18"/>
                <w:szCs w:val="18"/>
                <w:color w:val="auto"/>
              </w:rPr>
              <w:t>1.5%</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Lance J. Melik</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9,075</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John A. Mellowes</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2,000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James O. Parrish</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30,600</w:t>
            </w:r>
          </w:p>
        </w:tc>
        <w:tc>
          <w:tcPr>
            <w:tcW w:w="2000" w:type="dxa"/>
            <w:vAlign w:val="bottom"/>
          </w:tcPr>
          <w:p>
            <w:pPr>
              <w:ind w:left="840"/>
              <w:spacing w:after="0"/>
              <w:rPr>
                <w:sz w:val="20"/>
                <w:szCs w:val="20"/>
                <w:color w:val="auto"/>
              </w:rPr>
            </w:pPr>
            <w:r>
              <w:rPr>
                <w:rFonts w:ascii="Courier New" w:cs="Courier New" w:eastAsia="Courier New" w:hAnsi="Courier New"/>
                <w:sz w:val="18"/>
                <w:szCs w:val="18"/>
                <w:color w:val="auto"/>
              </w:rPr>
              <w:t>1.1%</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Paul A. Pelligrino</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8,506</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Paul J. Powers</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6,200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Richard T. Savage</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7,700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L. Swift</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3,700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George E. Wardeberg</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2,400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R. Zimmer</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4,578</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3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(14 persons)</w:t>
            </w:r>
          </w:p>
        </w:tc>
        <w:tc>
          <w:tcPr>
            <w:tcW w:w="30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821,578</w:t>
            </w: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29.2%</w:t>
            </w:r>
          </w:p>
        </w:tc>
      </w:tr>
    </w:tbl>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Denotes ownership of less than one percent of shares outstanding.</w:t>
      </w:r>
    </w:p>
    <w:p>
      <w:pPr>
        <w:spacing w:after="0" w:line="207" w:lineRule="exact"/>
        <w:rPr>
          <w:sz w:val="20"/>
          <w:szCs w:val="20"/>
          <w:color w:val="auto"/>
        </w:rPr>
      </w:pPr>
    </w:p>
    <w:p>
      <w:pPr>
        <w:ind w:right="2419" w:firstLine="105"/>
        <w:spacing w:after="0" w:line="237" w:lineRule="auto"/>
        <w:rPr>
          <w:sz w:val="20"/>
          <w:szCs w:val="20"/>
          <w:color w:val="auto"/>
        </w:rPr>
      </w:pPr>
      <w:r>
        <w:rPr>
          <w:rFonts w:ascii="Courier New" w:cs="Courier New" w:eastAsia="Courier New" w:hAnsi="Courier New"/>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207" w:lineRule="exact"/>
        <w:rPr>
          <w:sz w:val="20"/>
          <w:szCs w:val="20"/>
          <w:color w:val="auto"/>
        </w:rPr>
      </w:pPr>
    </w:p>
    <w:p>
      <w:pPr>
        <w:ind w:right="2619" w:firstLine="105"/>
        <w:spacing w:after="0" w:line="236" w:lineRule="auto"/>
        <w:rPr>
          <w:sz w:val="20"/>
          <w:szCs w:val="20"/>
          <w:color w:val="auto"/>
        </w:rPr>
      </w:pPr>
      <w:r>
        <w:rPr>
          <w:rFonts w:ascii="Courier New" w:cs="Courier New" w:eastAsia="Courier New" w:hAnsi="Courier New"/>
          <w:sz w:val="18"/>
          <w:szCs w:val="18"/>
          <w:color w:val="auto"/>
        </w:rPr>
        <w:t>Includes 2,600 shares held by Mr. Battens wife, 605,611 shares held by him as trustee under various family trusts, and 59,500 shares subject to presently exercisable stock options.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Shares subject to currently exercisable stock options included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above are as follows: Mr. Parrish 23,800, Mr. Powers 5,900, Mr. Joyce 37,500,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Savage 5,000, Mr. Swift 3,500, Mr. Zimmer 3,500, Mr. Pelligrino 7,500,</w:t>
      </w:r>
    </w:p>
    <w:p>
      <w:pPr>
        <w:spacing w:after="0" w:line="238" w:lineRule="auto"/>
        <w:rPr>
          <w:sz w:val="20"/>
          <w:szCs w:val="20"/>
          <w:color w:val="auto"/>
        </w:rPr>
      </w:pPr>
      <w:r>
        <w:rPr>
          <w:rFonts w:ascii="Courier New" w:cs="Courier New" w:eastAsia="Courier New" w:hAnsi="Courier New"/>
          <w:sz w:val="18"/>
          <w:szCs w:val="18"/>
          <w:color w:val="auto"/>
        </w:rPr>
        <w:t>Mr. Melik 3,500, Mr. Mellowes 2,000, Mr. Wardeberg 2,200, and all Directors</w:t>
      </w:r>
    </w:p>
    <w:p>
      <w:pPr>
        <w:spacing w:after="0"/>
        <w:rPr>
          <w:sz w:val="20"/>
          <w:szCs w:val="20"/>
          <w:color w:val="auto"/>
        </w:rPr>
      </w:pPr>
      <w:r>
        <w:rPr>
          <w:rFonts w:ascii="Courier New" w:cs="Courier New" w:eastAsia="Courier New" w:hAnsi="Courier New"/>
          <w:sz w:val="18"/>
          <w:szCs w:val="18"/>
          <w:color w:val="auto"/>
        </w:rPr>
        <w:t>and executive officers as a group 170,450.</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jc w:val="center"/>
        <w:ind w:right="1879"/>
        <w:spacing w:after="0" w:line="238" w:lineRule="auto"/>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Three directors are to be elected for a term to expire at the annual meeting following the fiscal year ended June 30, 2003. Shares of common stock represented by properly executed proxy appointments in the accompanying form will be voted for the nominees listed for the term indicated unless authority to do so is withheld.</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nominees for the Board of Directors and the Directors whose terms will continue and the class to which he has been or is to be elected are as set forth below. Except for David B. Rayburn, each nominee and each Director was elected to his present term of office by a vote of shareholders at a meeting for which proxies were solicited.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8"/>
              </w:rPr>
              <w:t>Served as</w:t>
            </w:r>
          </w:p>
        </w:tc>
      </w:tr>
      <w:tr>
        <w:trPr>
          <w:trHeight w:val="203"/>
        </w:trPr>
        <w:tc>
          <w:tcPr>
            <w:tcW w:w="2960" w:type="dxa"/>
            <w:vAlign w:val="bottom"/>
          </w:tcPr>
          <w:p>
            <w:pPr>
              <w:spacing w:after="0"/>
              <w:rPr>
                <w:sz w:val="17"/>
                <w:szCs w:val="17"/>
                <w:color w:val="auto"/>
              </w:rPr>
            </w:pPr>
          </w:p>
        </w:tc>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 Occupation</w:t>
            </w:r>
          </w:p>
        </w:tc>
        <w:tc>
          <w:tcPr>
            <w:tcW w:w="142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Name of Director</w:t>
            </w:r>
          </w:p>
        </w:tc>
        <w:tc>
          <w:tcPr>
            <w:tcW w:w="3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other Public</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Continuously</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Date of Birth</w:t>
            </w:r>
          </w:p>
        </w:tc>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Directorships</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Since</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 - - - - - - -</w:t>
            </w:r>
          </w:p>
        </w:tc>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 - - - - - - - - -</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 - - - -</w:t>
            </w:r>
          </w:p>
        </w:tc>
      </w:tr>
      <w:tr>
        <w:trPr>
          <w:trHeight w:val="405"/>
        </w:trPr>
        <w:tc>
          <w:tcPr>
            <w:tcW w:w="6800" w:type="dxa"/>
            <w:vAlign w:val="bottom"/>
            <w:gridSpan w:val="2"/>
          </w:tcPr>
          <w:p>
            <w:pPr>
              <w:spacing w:after="0"/>
              <w:rPr>
                <w:sz w:val="20"/>
                <w:szCs w:val="20"/>
                <w:color w:val="auto"/>
              </w:rPr>
            </w:pPr>
            <w:r>
              <w:rPr>
                <w:rFonts w:ascii="Courier New" w:cs="Courier New" w:eastAsia="Courier New" w:hAnsi="Courier New"/>
                <w:sz w:val="18"/>
                <w:szCs w:val="18"/>
                <w:color w:val="auto"/>
              </w:rPr>
              <w:t>NOMINEES FOR DIRECTORS FOR TERMS TO EXPIRE IN 2003:</w:t>
            </w:r>
          </w:p>
        </w:tc>
        <w:tc>
          <w:tcPr>
            <w:tcW w:w="1420" w:type="dxa"/>
            <w:vAlign w:val="bottom"/>
          </w:tcPr>
          <w:p>
            <w:pPr>
              <w:spacing w:after="0"/>
              <w:rPr>
                <w:sz w:val="24"/>
                <w:szCs w:val="24"/>
                <w:color w:val="auto"/>
              </w:rPr>
            </w:pPr>
          </w:p>
        </w:tc>
      </w:tr>
      <w:tr>
        <w:trPr>
          <w:trHeight w:val="405"/>
        </w:trPr>
        <w:tc>
          <w:tcPr>
            <w:tcW w:w="6800" w:type="dxa"/>
            <w:vAlign w:val="bottom"/>
            <w:gridSpan w:val="2"/>
          </w:tcPr>
          <w:p>
            <w:pPr>
              <w:spacing w:after="0"/>
              <w:rPr>
                <w:sz w:val="20"/>
                <w:szCs w:val="20"/>
                <w:color w:val="auto"/>
              </w:rPr>
            </w:pPr>
            <w:r>
              <w:rPr>
                <w:rFonts w:ascii="Courier New" w:cs="Courier New" w:eastAsia="Courier New" w:hAnsi="Courier New"/>
                <w:sz w:val="18"/>
                <w:szCs w:val="18"/>
                <w:color w:val="auto"/>
              </w:rPr>
              <w:t>Michael H. Joyce . . . . . . President and</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October 1991</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November 7, 1940</w:t>
            </w:r>
          </w:p>
        </w:tc>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142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1420" w:type="dxa"/>
            <w:vAlign w:val="bottom"/>
          </w:tcPr>
          <w:p>
            <w:pPr>
              <w:spacing w:after="0"/>
              <w:rPr>
                <w:sz w:val="17"/>
                <w:szCs w:val="17"/>
                <w:color w:val="auto"/>
              </w:rPr>
            </w:pPr>
          </w:p>
        </w:tc>
      </w:tr>
      <w:tr>
        <w:trPr>
          <w:trHeight w:val="405"/>
        </w:trPr>
        <w:tc>
          <w:tcPr>
            <w:tcW w:w="8220" w:type="dxa"/>
            <w:vAlign w:val="bottom"/>
            <w:gridSpan w:val="3"/>
          </w:tcPr>
          <w:p>
            <w:pPr>
              <w:spacing w:after="0"/>
              <w:rPr>
                <w:sz w:val="20"/>
                <w:szCs w:val="20"/>
                <w:color w:val="auto"/>
              </w:rPr>
            </w:pPr>
            <w:r>
              <w:rPr>
                <w:rFonts w:ascii="Courier New" w:cs="Courier New" w:eastAsia="Courier New" w:hAnsi="Courier New"/>
                <w:sz w:val="18"/>
                <w:szCs w:val="18"/>
                <w:color w:val="auto"/>
                <w:w w:val="98"/>
              </w:rPr>
              <w:t>David B. Rayburn . . . . . . Executive Vice President - Operations  July 2000</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 24, 1948</w:t>
            </w:r>
          </w:p>
        </w:tc>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Modine Manufacturing Company,</w:t>
            </w:r>
          </w:p>
        </w:tc>
        <w:tc>
          <w:tcPr>
            <w:tcW w:w="142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Racine, Wisconsin</w:t>
            </w:r>
          </w:p>
        </w:tc>
        <w:tc>
          <w:tcPr>
            <w:tcW w:w="142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 manufacturer of heat</w:t>
            </w:r>
          </w:p>
        </w:tc>
        <w:tc>
          <w:tcPr>
            <w:tcW w:w="142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exchange equipment)</w:t>
            </w:r>
          </w:p>
        </w:tc>
        <w:tc>
          <w:tcPr>
            <w:tcW w:w="142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George E. Wardeberg . . . .</w:t>
            </w:r>
          </w:p>
        </w:tc>
        <w:tc>
          <w:tcPr>
            <w:tcW w:w="3840" w:type="dxa"/>
            <w:vAlign w:val="bottom"/>
          </w:tcPr>
          <w:p>
            <w:pPr>
              <w:ind w:left="100"/>
              <w:spacing w:after="0"/>
              <w:rPr>
                <w:sz w:val="20"/>
                <w:szCs w:val="20"/>
                <w:color w:val="auto"/>
              </w:rPr>
            </w:pPr>
            <w:r>
              <w:rPr>
                <w:rFonts w:ascii="Courier New" w:cs="Courier New" w:eastAsia="Courier New" w:hAnsi="Courier New"/>
                <w:sz w:val="18"/>
                <w:szCs w:val="18"/>
                <w:color w:val="auto"/>
              </w:rPr>
              <w:t>Vice Chairman</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8"/>
              </w:rPr>
              <w:t>July 1997</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August 27, 1935</w:t>
            </w:r>
          </w:p>
        </w:tc>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Wisconsin Energy Corporation</w:t>
            </w:r>
          </w:p>
        </w:tc>
        <w:tc>
          <w:tcPr>
            <w:tcW w:w="142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Milwaukee, Wisconsin</w:t>
            </w:r>
          </w:p>
        </w:tc>
        <w:tc>
          <w:tcPr>
            <w:tcW w:w="142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5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 holding company with subsidiaries in</w:t>
            </w:r>
          </w:p>
        </w:tc>
      </w:tr>
      <w:tr>
        <w:trPr>
          <w:trHeight w:val="203"/>
        </w:trPr>
        <w:tc>
          <w:tcPr>
            <w:tcW w:w="2960" w:type="dxa"/>
            <w:vAlign w:val="bottom"/>
          </w:tcPr>
          <w:p>
            <w:pPr>
              <w:spacing w:after="0"/>
              <w:rPr>
                <w:sz w:val="17"/>
                <w:szCs w:val="17"/>
                <w:color w:val="auto"/>
              </w:rPr>
            </w:pPr>
          </w:p>
        </w:tc>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utility and non-utility businesses)</w:t>
            </w:r>
          </w:p>
        </w:tc>
        <w:tc>
          <w:tcPr>
            <w:tcW w:w="1420" w:type="dxa"/>
            <w:vAlign w:val="bottom"/>
          </w:tcPr>
          <w:p>
            <w:pPr>
              <w:spacing w:after="0"/>
              <w:rPr>
                <w:sz w:val="17"/>
                <w:szCs w:val="17"/>
                <w:color w:val="auto"/>
              </w:rPr>
            </w:pPr>
          </w:p>
        </w:tc>
      </w:tr>
    </w:tbl>
    <w:p>
      <w:pPr>
        <w:ind w:left="3060"/>
        <w:spacing w:after="0" w:line="238" w:lineRule="auto"/>
        <w:rPr>
          <w:sz w:val="20"/>
          <w:szCs w:val="20"/>
          <w:color w:val="auto"/>
        </w:rPr>
      </w:pPr>
      <w:r>
        <w:rPr>
          <w:rFonts w:ascii="Courier New" w:cs="Courier New" w:eastAsia="Courier New" w:hAnsi="Courier New"/>
          <w:sz w:val="18"/>
          <w:szCs w:val="18"/>
          <w:color w:val="auto"/>
        </w:rPr>
        <w:t>Also Director,</w:t>
      </w:r>
    </w:p>
    <w:p>
      <w:pPr>
        <w:ind w:left="3060"/>
        <w:spacing w:after="0"/>
        <w:rPr>
          <w:sz w:val="20"/>
          <w:szCs w:val="20"/>
          <w:color w:val="auto"/>
        </w:rPr>
      </w:pPr>
      <w:r>
        <w:rPr>
          <w:rFonts w:ascii="Courier New" w:cs="Courier New" w:eastAsia="Courier New" w:hAnsi="Courier New"/>
          <w:sz w:val="18"/>
          <w:szCs w:val="18"/>
          <w:color w:val="auto"/>
        </w:rPr>
        <w:t>Marshall &amp; Ilsley Corporation</w:t>
      </w:r>
    </w:p>
    <w:p>
      <w:pPr>
        <w:sectPr>
          <w:pgSz w:w="11900" w:h="16838" w:orient="portrait"/>
          <w:cols w:equalWidth="0" w:num="1">
            <w:col w:w="10219"/>
          </w:cols>
          <w:pgMar w:left="240" w:top="312"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020" w:type="dxa"/>
            <w:vAlign w:val="bottom"/>
          </w:tcPr>
          <w:p>
            <w:pPr>
              <w:ind w:left="120"/>
              <w:spacing w:after="0"/>
              <w:rPr>
                <w:sz w:val="20"/>
                <w:szCs w:val="20"/>
                <w:color w:val="auto"/>
              </w:rPr>
            </w:pPr>
            <w:r>
              <w:rPr>
                <w:rFonts w:ascii="Courier New" w:cs="Courier New" w:eastAsia="Courier New" w:hAnsi="Courier New"/>
                <w:sz w:val="18"/>
                <w:szCs w:val="18"/>
                <w:color w:val="auto"/>
              </w:rPr>
              <w:t>6</w:t>
            </w:r>
          </w:p>
        </w:tc>
        <w:tc>
          <w:tcPr>
            <w:tcW w:w="3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DIRECTORS WHOSE TERMS EXPIRE</w:t>
            </w: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2002:</w:t>
            </w:r>
          </w:p>
        </w:tc>
        <w:tc>
          <w:tcPr>
            <w:tcW w:w="154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Michael E. Batten . . . . .</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Chairman and Chief Executive Officer,  May 1974</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April 14, 1940</w:t>
            </w: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Briggs &amp; Stratton Corporation,</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Firstar Corporation,</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Simpson Industries, and</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Universal Foods Corporation</w:t>
            </w:r>
          </w:p>
        </w:tc>
        <w:tc>
          <w:tcPr>
            <w:tcW w:w="1540" w:type="dxa"/>
            <w:vAlign w:val="bottom"/>
          </w:tcPr>
          <w:p>
            <w:pPr>
              <w:spacing w:after="0"/>
              <w:rPr>
                <w:sz w:val="17"/>
                <w:szCs w:val="17"/>
                <w:color w:val="auto"/>
              </w:rPr>
            </w:pPr>
          </w:p>
        </w:tc>
      </w:tr>
      <w:tr>
        <w:trPr>
          <w:trHeight w:val="405"/>
        </w:trPr>
        <w:tc>
          <w:tcPr>
            <w:tcW w:w="6480" w:type="dxa"/>
            <w:vAlign w:val="bottom"/>
            <w:gridSpan w:val="2"/>
          </w:tcPr>
          <w:p>
            <w:pPr>
              <w:spacing w:after="0"/>
              <w:rPr>
                <w:sz w:val="20"/>
                <w:szCs w:val="20"/>
                <w:color w:val="auto"/>
              </w:rPr>
            </w:pPr>
            <w:r>
              <w:rPr>
                <w:rFonts w:ascii="Courier New" w:cs="Courier New" w:eastAsia="Courier New" w:hAnsi="Courier New"/>
                <w:sz w:val="18"/>
                <w:szCs w:val="18"/>
                <w:color w:val="auto"/>
              </w:rPr>
              <w:t>David L. Swift . . . . . . . Former Chairman, President and</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July 1995</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September 20, 1936</w:t>
            </w: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Acme-Cleveland Corporation,</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Pepper Pike, Ohio</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manufacturer of diversified</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industrial products)</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5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Alltrista Corporation, LESCO, Inc. and</w:t>
            </w: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Cuno Incorporated</w:t>
            </w:r>
          </w:p>
        </w:tc>
        <w:tc>
          <w:tcPr>
            <w:tcW w:w="1540" w:type="dxa"/>
            <w:vAlign w:val="bottom"/>
          </w:tcPr>
          <w:p>
            <w:pPr>
              <w:spacing w:after="0"/>
              <w:rPr>
                <w:sz w:val="17"/>
                <w:szCs w:val="17"/>
                <w:color w:val="auto"/>
              </w:rPr>
            </w:pPr>
          </w:p>
        </w:tc>
      </w:tr>
      <w:tr>
        <w:trPr>
          <w:trHeight w:val="405"/>
        </w:trPr>
        <w:tc>
          <w:tcPr>
            <w:tcW w:w="6480" w:type="dxa"/>
            <w:vAlign w:val="bottom"/>
            <w:gridSpan w:val="2"/>
          </w:tcPr>
          <w:p>
            <w:pPr>
              <w:spacing w:after="0"/>
              <w:rPr>
                <w:sz w:val="20"/>
                <w:szCs w:val="20"/>
                <w:color w:val="auto"/>
              </w:rPr>
            </w:pPr>
            <w:r>
              <w:rPr>
                <w:rFonts w:ascii="Courier New" w:cs="Courier New" w:eastAsia="Courier New" w:hAnsi="Courier New"/>
                <w:sz w:val="18"/>
                <w:szCs w:val="18"/>
                <w:color w:val="auto"/>
              </w:rPr>
              <w:t>David R. Zimmer. . . . . . . Former Executive</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July 1995</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August 21, 1946</w:t>
            </w: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Vice President-Operations</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United Dominion Industries</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Charlotte, North Carolina</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(Manufacturer of proprietary</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engineered products)</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Formerly President and</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Core Industries, Inc.,</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Bloomfield Hills, Michigan</w:t>
            </w:r>
          </w:p>
        </w:tc>
        <w:tc>
          <w:tcPr>
            <w:tcW w:w="1540" w:type="dxa"/>
            <w:vAlign w:val="bottom"/>
          </w:tcPr>
          <w:p>
            <w:pPr>
              <w:spacing w:after="0"/>
              <w:rPr>
                <w:sz w:val="17"/>
                <w:szCs w:val="17"/>
                <w:color w:val="auto"/>
              </w:rPr>
            </w:pPr>
          </w:p>
        </w:tc>
      </w:tr>
      <w:tr>
        <w:trPr>
          <w:trHeight w:val="608"/>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DIRECTORS WHOSE TERMS EXPIRE</w:t>
            </w:r>
          </w:p>
        </w:tc>
        <w:tc>
          <w:tcPr>
            <w:tcW w:w="3460" w:type="dxa"/>
            <w:vAlign w:val="bottom"/>
          </w:tcPr>
          <w:p>
            <w:pPr>
              <w:ind w:left="40"/>
              <w:spacing w:after="0"/>
              <w:rPr>
                <w:sz w:val="20"/>
                <w:szCs w:val="20"/>
                <w:color w:val="auto"/>
              </w:rPr>
            </w:pPr>
            <w:r>
              <w:rPr>
                <w:rFonts w:ascii="Courier New" w:cs="Courier New" w:eastAsia="Courier New" w:hAnsi="Courier New"/>
                <w:sz w:val="18"/>
                <w:szCs w:val="18"/>
                <w:color w:val="auto"/>
              </w:rPr>
              <w:t>IN 2001:</w:t>
            </w:r>
          </w:p>
        </w:tc>
        <w:tc>
          <w:tcPr>
            <w:tcW w:w="1540" w:type="dxa"/>
            <w:vAlign w:val="bottom"/>
          </w:tcPr>
          <w:p>
            <w:pPr>
              <w:spacing w:after="0"/>
              <w:rPr>
                <w:sz w:val="24"/>
                <w:szCs w:val="24"/>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James O. Parrish . . . . . .</w:t>
            </w:r>
          </w:p>
        </w:tc>
        <w:tc>
          <w:tcPr>
            <w:tcW w:w="3460" w:type="dxa"/>
            <w:vAlign w:val="bottom"/>
          </w:tcPr>
          <w:p>
            <w:pPr>
              <w:ind w:left="40"/>
              <w:spacing w:after="0"/>
              <w:rPr>
                <w:sz w:val="20"/>
                <w:szCs w:val="20"/>
                <w:color w:val="auto"/>
              </w:rPr>
            </w:pPr>
            <w:r>
              <w:rPr>
                <w:rFonts w:ascii="Courier New" w:cs="Courier New" w:eastAsia="Courier New" w:hAnsi="Courier New"/>
                <w:sz w:val="18"/>
                <w:szCs w:val="18"/>
                <w:color w:val="auto"/>
              </w:rPr>
              <w:t>Vice President-Finance</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December 1982</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September 12, 1940</w:t>
            </w: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&amp; Treasurer</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1540" w:type="dxa"/>
            <w:vAlign w:val="bottom"/>
          </w:tcPr>
          <w:p>
            <w:pPr>
              <w:spacing w:after="0"/>
              <w:rPr>
                <w:sz w:val="17"/>
                <w:szCs w:val="17"/>
                <w:color w:val="auto"/>
              </w:rPr>
            </w:pPr>
          </w:p>
        </w:tc>
      </w:tr>
      <w:tr>
        <w:trPr>
          <w:trHeight w:val="405"/>
        </w:trPr>
        <w:tc>
          <w:tcPr>
            <w:tcW w:w="6480" w:type="dxa"/>
            <w:vAlign w:val="bottom"/>
            <w:gridSpan w:val="2"/>
          </w:tcPr>
          <w:p>
            <w:pPr>
              <w:spacing w:after="0"/>
              <w:rPr>
                <w:sz w:val="20"/>
                <w:szCs w:val="20"/>
                <w:color w:val="auto"/>
              </w:rPr>
            </w:pPr>
            <w:r>
              <w:rPr>
                <w:rFonts w:ascii="Courier New" w:cs="Courier New" w:eastAsia="Courier New" w:hAnsi="Courier New"/>
                <w:sz w:val="18"/>
                <w:szCs w:val="18"/>
                <w:color w:val="auto"/>
                <w:w w:val="99"/>
              </w:rPr>
              <w:t>Paul J. Powers . . . . . . . Retired Chairman, President and</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July 1992</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February 5, 1935</w:t>
            </w: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Commercial Intertech, Corp.,</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Youngstown, Ohio</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5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leading manufacturer of hydraulic</w:t>
            </w:r>
          </w:p>
        </w:tc>
      </w:tr>
      <w:tr>
        <w:trPr>
          <w:trHeight w:val="203"/>
        </w:trPr>
        <w:tc>
          <w:tcPr>
            <w:tcW w:w="3020" w:type="dxa"/>
            <w:vAlign w:val="bottom"/>
          </w:tcPr>
          <w:p>
            <w:pPr>
              <w:spacing w:after="0"/>
              <w:rPr>
                <w:sz w:val="17"/>
                <w:szCs w:val="17"/>
                <w:color w:val="auto"/>
              </w:rPr>
            </w:pPr>
          </w:p>
        </w:tc>
        <w:tc>
          <w:tcPr>
            <w:tcW w:w="5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components, pre-engineered buildings</w:t>
            </w: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stamped metal products)</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5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Director of Global Marine Incorporated,</w:t>
            </w: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First Energy Corporation, and</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International Corporation</w:t>
            </w:r>
          </w:p>
        </w:tc>
        <w:tc>
          <w:tcPr>
            <w:tcW w:w="1540" w:type="dxa"/>
            <w:vAlign w:val="bottom"/>
          </w:tcPr>
          <w:p>
            <w:pPr>
              <w:spacing w:after="0"/>
              <w:rPr>
                <w:sz w:val="17"/>
                <w:szCs w:val="17"/>
                <w:color w:val="auto"/>
              </w:rPr>
            </w:pPr>
          </w:p>
        </w:tc>
      </w:tr>
      <w:tr>
        <w:trPr>
          <w:trHeight w:val="405"/>
        </w:trPr>
        <w:tc>
          <w:tcPr>
            <w:tcW w:w="6480" w:type="dxa"/>
            <w:vAlign w:val="bottom"/>
            <w:gridSpan w:val="2"/>
          </w:tcPr>
          <w:p>
            <w:pPr>
              <w:spacing w:after="0"/>
              <w:rPr>
                <w:sz w:val="20"/>
                <w:szCs w:val="20"/>
                <w:color w:val="auto"/>
              </w:rPr>
            </w:pPr>
            <w:r>
              <w:rPr>
                <w:rFonts w:ascii="Courier New" w:cs="Courier New" w:eastAsia="Courier New" w:hAnsi="Courier New"/>
                <w:sz w:val="18"/>
                <w:szCs w:val="18"/>
                <w:color w:val="auto"/>
              </w:rPr>
              <w:t>John A. Mellowes . . . . . . Chairman and</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October, 1999</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March 16, 1938</w:t>
            </w: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5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Charter Manufacturing Co.,</w:t>
            </w:r>
          </w:p>
        </w:tc>
        <w:tc>
          <w:tcPr>
            <w:tcW w:w="1540" w:type="dxa"/>
            <w:vAlign w:val="bottom"/>
          </w:tcPr>
          <w:p>
            <w:pPr>
              <w:spacing w:after="0"/>
              <w:rPr>
                <w:sz w:val="17"/>
                <w:szCs w:val="17"/>
                <w:color w:val="auto"/>
              </w:rPr>
            </w:pPr>
          </w:p>
        </w:tc>
      </w:tr>
    </w:tbl>
    <w:p>
      <w:pPr>
        <w:ind w:left="3060"/>
        <w:spacing w:after="0" w:line="238" w:lineRule="auto"/>
        <w:rPr>
          <w:sz w:val="20"/>
          <w:szCs w:val="20"/>
          <w:color w:val="auto"/>
        </w:rPr>
      </w:pPr>
      <w:r>
        <w:rPr>
          <w:rFonts w:ascii="Courier New" w:cs="Courier New" w:eastAsia="Courier New" w:hAnsi="Courier New"/>
          <w:sz w:val="18"/>
          <w:szCs w:val="18"/>
          <w:color w:val="auto"/>
        </w:rPr>
        <w:t>Mequon, Wisconsin</w:t>
      </w:r>
    </w:p>
    <w:p>
      <w:pPr>
        <w:ind w:left="3060"/>
        <w:spacing w:after="0"/>
        <w:rPr>
          <w:sz w:val="20"/>
          <w:szCs w:val="20"/>
          <w:color w:val="auto"/>
        </w:rPr>
      </w:pPr>
      <w:r>
        <w:rPr>
          <w:rFonts w:ascii="Courier New" w:cs="Courier New" w:eastAsia="Courier New" w:hAnsi="Courier New"/>
          <w:sz w:val="18"/>
          <w:szCs w:val="18"/>
          <w:color w:val="auto"/>
        </w:rPr>
        <w:t>(A privately held producer of bar,</w:t>
      </w:r>
    </w:p>
    <w:p>
      <w:pPr>
        <w:ind w:left="3060"/>
        <w:spacing w:after="0" w:line="237" w:lineRule="auto"/>
        <w:rPr>
          <w:sz w:val="20"/>
          <w:szCs w:val="20"/>
          <w:color w:val="auto"/>
        </w:rPr>
      </w:pPr>
      <w:r>
        <w:rPr>
          <w:rFonts w:ascii="Courier New" w:cs="Courier New" w:eastAsia="Courier New" w:hAnsi="Courier New"/>
          <w:sz w:val="18"/>
          <w:szCs w:val="18"/>
          <w:color w:val="auto"/>
        </w:rPr>
        <w:t>rod wire and wire parts)</w:t>
      </w:r>
    </w:p>
    <w:p>
      <w:pPr>
        <w:sectPr>
          <w:pgSz w:w="11900" w:h="16838" w:orient="portrait"/>
          <w:cols w:equalWidth="0" w:num="1">
            <w:col w:w="10219"/>
          </w:cols>
          <w:pgMar w:left="240" w:top="312"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ind w:left="2540"/>
        <w:spacing w:after="0" w:line="238" w:lineRule="auto"/>
        <w:rPr>
          <w:sz w:val="20"/>
          <w:szCs w:val="20"/>
          <w:color w:val="auto"/>
        </w:rPr>
      </w:pPr>
      <w:r>
        <w:rPr>
          <w:rFonts w:ascii="Courier New" w:cs="Courier New" w:eastAsia="Courier New" w:hAnsi="Courier New"/>
          <w:sz w:val="18"/>
          <w:szCs w:val="18"/>
          <w:color w:val="auto"/>
        </w:rPr>
        <w:t>DIRECTOR COMMITTEES AND ATTENDANCE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MEETINGS AND ATTENDANCE</w:t>
      </w:r>
    </w:p>
    <w:p>
      <w:pPr>
        <w:spacing w:after="0" w:line="4"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Corporation's Board of Directors met 6 times during the year ended June 30, 2000. There was one absence from these meetings.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COMMITTEE MEETINGS AND ATTENDANCE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Executive Selection and Salary and Audit Committees met 1 and 3 times respectively, during the year. The Director Nominating and Board Affairs Committee met 1 time during the year. The Pension and Finance Committees met 2 times during the year. Each Director attended at least 75% of the meetings requiring his attendance.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COMMITTEE FUNCTIONS</w:t>
      </w:r>
    </w:p>
    <w:p>
      <w:pPr>
        <w:spacing w:after="0" w:line="238" w:lineRule="auto"/>
        <w:rPr>
          <w:sz w:val="20"/>
          <w:szCs w:val="20"/>
          <w:color w:val="auto"/>
        </w:rPr>
      </w:pPr>
      <w:r>
        <w:rPr>
          <w:rFonts w:ascii="Courier New" w:cs="Courier New" w:eastAsia="Courier New" w:hAnsi="Courier New"/>
          <w:sz w:val="18"/>
          <w:szCs w:val="18"/>
          <w:color w:val="auto"/>
        </w:rPr>
        <w:t>Audit Committee</w:t>
      </w:r>
    </w:p>
    <w:p>
      <w:pPr>
        <w:spacing w:after="0" w:line="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Audit Committee reviews with the Corporation's Internal Auditor and Independent Public Accountants their activities, reports and comments, and recommends to the Board any action which it deems appropriate. The Committee recommends to the Board the selection of auditors.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Committee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Finance Committee considers managements proposed financial policies and actions, and makes appropriate recommendations to the Board regarding: Debt and capital structure, acquisitions, capital budgets, dividend policy and other financial matters.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Nominating and Board Affairs Committee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Director Nominating and Board Affairs Committee recommends nominees for the Board to the Board of Directors. The Committee will consider nominees recommended by shareholders in writing to the Secretary. In addition, the Committee reviews proposed changes in corporate structure and governance, committee structure and function, and meeting schedules making recommendations to the Board as appropriate.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Selection and Salary Committee</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Executive Selection and Salary Committee reviews nominees for Corporate offices and related compensation levels, making recommendations to the Board of Directors as considered necessary.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Committee</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Membership</w:t>
      </w:r>
    </w:p>
    <w:p>
      <w:pPr>
        <w:ind w:left="540"/>
        <w:spacing w:after="0" w:line="238" w:lineRule="auto"/>
        <w:rPr>
          <w:sz w:val="20"/>
          <w:szCs w:val="20"/>
          <w:color w:val="auto"/>
        </w:rPr>
      </w:pPr>
      <w:r>
        <w:rPr>
          <w:rFonts w:ascii="Courier New" w:cs="Courier New" w:eastAsia="Courier New" w:hAnsi="Courier New"/>
          <w:sz w:val="18"/>
          <w:szCs w:val="18"/>
          <w:color w:val="auto"/>
        </w:rPr>
        <w:t>The Directors' committees are currently comprised of the following</w:t>
      </w:r>
    </w:p>
    <w:tbl>
      <w:tblPr>
        <w:tblLayout w:type="fixed"/>
        <w:tblInd w:w="0" w:type="dxa"/>
        <w:tblCellMar>
          <w:top w:w="0" w:type="dxa"/>
          <w:left w:w="0" w:type="dxa"/>
          <w:bottom w:w="0" w:type="dxa"/>
          <w:right w:w="0" w:type="dxa"/>
        </w:tblCellMar>
      </w:tblPr>
      <w:tr>
        <w:trPr>
          <w:trHeight w:val="203"/>
        </w:trPr>
        <w:tc>
          <w:tcPr>
            <w:tcW w:w="6380" w:type="dxa"/>
            <w:vAlign w:val="bottom"/>
            <w:gridSpan w:val="4"/>
          </w:tcPr>
          <w:p>
            <w:pPr>
              <w:spacing w:after="0"/>
              <w:rPr>
                <w:sz w:val="20"/>
                <w:szCs w:val="20"/>
                <w:color w:val="auto"/>
              </w:rPr>
            </w:pPr>
            <w:r>
              <w:rPr>
                <w:rFonts w:ascii="Courier New" w:cs="Courier New" w:eastAsia="Courier New" w:hAnsi="Courier New"/>
                <w:sz w:val="18"/>
                <w:szCs w:val="18"/>
                <w:color w:val="auto"/>
              </w:rPr>
              <w:t>Directors; the Chairman of the Committee is listed first:</w:t>
            </w:r>
          </w:p>
        </w:tc>
        <w:tc>
          <w:tcPr>
            <w:tcW w:w="19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Executive</w:t>
            </w:r>
          </w:p>
        </w:tc>
        <w:tc>
          <w:tcPr>
            <w:tcW w:w="19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Selection</w:t>
            </w:r>
          </w:p>
        </w:tc>
        <w:tc>
          <w:tcPr>
            <w:tcW w:w="1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Nominating</w:t>
            </w:r>
          </w:p>
        </w:tc>
      </w:tr>
      <w:tr>
        <w:trPr>
          <w:trHeight w:val="203"/>
        </w:trPr>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w:t>
            </w:r>
          </w:p>
        </w:tc>
        <w:tc>
          <w:tcPr>
            <w:tcW w:w="19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Pension</w:t>
            </w: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Salary</w:t>
            </w:r>
          </w:p>
        </w:tc>
        <w:tc>
          <w:tcPr>
            <w:tcW w:w="19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Board Affairs</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 - -</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 - -</w:t>
            </w:r>
          </w:p>
        </w:tc>
        <w:tc>
          <w:tcPr>
            <w:tcW w:w="16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 - - -</w:t>
            </w:r>
          </w:p>
        </w:tc>
        <w:tc>
          <w:tcPr>
            <w:tcW w:w="2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 - - - -</w:t>
            </w:r>
          </w:p>
        </w:tc>
        <w:tc>
          <w:tcPr>
            <w:tcW w:w="19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 - - - - - -</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Powers</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Zimmer</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Swift</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Savage</w:t>
            </w:r>
          </w:p>
        </w:tc>
        <w:tc>
          <w:tcPr>
            <w:tcW w:w="19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Wardeberg</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Swift</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Swift</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Powers</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Powers</w:t>
            </w:r>
          </w:p>
        </w:tc>
        <w:tc>
          <w:tcPr>
            <w:tcW w:w="19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Savage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Zimmer</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Wardeberg</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Savage</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Wardeberg</w:t>
            </w:r>
          </w:p>
        </w:tc>
        <w:tc>
          <w:tcPr>
            <w:tcW w:w="19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Mellowes</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Mellowes</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Mellowes</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Zimmer</w:t>
            </w: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Joyce</w:t>
            </w: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Parrish</w:t>
            </w: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8</w:t>
            </w: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740" w:type="dxa"/>
            <w:vAlign w:val="bottom"/>
            <w:gridSpan w:val="2"/>
          </w:tcPr>
          <w:p>
            <w:pPr>
              <w:spacing w:after="0"/>
              <w:rPr>
                <w:sz w:val="20"/>
                <w:szCs w:val="20"/>
                <w:color w:val="auto"/>
              </w:rPr>
            </w:pPr>
            <w:r>
              <w:rPr>
                <w:rFonts w:ascii="Courier New" w:cs="Courier New" w:eastAsia="Courier New" w:hAnsi="Courier New"/>
                <w:sz w:val="18"/>
                <w:szCs w:val="18"/>
                <w:color w:val="auto"/>
              </w:rPr>
              <w:t>COMPENSATION OF EXECUTIVE</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4"/>
              </w:rPr>
              <w:t>OFFICERS</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8340" w:type="dxa"/>
            <w:vAlign w:val="bottom"/>
            <w:gridSpan w:val="7"/>
          </w:tcPr>
          <w:p>
            <w:pPr>
              <w:jc w:val="right"/>
              <w:ind w:right="1072"/>
              <w:spacing w:after="0" w:line="203" w:lineRule="exact"/>
              <w:rPr>
                <w:sz w:val="20"/>
                <w:szCs w:val="20"/>
                <w:color w:val="auto"/>
              </w:rPr>
            </w:pPr>
            <w:r>
              <w:rPr>
                <w:rFonts w:ascii="Courier New" w:cs="Courier New" w:eastAsia="Courier New" w:hAnsi="Courier New"/>
                <w:sz w:val="18"/>
                <w:szCs w:val="18"/>
                <w:color w:val="auto"/>
              </w:rPr>
              <w:t>The following table sets forth the compensation received by the</w:t>
            </w:r>
          </w:p>
        </w:tc>
      </w:tr>
      <w:tr>
        <w:trPr>
          <w:trHeight w:val="203"/>
        </w:trPr>
        <w:tc>
          <w:tcPr>
            <w:tcW w:w="83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Corporation's Chief Executive Officer and the 4 most highly paid executive</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officers for the 3 fiscal</w:t>
            </w:r>
          </w:p>
        </w:tc>
        <w:tc>
          <w:tcPr>
            <w:tcW w:w="5600" w:type="dxa"/>
            <w:vAlign w:val="bottom"/>
            <w:gridSpan w:val="5"/>
          </w:tcPr>
          <w:p>
            <w:pPr>
              <w:jc w:val="right"/>
              <w:ind w:right="1072"/>
              <w:spacing w:after="0" w:line="203" w:lineRule="exact"/>
              <w:rPr>
                <w:sz w:val="20"/>
                <w:szCs w:val="20"/>
                <w:color w:val="auto"/>
              </w:rPr>
            </w:pPr>
            <w:r>
              <w:rPr>
                <w:rFonts w:ascii="Courier New" w:cs="Courier New" w:eastAsia="Courier New" w:hAnsi="Courier New"/>
                <w:sz w:val="18"/>
                <w:szCs w:val="18"/>
                <w:color w:val="auto"/>
                <w:w w:val="97"/>
              </w:rPr>
              <w:t>years ended June 30, 1998, 1999, and 2000,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respectively.</w:t>
            </w: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08"/>
        </w:trPr>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SUMMARY COMPENSATION TABLE</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Annual</w:t>
            </w:r>
          </w:p>
        </w:tc>
        <w:tc>
          <w:tcPr>
            <w:tcW w:w="960" w:type="dxa"/>
            <w:vAlign w:val="bottom"/>
          </w:tcPr>
          <w:p>
            <w:pPr>
              <w:spacing w:after="0"/>
              <w:rPr>
                <w:sz w:val="24"/>
                <w:szCs w:val="24"/>
                <w:color w:val="auto"/>
              </w:rPr>
            </w:pPr>
          </w:p>
        </w:tc>
        <w:tc>
          <w:tcPr>
            <w:tcW w:w="16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8"/>
              </w:rPr>
              <w:t>Long-Term</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Compensation</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Compensation</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 - - - - - -</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 - - - - -</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Stock</w:t>
            </w:r>
          </w:p>
        </w:tc>
        <w:tc>
          <w:tcPr>
            <w:tcW w:w="20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All Other</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Year</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Salary</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Bonus</w:t>
            </w:r>
          </w:p>
        </w:tc>
        <w:tc>
          <w:tcPr>
            <w:tcW w:w="316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w w:val="96"/>
              </w:rPr>
              <w:t>Options  Compensation</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 - - - - - - - - -</w:t>
            </w:r>
          </w:p>
        </w:tc>
        <w:tc>
          <w:tcPr>
            <w:tcW w:w="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86"/>
              </w:rPr>
              <w:t>-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 - -</w:t>
            </w:r>
          </w:p>
        </w:tc>
        <w:tc>
          <w:tcPr>
            <w:tcW w:w="4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7"/>
              </w:rPr>
              <w:t>- - - - -   - - - -  - - - - - - - -</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$345,000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$119,800</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6"/>
              </w:rPr>
              <w:t>6,000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12,503</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 and</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345,000</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9,000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21,539</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328,000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190,000</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9,000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19,876</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$263,154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$ 59,400</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6"/>
              </w:rPr>
              <w:t>3,000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5,921</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259,100</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4,500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7,532</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Operating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245,000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127,700</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4,500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5,965</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James O. Parrish</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$171,600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$ 35,700</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6"/>
              </w:rPr>
              <w:t>2,000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9,720</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169,425</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2,500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8,878</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&amp;</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161,500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65,500</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2,500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7,786</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Treasurer</w:t>
            </w: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Paul A. Pelligrino</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$134,846</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$ 24,400</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6"/>
              </w:rPr>
              <w:t>2,000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6,068</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$129,615</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2,500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6,728</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Engineering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123,400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44,000</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2,500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6,236</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Lance J. Melik</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$133,846</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$ 23,200</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6"/>
              </w:rPr>
              <w:t>1,250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7,050</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130,685</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1,500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4,700</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 Development</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43,500</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6,787</w:t>
            </w:r>
          </w:p>
        </w:tc>
      </w:tr>
    </w:tbl>
    <w:p>
      <w:pPr>
        <w:spacing w:after="0" w:line="207" w:lineRule="exact"/>
        <w:rPr>
          <w:sz w:val="20"/>
          <w:szCs w:val="20"/>
          <w:color w:val="auto"/>
        </w:rPr>
      </w:pPr>
    </w:p>
    <w:p>
      <w:pPr>
        <w:ind w:right="1999" w:firstLine="105"/>
        <w:spacing w:after="0" w:line="237" w:lineRule="auto"/>
        <w:rPr>
          <w:sz w:val="20"/>
          <w:szCs w:val="20"/>
          <w:color w:val="auto"/>
        </w:rPr>
      </w:pPr>
      <w:r>
        <w:rPr>
          <w:rFonts w:ascii="Courier New" w:cs="Courier New" w:eastAsia="Courier New" w:hAnsi="Courier New"/>
          <w:sz w:val="18"/>
          <w:szCs w:val="18"/>
          <w:color w:val="auto"/>
        </w:rPr>
        <w:t>Represents annual incentive bonuses determined by the Board of Directors. See "Board Executive Selection and Salary Committee Report on Executive Compensation-Annual Incentives". Bonuses are paid in the fiscal year following the fiscal year in which earned.</w:t>
      </w:r>
    </w:p>
    <w:p>
      <w:pPr>
        <w:spacing w:after="0" w:line="207" w:lineRule="exact"/>
        <w:rPr>
          <w:sz w:val="20"/>
          <w:szCs w:val="20"/>
          <w:color w:val="auto"/>
        </w:rPr>
      </w:pPr>
    </w:p>
    <w:p>
      <w:pPr>
        <w:ind w:right="2519" w:firstLine="105"/>
        <w:spacing w:after="0" w:line="235" w:lineRule="auto"/>
        <w:rPr>
          <w:sz w:val="20"/>
          <w:szCs w:val="20"/>
          <w:color w:val="auto"/>
        </w:rPr>
      </w:pPr>
      <w:r>
        <w:rPr>
          <w:rFonts w:ascii="Courier New" w:cs="Courier New" w:eastAsia="Courier New" w:hAnsi="Courier New"/>
          <w:sz w:val="18"/>
          <w:szCs w:val="18"/>
          <w:color w:val="auto"/>
        </w:rPr>
        <w:t>Amounts are comprised of Corporation's 401(k) matching contributions and Corporation paid life insurance includible in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table summarizes option grants during fiscal year 2000 to the executive officers named in the Summary Compensation Table above, and the potential realizable values at assumed annual rates of stock price appreciation for the 10 year option term.</w:t>
      </w:r>
    </w:p>
    <w:p>
      <w:pPr>
        <w:sectPr>
          <w:pgSz w:w="11900" w:h="16838" w:orient="portrait"/>
          <w:cols w:equalWidth="0" w:num="1">
            <w:col w:w="10219"/>
          </w:cols>
          <w:pgMar w:left="240" w:top="312"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Potential</w:t>
            </w:r>
          </w:p>
        </w:tc>
        <w:tc>
          <w:tcPr>
            <w:tcW w:w="19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Realizable Value</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at Assumed Annual</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Rates</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8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rPr>
              <w:t>of Stock Price Appreciation</w:t>
            </w:r>
          </w:p>
        </w:tc>
      </w:tr>
      <w:tr>
        <w:trPr>
          <w:trHeight w:val="203"/>
        </w:trPr>
        <w:tc>
          <w:tcPr>
            <w:tcW w:w="1380" w:type="dxa"/>
            <w:vAlign w:val="bottom"/>
          </w:tcPr>
          <w:p>
            <w:pPr>
              <w:spacing w:after="0"/>
              <w:rPr>
                <w:sz w:val="17"/>
                <w:szCs w:val="17"/>
                <w:color w:val="auto"/>
              </w:rPr>
            </w:pPr>
          </w:p>
        </w:tc>
        <w:tc>
          <w:tcPr>
            <w:tcW w:w="3680" w:type="dxa"/>
            <w:vAlign w:val="bottom"/>
            <w:gridSpan w:val="4"/>
          </w:tcPr>
          <w:p>
            <w:pPr>
              <w:jc w:val="right"/>
              <w:ind w:right="752"/>
              <w:spacing w:after="0" w:line="203" w:lineRule="exact"/>
              <w:rPr>
                <w:sz w:val="20"/>
                <w:szCs w:val="20"/>
                <w:color w:val="auto"/>
              </w:rPr>
            </w:pPr>
            <w:r>
              <w:rPr>
                <w:rFonts w:ascii="Courier New" w:cs="Courier New" w:eastAsia="Courier New" w:hAnsi="Courier New"/>
                <w:sz w:val="18"/>
                <w:szCs w:val="18"/>
                <w:color w:val="auto"/>
              </w:rPr>
              <w:t>Individual Grants</w:t>
            </w:r>
          </w:p>
        </w:tc>
        <w:tc>
          <w:tcPr>
            <w:tcW w:w="112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1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Option Term</w:t>
            </w:r>
          </w:p>
        </w:tc>
      </w:tr>
      <w:tr>
        <w:trPr>
          <w:trHeight w:val="203"/>
        </w:trPr>
        <w:tc>
          <w:tcPr>
            <w:tcW w:w="138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w w:val="73"/>
              </w:rPr>
              <w:t>----------------------------------</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8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of Total</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Options</w:t>
            </w:r>
          </w:p>
        </w:tc>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Granted to</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Exercise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Expiration</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w:t>
            </w:r>
          </w:p>
        </w:tc>
        <w:tc>
          <w:tcPr>
            <w:tcW w:w="2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Granted Employees</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Price  Date</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1360" w:type="dxa"/>
            <w:vAlign w:val="bottom"/>
          </w:tcPr>
          <w:p>
            <w:pPr>
              <w:ind w:left="200"/>
              <w:spacing w:after="0"/>
              <w:rPr>
                <w:sz w:val="20"/>
                <w:szCs w:val="20"/>
                <w:color w:val="auto"/>
              </w:rPr>
            </w:pPr>
            <w:r>
              <w:rPr>
                <w:rFonts w:ascii="Courier New" w:cs="Courier New" w:eastAsia="Courier New" w:hAnsi="Courier New"/>
                <w:sz w:val="18"/>
                <w:szCs w:val="18"/>
                <w:color w:val="auto"/>
              </w:rPr>
              <w:t>3,000</w:t>
            </w:r>
          </w:p>
        </w:tc>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8.6%</w:t>
            </w:r>
          </w:p>
        </w:tc>
        <w:tc>
          <w:tcPr>
            <w:tcW w:w="32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$19.9375</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7/30/04</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36,616</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95,326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 Batten</w:t>
            </w: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3,000</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8.6%</w:t>
            </w:r>
          </w:p>
        </w:tc>
        <w:tc>
          <w:tcPr>
            <w:tcW w:w="3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21.9313</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7/30/09</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41,377</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104,859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3,000</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8.6%</w:t>
            </w:r>
          </w:p>
        </w:tc>
        <w:tc>
          <w:tcPr>
            <w:tcW w:w="3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19.9375</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7/30/09</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37,616</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95,326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J. Parrish</w:t>
            </w: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2,000</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5.7%</w:t>
            </w:r>
          </w:p>
        </w:tc>
        <w:tc>
          <w:tcPr>
            <w:tcW w:w="3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19.9375</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7/30/09</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25,077</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63,550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 Pelligrino</w:t>
            </w: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2,000</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5.7%</w:t>
            </w:r>
          </w:p>
        </w:tc>
        <w:tc>
          <w:tcPr>
            <w:tcW w:w="3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19.9375</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7/30/09</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25,077</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63,550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L. Melik</w:t>
            </w: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1,250</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3.6%</w:t>
            </w:r>
          </w:p>
        </w:tc>
        <w:tc>
          <w:tcPr>
            <w:tcW w:w="3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19.9375</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7/30/09</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15,673</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39,719</w:t>
            </w:r>
          </w:p>
        </w:tc>
      </w:tr>
    </w:tbl>
    <w:p>
      <w:pPr>
        <w:spacing w:after="0" w:line="207"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During the fiscal year ended June 30, 2000, a total of 34,800 options were granted to officers, key employees and directors, with 28,800 granted under the 1998 Incentive Compensation Plan, and 6,000 options granted under the 1998 Stock Option Plan for Non-Employee Directors.</w:t>
      </w:r>
    </w:p>
    <w:p>
      <w:pPr>
        <w:spacing w:after="0" w:line="207" w:lineRule="exact"/>
        <w:rPr>
          <w:sz w:val="20"/>
          <w:szCs w:val="20"/>
          <w:color w:val="auto"/>
        </w:rPr>
      </w:pPr>
    </w:p>
    <w:p>
      <w:pPr>
        <w:jc w:val="both"/>
        <w:ind w:right="2419" w:firstLine="105"/>
        <w:spacing w:after="0" w:line="236" w:lineRule="auto"/>
        <w:rPr>
          <w:sz w:val="20"/>
          <w:szCs w:val="20"/>
          <w:color w:val="auto"/>
        </w:rPr>
      </w:pPr>
      <w:r>
        <w:rPr>
          <w:rFonts w:ascii="Courier New" w:cs="Courier New" w:eastAsia="Courier New" w:hAnsi="Courier New"/>
          <w:sz w:val="18"/>
          <w:szCs w:val="18"/>
          <w:color w:val="auto"/>
        </w:rPr>
        <w:t>The exercise price is the fair market value on the date of grant, except for incentive stock options granted to Mr. Batten which are exercisable at 110% of the fair market value at date of grant.</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AGGREGATED OPTION EXERCISES IN</w:t>
      </w:r>
    </w:p>
    <w:p>
      <w:pPr>
        <w:ind w:left="1900"/>
        <w:spacing w:after="0" w:line="238" w:lineRule="auto"/>
        <w:rPr>
          <w:sz w:val="20"/>
          <w:szCs w:val="20"/>
          <w:color w:val="auto"/>
        </w:rPr>
      </w:pPr>
      <w:r>
        <w:rPr>
          <w:rFonts w:ascii="Courier New" w:cs="Courier New" w:eastAsia="Courier New" w:hAnsi="Courier New"/>
          <w:sz w:val="18"/>
          <w:szCs w:val="18"/>
          <w:color w:val="auto"/>
        </w:rPr>
        <w:t>LAST FISCAL YEAR AND YEAR-END OPTION VALUES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provides information on option exercises in fiscal</w:t>
      </w:r>
    </w:p>
    <w:p>
      <w:pPr>
        <w:spacing w:after="0" w:line="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2000 by the named executive officers and the value of such officers' unexercised options at June 30, 2000.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Total Number</w:t>
            </w:r>
          </w:p>
        </w:tc>
        <w:tc>
          <w:tcPr>
            <w:tcW w:w="740" w:type="dxa"/>
            <w:vAlign w:val="bottom"/>
          </w:tcPr>
          <w:p>
            <w:pPr>
              <w:spacing w:after="0"/>
              <w:rPr>
                <w:sz w:val="17"/>
                <w:szCs w:val="17"/>
                <w:color w:val="auto"/>
              </w:rPr>
            </w:pPr>
          </w:p>
        </w:tc>
        <w:tc>
          <w:tcPr>
            <w:tcW w:w="274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Total Value</w:t>
            </w:r>
          </w:p>
        </w:tc>
      </w:tr>
      <w:tr>
        <w:trPr>
          <w:trHeight w:val="203"/>
        </w:trPr>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of Unexercised</w:t>
            </w:r>
          </w:p>
        </w:tc>
        <w:tc>
          <w:tcPr>
            <w:tcW w:w="740" w:type="dxa"/>
            <w:vAlign w:val="bottom"/>
          </w:tcPr>
          <w:p>
            <w:pPr>
              <w:spacing w:after="0"/>
              <w:rPr>
                <w:sz w:val="17"/>
                <w:szCs w:val="17"/>
                <w:color w:val="auto"/>
              </w:rPr>
            </w:pPr>
          </w:p>
        </w:tc>
        <w:tc>
          <w:tcPr>
            <w:tcW w:w="27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of Unexercised,</w:t>
            </w:r>
          </w:p>
        </w:tc>
      </w:tr>
      <w:tr>
        <w:trPr>
          <w:trHeight w:val="203"/>
        </w:trPr>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Options Held</w:t>
            </w:r>
          </w:p>
        </w:tc>
        <w:tc>
          <w:tcPr>
            <w:tcW w:w="740" w:type="dxa"/>
            <w:vAlign w:val="bottom"/>
          </w:tcPr>
          <w:p>
            <w:pPr>
              <w:spacing w:after="0"/>
              <w:rPr>
                <w:sz w:val="17"/>
                <w:szCs w:val="17"/>
                <w:color w:val="auto"/>
              </w:rPr>
            </w:pPr>
          </w:p>
        </w:tc>
        <w:tc>
          <w:tcPr>
            <w:tcW w:w="27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In-the-Money Options</w:t>
            </w:r>
          </w:p>
        </w:tc>
      </w:tr>
      <w:tr>
        <w:trPr>
          <w:trHeight w:val="203"/>
        </w:trPr>
        <w:tc>
          <w:tcPr>
            <w:tcW w:w="1060" w:type="dxa"/>
            <w:vAlign w:val="bottom"/>
          </w:tcPr>
          <w:p>
            <w:pPr>
              <w:spacing w:after="0"/>
              <w:rPr>
                <w:sz w:val="17"/>
                <w:szCs w:val="17"/>
                <w:color w:val="auto"/>
              </w:rPr>
            </w:pPr>
          </w:p>
        </w:tc>
        <w:tc>
          <w:tcPr>
            <w:tcW w:w="13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Shares</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Value</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at Fiscal Year</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End</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Held at Fiscal Year End</w:t>
            </w:r>
          </w:p>
        </w:tc>
      </w:tr>
      <w:tr>
        <w:trPr>
          <w:trHeight w:val="203"/>
        </w:trPr>
        <w:tc>
          <w:tcPr>
            <w:tcW w:w="106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Acquired on</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Real-</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Unexer-</w:t>
            </w:r>
          </w:p>
        </w:tc>
        <w:tc>
          <w:tcPr>
            <w:tcW w:w="1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Exer-</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Unexer-</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3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Exercise</w:t>
            </w: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ized</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cisable</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cisable</w:t>
            </w:r>
          </w:p>
        </w:tc>
        <w:tc>
          <w:tcPr>
            <w:tcW w:w="1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cisable</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cisable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800" w:type="dxa"/>
            <w:vAlign w:val="bottom"/>
          </w:tcPr>
          <w:p>
            <w:pPr>
              <w:spacing w:after="0"/>
              <w:rPr>
                <w:sz w:val="24"/>
                <w:szCs w:val="24"/>
                <w:color w:val="auto"/>
              </w:rPr>
            </w:pPr>
          </w:p>
        </w:tc>
        <w:tc>
          <w:tcPr>
            <w:tcW w:w="5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59,500</w:t>
            </w:r>
          </w:p>
        </w:tc>
        <w:tc>
          <w:tcPr>
            <w:tcW w:w="4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$ 0</w:t>
            </w:r>
          </w:p>
        </w:tc>
        <w:tc>
          <w:tcPr>
            <w:tcW w:w="14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$ 0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800" w:type="dxa"/>
            <w:vAlign w:val="bottom"/>
          </w:tcPr>
          <w:p>
            <w:pPr>
              <w:spacing w:after="0"/>
              <w:rPr>
                <w:sz w:val="17"/>
                <w:szCs w:val="17"/>
                <w:color w:val="auto"/>
              </w:rPr>
            </w:pPr>
          </w:p>
        </w:tc>
        <w:tc>
          <w:tcPr>
            <w:tcW w:w="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37,500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1,750</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J. Parrish</w:t>
            </w:r>
          </w:p>
        </w:tc>
        <w:tc>
          <w:tcPr>
            <w:tcW w:w="800" w:type="dxa"/>
            <w:vAlign w:val="bottom"/>
          </w:tcPr>
          <w:p>
            <w:pPr>
              <w:spacing w:after="0"/>
              <w:rPr>
                <w:sz w:val="17"/>
                <w:szCs w:val="17"/>
                <w:color w:val="auto"/>
              </w:rPr>
            </w:pPr>
          </w:p>
        </w:tc>
        <w:tc>
          <w:tcPr>
            <w:tcW w:w="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26,800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1,531</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 Pelligrino</w:t>
            </w:r>
          </w:p>
        </w:tc>
        <w:tc>
          <w:tcPr>
            <w:tcW w:w="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7,500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L. Melik</w:t>
            </w:r>
          </w:p>
        </w:tc>
        <w:tc>
          <w:tcPr>
            <w:tcW w:w="800" w:type="dxa"/>
            <w:vAlign w:val="bottom"/>
          </w:tcPr>
          <w:p>
            <w:pPr>
              <w:spacing w:after="0"/>
              <w:rPr>
                <w:sz w:val="17"/>
                <w:szCs w:val="17"/>
                <w:color w:val="auto"/>
              </w:rPr>
            </w:pPr>
          </w:p>
        </w:tc>
        <w:tc>
          <w:tcPr>
            <w:tcW w:w="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3,750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Retirement Income</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Plan</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86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rPr>
              <w:t>The Twin Disc, Inc., Retirement Plan for</w:t>
            </w:r>
          </w:p>
        </w:tc>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Salaried Employees provides non-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contributory benefits based upon both years of service and</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employees'</w:t>
            </w:r>
          </w:p>
        </w:tc>
      </w:tr>
      <w:tr>
        <w:trPr>
          <w:trHeight w:val="203"/>
        </w:trPr>
        <w:tc>
          <w:tcPr>
            <w:tcW w:w="82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highest consecutive 5-year average annual compensation during the last 10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calendar</w:t>
            </w:r>
          </w:p>
        </w:tc>
        <w:tc>
          <w:tcPr>
            <w:tcW w:w="7320" w:type="dxa"/>
            <w:vAlign w:val="bottom"/>
            <w:gridSpan w:val="7"/>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years of service. The non-contributory benefits were frozen as of</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w:t>
            </w:r>
          </w:p>
        </w:tc>
        <w:tc>
          <w:tcPr>
            <w:tcW w:w="73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7"/>
              </w:rPr>
              <w:t>31, 1996.  The Plan is integrated with Social Security. The following</w:t>
            </w:r>
          </w:p>
        </w:tc>
      </w:tr>
      <w:tr>
        <w:trPr>
          <w:trHeight w:val="203"/>
        </w:trPr>
        <w:tc>
          <w:tcPr>
            <w:tcW w:w="4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table presents the non-contributory benefits</w:t>
            </w:r>
          </w:p>
        </w:tc>
        <w:tc>
          <w:tcPr>
            <w:tcW w:w="35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payable for life under the Plan</w:t>
            </w:r>
          </w:p>
        </w:tc>
      </w:tr>
      <w:tr>
        <w:trPr>
          <w:trHeight w:val="203"/>
        </w:trPr>
        <w:tc>
          <w:tcPr>
            <w:tcW w:w="712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to employees assuming normal retirement in the current year.</w:t>
            </w:r>
          </w:p>
        </w:tc>
        <w:tc>
          <w:tcPr>
            <w:tcW w:w="1100" w:type="dxa"/>
            <w:vAlign w:val="bottom"/>
          </w:tcPr>
          <w:p>
            <w:pPr>
              <w:spacing w:after="0"/>
              <w:rPr>
                <w:sz w:val="17"/>
                <w:szCs w:val="17"/>
                <w:color w:val="auto"/>
              </w:rPr>
            </w:pP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AVERAGE HIGH</w:t>
            </w:r>
          </w:p>
        </w:tc>
        <w:tc>
          <w:tcPr>
            <w:tcW w:w="12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NON-CONTRIBUTORY</w:t>
            </w:r>
          </w:p>
        </w:tc>
        <w:tc>
          <w:tcPr>
            <w:tcW w:w="14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PENSION BASED</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ON</w:t>
            </w:r>
          </w:p>
        </w:tc>
        <w:tc>
          <w:tcPr>
            <w:tcW w:w="1100" w:type="dxa"/>
            <w:vAlign w:val="bottom"/>
          </w:tcPr>
          <w:p>
            <w:pPr>
              <w:spacing w:after="0"/>
              <w:rPr>
                <w:sz w:val="24"/>
                <w:szCs w:val="24"/>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5-YEAR ANNUAL</w:t>
            </w:r>
          </w:p>
        </w:tc>
        <w:tc>
          <w:tcPr>
            <w:tcW w:w="122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YEARS OF CREDIT SERVICE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COMPENSATION</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 YEARS</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 YEARS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25 YEARS</w:t>
            </w: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30 YEARS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 YEARS</w:t>
            </w: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$ 50,000</w:t>
            </w:r>
          </w:p>
        </w:tc>
        <w:tc>
          <w:tcPr>
            <w:tcW w:w="68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$ 9,511</w:t>
            </w:r>
          </w:p>
        </w:tc>
        <w:tc>
          <w:tcPr>
            <w:tcW w:w="1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$19,022</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$21,088</w:t>
            </w:r>
          </w:p>
        </w:tc>
        <w:tc>
          <w:tcPr>
            <w:tcW w:w="1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$22,357</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$25,299</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c>
          <w:tcPr>
            <w:tcW w:w="68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14,711</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29,422</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32,743</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34,842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39,363</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c>
          <w:tcPr>
            <w:tcW w:w="68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20,083</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39,822</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44,399</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47,345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53,426</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c>
          <w:tcPr>
            <w:tcW w:w="68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30,483</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60,622</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67,709</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72,351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81,553</w:t>
            </w:r>
          </w:p>
        </w:tc>
      </w:tr>
    </w:tbl>
    <w:p>
      <w:pPr>
        <w:sectPr>
          <w:pgSz w:w="11900" w:h="16838" w:orient="portrait"/>
          <w:cols w:equalWidth="0" w:num="1">
            <w:col w:w="10219"/>
          </w:cols>
          <w:pgMar w:left="240" w:top="312" w:right="1440" w:bottom="97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values reflected in the table represent the application of the Plan formula to the appropriate amounts of compensation and years of service. Benefits payable under the Plan, however, must be in compliance with the applicable guidelines or maximum prescribed in the Employees Retirement Income Security Act of 1974 (ERISA), as currently stated or as adjusted from time to time. As of December 31, 1996, the credited years of service for each of the Corporation's executive officers named in the Summary Compensation Table is as follows: Mr. Batten 27 years; Mr. Joyce 6 years; Mr. Parrish 23 years; Mr. Pelligrino 30 years; and Mr. Melik 29 years.</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years of service subsequent to December 31, 1996, the Company provides non-contributory benefits based on a percentage of compensation, from 4.5% to 6.5% based on years of service, with interest at the thirty year U.S. Treasury Bond rate with a minimum guarantee of 3%. This benefit is payable as a lump sum or annuity.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Retirement Benefit Plan</w:t>
      </w:r>
    </w:p>
    <w:p>
      <w:pPr>
        <w:spacing w:after="0" w:line="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A supplemental retirement benefit is extended to qualified management. The supplemental retirement benefit is calculated as a single life annuity at an amount approximating 60% of the highest rate of pay attained during a specified period. The benefit is payable in the form of a single life annuity, contingent annuity, 10-year temporary annuity or a lump sum payment. The contingent annuity provides for payments to continue to the surviving spouse at a rate equal to 50% of the rate previously paid to the participant. In the event of death of a plan member after attaining a retirement age but prior to retirement, the surviving spouse will receive a lump sum benefit.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Directors of the Corporation were paid a retainer fee of $9,000 for the year. In addition, Directors received a $1,300 fee for each board meeting attended and $1,100 for each committee meeting attended. Directors who are officers do not receive any fees in addition to their remuneration as officers.</w:t>
      </w: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Outside Directors (non-Corporation employees) are eligible to participate in the 1988 Non-Qualified Stock Option Plan for Officers, Key Employees and Directors and the 1998 Stock Option Plan for Non-Employee Directors.</w:t>
      </w:r>
    </w:p>
    <w:p>
      <w:pPr>
        <w:spacing w:after="0" w:line="17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Outside Directors (non-Corporation employees) who reach the age of 68 or who retire from full-time employment are required to retire from the Board of Directors effective as of the completion of their current term. Retired outside directors are entitled to a retirement benefit for a limited period equal to the sum of:</w:t>
      </w:r>
    </w:p>
    <w:p>
      <w:pPr>
        <w:spacing w:after="0" w:line="203" w:lineRule="exact"/>
        <w:rPr>
          <w:sz w:val="20"/>
          <w:szCs w:val="20"/>
          <w:color w:val="auto"/>
        </w:rPr>
      </w:pPr>
    </w:p>
    <w:p>
      <w:pPr>
        <w:ind w:left="860" w:hanging="325"/>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retainer at the time of retirement.</w:t>
      </w:r>
    </w:p>
    <w:p>
      <w:pPr>
        <w:spacing w:after="0" w:line="4" w:lineRule="exact"/>
        <w:rPr>
          <w:rFonts w:ascii="Courier New" w:cs="Courier New" w:eastAsia="Courier New" w:hAnsi="Courier New"/>
          <w:sz w:val="18"/>
          <w:szCs w:val="18"/>
          <w:color w:val="auto"/>
        </w:rPr>
      </w:pPr>
    </w:p>
    <w:p>
      <w:pPr>
        <w:ind w:left="420" w:right="2419" w:firstLine="115"/>
        <w:spacing w:after="0" w:line="235" w:lineRule="auto"/>
        <w:tabs>
          <w:tab w:leader="none" w:pos="84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monthly fees for Director Meetings at the rate prevailing at the time of retirement.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Contracts</w:t>
      </w:r>
    </w:p>
    <w:p>
      <w:pPr>
        <w:spacing w:after="0" w:line="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Corporation has entered into agreements with certain of its key executives, including Messrs. Batten, Joyce, Parrish, Pelligrino and Melik. The agreements provide for severance benefits to be paid to the executive following a change in control of the Corporation (as defined in those agreements) and a termination (as defined in those agreements) of the employment of the executive. Upon the occurrence of the events, as specified in the agreements, which would entitle the executive to the payment of severance benefits, the maximum contingent liability of the Corporation for the payment of such severance benefits would be approximately $2,913,000. Severance benefits for an executive officer would generally consist of the sum of the executive's highest annual base salary between the change in control and the date of termination plus the executive's most recent annual bonus times the lesser of 1.50 (2.75 for Messrs. Batten, Joyce and Parrish) or the number of whole and fractional years between the termination date and his normal retirement date. In addition, the executive would be entitled to the cash value of any shares of common stock subject to unexercised stock options held by the executive and a continuance of fringe benefits for 24 months following termination. The agreements are specifically designed to assure that benefits will not exceed the limitations and provisions of Sec. 280(g), of the Internal Revenue Code.</w:t>
      </w:r>
    </w:p>
    <w:p>
      <w:pPr>
        <w:sectPr>
          <w:pgSz w:w="11900" w:h="16838" w:orient="portrait"/>
          <w:cols w:equalWidth="0" w:num="1">
            <w:col w:w="10219"/>
          </w:cols>
          <w:pgMar w:left="240" w:top="31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left="2740" w:right="3259" w:hanging="1369"/>
        <w:spacing w:after="0" w:line="235" w:lineRule="auto"/>
        <w:rPr>
          <w:sz w:val="20"/>
          <w:szCs w:val="20"/>
          <w:color w:val="auto"/>
        </w:rPr>
      </w:pPr>
      <w:r>
        <w:rPr>
          <w:rFonts w:ascii="Courier New" w:cs="Courier New" w:eastAsia="Courier New" w:hAnsi="Courier New"/>
          <w:sz w:val="18"/>
          <w:szCs w:val="18"/>
          <w:color w:val="auto"/>
        </w:rPr>
        <w:t>Board Executive Selection and Salary Committee Report on Executive Compensation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Philosophy</w:t>
      </w:r>
    </w:p>
    <w:p>
      <w:pPr>
        <w:spacing w:after="0" w:line="4"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The Corporation's primary business objective is to maximize shareholder value over the long term. To accomplish this objective, the Corporation has developed a comprehensive business strategy that emphasizes maximizing long-term cash flow and earnings, maintaining leadership or becoming the leader in its markets, and providing products of the highest quality.</w:t>
      </w:r>
    </w:p>
    <w:p>
      <w:pPr>
        <w:spacing w:after="0" w:line="185"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The Executive Selection and Salary Committee of the Board of Directors (the "Committee") is comprised of 3 independent directors, none of whom has interlocking or other relationships which might be considered conflicts of interest. The Committee establishes compensation programs which are designed to foster the Corporation's business objectives. The Committee approves the design of, assesses the effectiveness of, and administers executive compensation programs in support of compensation policies.</w:t>
      </w:r>
    </w:p>
    <w:p>
      <w:pPr>
        <w:spacing w:after="0" w:line="1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Committee members believe that the compensation program should target compensation levels at rates that are reflective of current market practices. Offering market-comparable pay opportunities allows the Corporation to maintain a stable, successful management team.</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Competitive market data is provided by an independent compensation consultant. The data provided compares the Corporation's compensation practices to a group of comparative companies. The Corporation's market for compensation comparison purposes is comprised of a group of companies that have national and international business operations and similar sales volumes, market capitalizations, employment levels, and lines of business. In establishing a comparative group for compensation purposes, the Committee exercises its judgment and makes its decision after considering the factors it deems relevant.</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companies chosen for the comparative group used for compensation purposes are not necessarily the same companies which comprise the peer group index in the Performance Graph included in this proxy statement. The Committee believes that the Corporation's most direct competitors for executive talent include many companies in geographical areas in which the Corporation operates as well as many of the companies that are included in the peer group established for comparing shareholders returns.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key elements of the Corporation's executive compensation are base salary, annual incentives, long-term compensation, and benefits. These key elements are addressed separately below. In determining compensation, the Committee considers all elements of an executive's total compensation package, including severance plans, insurance, and other benefits, with the objective of being competitive but not trend setting.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Salaries</w:t>
      </w:r>
    </w:p>
    <w:p>
      <w:pPr>
        <w:spacing w:after="0" w:line="4"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Committee regularly reviews each executive's base salary. Base salaries are targeted at market levels, based upon the Committee's analysis of marketplace practices. Base salaries for executives are initially determined by evaluating executives' levels of responsibility, prior experience, breadth of knowledge, internal equity issues, and external pay practices.</w:t>
      </w:r>
    </w:p>
    <w:p>
      <w:pPr>
        <w:spacing w:after="0" w:line="185"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Base salaries offer stability to executives and allow the Corporation to attract competent executive talent and maintain an effective management team. They also allow executives to be rewarded for individual performance based on the Corporation's evaluation process which encourages the development of executives. Pay for individual performance rewards executives for achieving goals which may not be immediately evident in common financial measurement.</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Increases to base salaries are driven primarily by individual performance. Individual performance is evaluated based on sustained levels of individual contribution to the Corporation. When evaluating individual performance, the Committee considers the executive's effort in promoting Corporate values; improving product quality; developing relationships with customers, suppliers, and employees; demonstrating leadership abilities among coworkers; and other goals. Overall, executive salaries were increased at rates comparable to the increases provided at other companies and are near market levels.</w:t>
      </w:r>
    </w:p>
    <w:p>
      <w:pPr>
        <w:spacing w:after="0" w:line="21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As reflected in the Summary Compensation Table on page 8, at his request, Mr. Batten's base salary was not increased in fiscal year 2000.</w:t>
      </w:r>
    </w:p>
    <w:p>
      <w:pPr>
        <w:sectPr>
          <w:pgSz w:w="11900" w:h="16838" w:orient="portrait"/>
          <w:cols w:equalWidth="0" w:num="1">
            <w:col w:w="10219"/>
          </w:cols>
          <w:pgMar w:left="240" w:top="312" w:right="1440" w:bottom="363"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Annual Incentives</w:t>
      </w:r>
    </w:p>
    <w:p>
      <w:pPr>
        <w:spacing w:after="0" w:line="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Twin Disc Incentive Bonus Program (the "Annual Plan") promotes the Corporation's pay-for-performance philosophy by providing executives with direct financial incentives in the form of annual cash bonuses to achieve corporate, business unit, and individual performance goals. Annual bonus opportunities allow the Corporation to communicate specific goals that are of primary importance during the coming year and motivate executives to achieve these goals.</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Eligibility to participate in the Annual Plan, as well as the individual payout percentages assigned to each eligible executive's position, are determined annually by Mr. Batten, as chief executive officer, subject to the approval of the Committee.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Each year, the Committee approves specific goals relating to each executive's bonus opportunity. Eligible executives are assigned threshold and target bonus levels based on a percentage of base salary. Executives earn bonuses to the extent to which preestablished goals are achieved.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fiscal year 2000 bonus awards were granted as earnings targets were attained indicating prior long-term decisions are providing favorable results. Corporate goals in 2000 were based on target earnings and return on net assets employed.</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Target bonus awards are established at levels approximating marketplace practices for each executive. Targets are considered by the Committee to be achievable, but to require above average performance from each of the executives.</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In fiscal year 2000, Mr. Batten received a bonus under the Annual Plan of $119,800. This reflects achievements towards the Corporation's goals relating to earnings and return on net assets employed in fiscal year 2000.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Incentives</w:t>
      </w:r>
    </w:p>
    <w:p>
      <w:pPr>
        <w:spacing w:after="0" w:line="4"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Long-term incentives are provided pursuant to the Corporation's 1988 Non-Qualified Stock Option Plan for Officers, Key Employees and Directors, the 1988 Incentive Stock Option Plan, the 1998 Incentive Compensation Plan and the</w:t>
      </w:r>
    </w:p>
    <w:p>
      <w:pPr>
        <w:spacing w:after="0" w:line="233" w:lineRule="auto"/>
        <w:rPr>
          <w:sz w:val="20"/>
          <w:szCs w:val="20"/>
          <w:color w:val="auto"/>
        </w:rPr>
      </w:pPr>
      <w:r>
        <w:rPr>
          <w:rFonts w:ascii="Courier New" w:cs="Courier New" w:eastAsia="Courier New" w:hAnsi="Courier New"/>
          <w:sz w:val="18"/>
          <w:szCs w:val="18"/>
          <w:color w:val="auto"/>
        </w:rPr>
        <w:t>1998 Stock Option Plan for Non-Employee Directors.</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keeping with the Corporation's commitment to provide a total compensation package which includes at-risk components of pay, the Committee makes annual decisions regarding appropriate stock option grants for each executive. When awarding stock options, the Committee considers executives' levels of responsibility, prior experience, historical award data, various performance criteria, and compensation practices at comparator companies. Consistent with the above stated goals, Mr. Batten received options to purchase 6,000 shares in fiscal year 2000.</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Stock options are granted at an option price not less than the fair market value of the Corporation's common stock on the date of grant. Accordingly, stock options have value only if the stock price appreciates from the date the options are granted. This design focuses executives on the creation of shareholder value over the long term and encourages equity ownership in the Corporation.</w:t>
      </w:r>
    </w:p>
    <w:p>
      <w:pPr>
        <w:spacing w:after="0" w:line="21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Section 162(m) of the Internal Revenue Code, enacted in 1993, generally disallows a tax deduction to public companies for compensation over $1 million paid to the Company's CEO and four other most highly compensated executive officers. Qualifying performance-based compensation will not be subject to the deduction limit if certain requirements are met. The compensation of the Corporation's CEO and the four other most highly compensated executive officers currently does not approach the disqualifying threshold. In the future, in the event the disqualifying threshold becomes an issue, the Committee will weigh all the facts and circumstances in existence at the time.</w:t>
      </w:r>
    </w:p>
    <w:p>
      <w:pPr>
        <w:spacing w:after="0" w:line="178"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Executive Selection and Salary Committee</w:t>
      </w:r>
    </w:p>
    <w:p>
      <w:pPr>
        <w:ind w:left="4960"/>
        <w:spacing w:after="0" w:line="238" w:lineRule="auto"/>
        <w:rPr>
          <w:sz w:val="20"/>
          <w:szCs w:val="20"/>
          <w:color w:val="auto"/>
        </w:rPr>
      </w:pPr>
      <w:r>
        <w:rPr>
          <w:rFonts w:ascii="Courier New" w:cs="Courier New" w:eastAsia="Courier New" w:hAnsi="Courier New"/>
          <w:sz w:val="18"/>
          <w:szCs w:val="18"/>
          <w:color w:val="auto"/>
        </w:rPr>
        <w:t>Richard T. Savage, Chairman</w:t>
      </w:r>
    </w:p>
    <w:p>
      <w:pPr>
        <w:ind w:left="4960"/>
        <w:spacing w:after="0"/>
        <w:rPr>
          <w:sz w:val="20"/>
          <w:szCs w:val="20"/>
          <w:color w:val="auto"/>
        </w:rPr>
      </w:pPr>
      <w:r>
        <w:rPr>
          <w:rFonts w:ascii="Courier New" w:cs="Courier New" w:eastAsia="Courier New" w:hAnsi="Courier New"/>
          <w:sz w:val="18"/>
          <w:szCs w:val="18"/>
          <w:color w:val="auto"/>
        </w:rPr>
        <w:t>Paul J. Powers</w:t>
      </w:r>
    </w:p>
    <w:p>
      <w:pPr>
        <w:ind w:left="4960"/>
        <w:spacing w:after="0" w:line="237" w:lineRule="auto"/>
        <w:rPr>
          <w:sz w:val="20"/>
          <w:szCs w:val="20"/>
          <w:color w:val="auto"/>
        </w:rPr>
      </w:pPr>
      <w:r>
        <w:rPr>
          <w:rFonts w:ascii="Courier New" w:cs="Courier New" w:eastAsia="Courier New" w:hAnsi="Courier New"/>
          <w:sz w:val="18"/>
          <w:szCs w:val="18"/>
          <w:color w:val="auto"/>
        </w:rPr>
        <w:t>George E. Wardeberg</w:t>
      </w:r>
    </w:p>
    <w:p>
      <w:pPr>
        <w:ind w:left="4020"/>
        <w:spacing w:after="0" w:line="238" w:lineRule="auto"/>
        <w:rPr>
          <w:sz w:val="20"/>
          <w:szCs w:val="20"/>
          <w:color w:val="auto"/>
        </w:rPr>
      </w:pPr>
      <w:r>
        <w:rPr>
          <w:rFonts w:ascii="Courier New" w:cs="Courier New" w:eastAsia="Courier New" w:hAnsi="Courier New"/>
          <w:sz w:val="18"/>
          <w:szCs w:val="18"/>
          <w:color w:val="auto"/>
        </w:rPr>
        <w:t>July 27, 2000</w:t>
      </w:r>
    </w:p>
    <w:p>
      <w:pPr>
        <w:sectPr>
          <w:pgSz w:w="11900" w:h="16838" w:orient="portrait"/>
          <w:cols w:equalWidth="0" w:num="1">
            <w:col w:w="10219"/>
          </w:cols>
          <w:pgMar w:left="240" w:top="312"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PUBLIC AUDITORS</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firm has audited the Corporation's books annually since 1928. Representatives of PricewaterhouseCoopers LLP are expected to be present at the meeting and, while no formal statement will be made by them, they will be available to respond to appropriate questions.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PERFORMANCE GRAPH</w:t>
      </w:r>
    </w:p>
    <w:p>
      <w:pPr>
        <w:spacing w:after="0" w:line="207" w:lineRule="exact"/>
        <w:rPr>
          <w:sz w:val="20"/>
          <w:szCs w:val="20"/>
          <w:color w:val="auto"/>
        </w:rPr>
      </w:pPr>
    </w:p>
    <w:p>
      <w:pPr>
        <w:ind w:right="2199" w:firstLine="527"/>
        <w:spacing w:after="0" w:line="270" w:lineRule="auto"/>
        <w:rPr>
          <w:sz w:val="20"/>
          <w:szCs w:val="20"/>
          <w:color w:val="auto"/>
        </w:rPr>
      </w:pPr>
      <w:r>
        <w:rPr>
          <w:rFonts w:ascii="Courier New" w:cs="Courier New" w:eastAsia="Courier New" w:hAnsi="Courier New"/>
          <w:sz w:val="16"/>
          <w:szCs w:val="16"/>
          <w:color w:val="auto"/>
        </w:rPr>
        <w:t>The following table compares total shareholder return over the last 5 fiscal years to the Standard &amp; Poors Diversified Machinery Index and the Russell 2000 index. The S&amp;P Diversified Machinery Index consists of a broad range of manufacturers. The Russell 2000 Index consists of a broad range of 2,000 Companies. The Corporation believes, because of the similarity of its business with those companies contained in the S&amp;P Diversified Machinery Index, that comparison of shareholder return with this index is appropriate. Total return values for the Corporations common stock, the S&amp;P Diversified Machinery Index and the Russell 2000 Index were calculated based upon an assumption of a $100 investment on June 30, 1994 and based upon cumulative total return values assuming reinvestment of dividends on a quarterly basis.</w:t>
      </w:r>
    </w:p>
    <w:p>
      <w:pPr>
        <w:spacing w:after="0" w:line="200" w:lineRule="exact"/>
        <w:rPr>
          <w:sz w:val="20"/>
          <w:szCs w:val="20"/>
          <w:color w:val="auto"/>
        </w:rPr>
      </w:pPr>
    </w:p>
    <w:p>
      <w:pPr>
        <w:spacing w:after="0" w:line="387"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5320" w:type="dxa"/>
            <w:vAlign w:val="bottom"/>
            <w:gridSpan w:val="5"/>
          </w:tcPr>
          <w:p>
            <w:pPr>
              <w:ind w:left="160"/>
              <w:spacing w:after="0"/>
              <w:rPr>
                <w:sz w:val="20"/>
                <w:szCs w:val="20"/>
                <w:color w:val="auto"/>
              </w:rPr>
            </w:pPr>
            <w:r>
              <w:rPr>
                <w:rFonts w:ascii="Courier New" w:cs="Courier New" w:eastAsia="Courier New" w:hAnsi="Courier New"/>
                <w:sz w:val="18"/>
                <w:szCs w:val="18"/>
                <w:color w:val="auto"/>
              </w:rPr>
              <w:t>Comparison of Five-Year Cumulative Total Return</w:t>
            </w:r>
          </w:p>
        </w:tc>
        <w:tc>
          <w:tcPr>
            <w:tcW w:w="840" w:type="dxa"/>
            <w:vAlign w:val="bottom"/>
          </w:tcPr>
          <w:p>
            <w:pPr>
              <w:spacing w:after="0"/>
              <w:rPr>
                <w:sz w:val="17"/>
                <w:szCs w:val="17"/>
                <w:color w:val="auto"/>
              </w:rPr>
            </w:pPr>
          </w:p>
        </w:tc>
      </w:tr>
      <w:tr>
        <w:trPr>
          <w:trHeight w:val="203"/>
        </w:trPr>
        <w:tc>
          <w:tcPr>
            <w:tcW w:w="6840" w:type="dxa"/>
            <w:vAlign w:val="bottom"/>
            <w:gridSpan w:val="6"/>
          </w:tcPr>
          <w:p>
            <w:pPr>
              <w:ind w:left="1060"/>
              <w:spacing w:after="0" w:line="203" w:lineRule="exact"/>
              <w:rPr>
                <w:sz w:val="20"/>
                <w:szCs w:val="20"/>
                <w:color w:val="auto"/>
              </w:rPr>
            </w:pPr>
            <w:r>
              <w:rPr>
                <w:rFonts w:ascii="Courier New" w:cs="Courier New" w:eastAsia="Courier New" w:hAnsi="Courier New"/>
                <w:sz w:val="18"/>
                <w:szCs w:val="18"/>
                <w:color w:val="auto"/>
                <w:w w:val="96"/>
              </w:rPr>
              <w:t>Twin Disc, Inc.; S&amp;P Diversified Machinery; and Russell</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2000</w:t>
            </w:r>
          </w:p>
        </w:tc>
      </w:tr>
      <w:tr>
        <w:trPr>
          <w:trHeight w:val="405"/>
        </w:trPr>
        <w:tc>
          <w:tcPr>
            <w:tcW w:w="15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06/30/95</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06/30/96</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06/30/97</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06/30/98</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06/30/00</w:t>
            </w:r>
          </w:p>
        </w:tc>
      </w:tr>
      <w:tr>
        <w:trPr>
          <w:trHeight w:val="203"/>
        </w:trPr>
        <w:tc>
          <w:tcPr>
            <w:tcW w:w="1520" w:type="dxa"/>
            <w:vAlign w:val="bottom"/>
          </w:tcPr>
          <w:p>
            <w:pPr>
              <w:spacing w:after="0"/>
              <w:rPr>
                <w:sz w:val="17"/>
                <w:szCs w:val="17"/>
                <w:color w:val="auto"/>
              </w:rPr>
            </w:pPr>
          </w:p>
        </w:tc>
        <w:tc>
          <w:tcPr>
            <w:tcW w:w="5320" w:type="dxa"/>
            <w:vAlign w:val="bottom"/>
            <w:gridSpan w:val="5"/>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  --------  --------  --------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Twin Disc</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120.04</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124.28</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157.57</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169.86</w:t>
            </w:r>
          </w:p>
        </w:tc>
        <w:tc>
          <w:tcPr>
            <w:tcW w:w="11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5"/>
              </w:rPr>
              <w:t>117.03</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80.52</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S&amp;P Div. Mach.</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126.54</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145.19</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209.12</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209.39</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214.32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129.52</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2000</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120.07</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148.80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173.11</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201.68</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204.70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194.91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(a) BENEFICIAL OWNERSHIP</w:t>
      </w:r>
    </w:p>
    <w:p>
      <w:pPr>
        <w:spacing w:after="0" w:line="238" w:lineRule="auto"/>
        <w:rPr>
          <w:sz w:val="20"/>
          <w:szCs w:val="20"/>
          <w:color w:val="auto"/>
        </w:rPr>
      </w:pPr>
      <w:r>
        <w:rPr>
          <w:rFonts w:ascii="Courier New" w:cs="Courier New" w:eastAsia="Courier New" w:hAnsi="Courier New"/>
          <w:sz w:val="18"/>
          <w:szCs w:val="18"/>
          <w:color w:val="auto"/>
        </w:rPr>
        <w:t>REPORTING COMPLIANCE</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solely on a review of the copies of such forms furnished to the Corporation and representations from executive officers and Directors, the Corporation believes that during the period from July 1, 1999 to June 30, 2000, all Section 16(a) filing requirements applicable to its executive officers, Directors and greater than ten (10%) beneficial owners were complied with.</w:t>
      </w:r>
    </w:p>
    <w:p>
      <w:pPr>
        <w:sectPr>
          <w:pgSz w:w="11900" w:h="16838" w:orient="portrait"/>
          <w:cols w:equalWidth="0" w:num="1">
            <w:col w:w="10219"/>
          </w:cols>
          <w:pgMar w:left="240" w:top="312" w:right="1440" w:bottom="1440"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14</w:t>
      </w:r>
    </w:p>
    <w:p>
      <w:pPr>
        <w:ind w:left="3580"/>
        <w:spacing w:after="0" w:line="238" w:lineRule="auto"/>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Corporation will bear the cost of the solicitation of proxies. The firm of Georgeson Shareholder Communications Inc., New York, NY has been retained to assist in solicitation of proxies for the Annual Meeting at a fee not to exceed $7,000 plus expenses.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Management does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not</w:t>
            </w:r>
          </w:p>
        </w:tc>
        <w:tc>
          <w:tcPr>
            <w:tcW w:w="28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know of any other business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come</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before the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meeting. However, if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other matters properly come before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meeting, it is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intention of the</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persons named in</w:t>
            </w:r>
          </w:p>
        </w:tc>
        <w:tc>
          <w:tcPr>
            <w:tcW w:w="1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accompanying</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proxy to vote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upon such matters in</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their discretion</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 accordance</w:t>
            </w:r>
          </w:p>
        </w:tc>
        <w:tc>
          <w:tcPr>
            <w:tcW w:w="2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with the authorization of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proxy.</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do not contemplate attending in person, we respectfully request that you fill in, sign and return the accompanying proxy at your early convenience. However, remember that in order to have your proxy validated, it must be delivered to the Secretary either in person, by mail, or by messenger, and it must be received by the Secretary not less than forty-eight (48) hours prior to the date of the meeting.</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2019-12-12T10:30:15Z</dcterms:created>
  <dcterms:modified xsi:type="dcterms:W3CDTF">2019-12-12T10:30:15Z</dcterms:modified>
</cp:coreProperties>
</file>